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hizo con la propuesta metodológica</w:t>
      </w:r>
    </w:p>
    <w:bookmarkStart w:id="9" w:name="para-qué-es-este-documento"/>
    <w:p>
      <w:pPr>
        <w:pStyle w:val="Heading1"/>
      </w:pPr>
      <w:r>
        <w:t xml:space="preserve">Para qué es este documento</w:t>
      </w:r>
    </w:p>
    <w:p>
      <w:pPr>
        <w:pStyle w:val="FirstParagraph"/>
      </w:pPr>
      <w:r>
        <w:t xml:space="preserve">Resume qué pasó con cada punto de la propuesta metodológica en la versión del modelo reestimada con la ventana 1996-2025 (17 de octubre de 2026), por qué se tomó cada decisión y qué tienen que validar Pablo y el equipo. La tesis completa está en Tesis.pdf y en Tesis_borrador.docx; acá va solo lo que toca a la propuesta.</w:t>
      </w:r>
    </w:p>
    <w:bookmarkEnd w:id="9"/>
    <w:bookmarkStart w:id="10"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“esponja contable”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pStyle w:val="Compact"/>
        <w:numPr>
          <w:ilvl w:val="0"/>
          <w:numId w:val="1001"/>
        </w:numPr>
      </w:pPr>
      <w:r>
        <w:rPr>
          <w:b/>
          <w:bCs/>
        </w:rPr>
        <w:t xml:space="preserve">Fácil:</w:t>
      </w:r>
      <w:r>
        <w:t xml:space="preserve"> </w:t>
      </w:r>
      <w:r>
        <w:t xml:space="preserve">dejar la deuda afuera del VAR y calcularla al final con la identidad. No hay retroalimentación.</w:t>
      </w:r>
    </w:p>
    <w:p>
      <w:pPr>
        <w:pStyle w:val="Compact"/>
        <w:numPr>
          <w:ilvl w:val="0"/>
          <w:numId w:val="1001"/>
        </w:numPr>
      </w:pPr>
      <w:r>
        <w:rPr>
          <w:b/>
          <w:bCs/>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
          <w:iCs/>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pStyle w:val="Compact"/>
        <w:numPr>
          <w:ilvl w:val="0"/>
          <w:numId w:val="1001"/>
        </w:numPr>
      </w:pPr>
      <w:r>
        <w:rPr>
          <w:b/>
          <w:bCs/>
        </w:rPr>
        <w:t xml:space="preserve">Difícil:</w:t>
      </w:r>
      <w:r>
        <w:t xml:space="preserve"> </w:t>
      </w:r>
      <w:r>
        <w:t xml:space="preserve">estimar una quinta ecuación para la deuda e identificar también su</w:t>
      </w:r>
      <w:r>
        <w:t xml:space="preserve"> </w:t>
      </w:r>
      <w:r>
        <w:rPr>
          <w:i/>
          <w:iCs/>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
          <w:iCs/>
        </w:rPr>
        <w:t xml:space="preserve">shock</w:t>
      </w:r>
      <w:r>
        <w:t xml:space="preserve"> </w:t>
      </w:r>
      <w:r>
        <w:t xml:space="preserve">propio no tendría interpretación económica. En el</w:t>
      </w:r>
      <w:r>
        <w:t xml:space="preserve"> </w:t>
      </w:r>
      <w:r>
        <w:rPr>
          <w:i/>
          <w:iCs/>
        </w:rPr>
        <w:t xml:space="preserve">bootstrap</w:t>
      </w:r>
      <w:r>
        <w:t xml:space="preserve">, la deuda histórica se regenera en cada réplica, para que su incertidumbre también entre en los intervalos.</w:t>
      </w:r>
    </w:p>
    <w:p>
      <w:pPr>
        <w:pStyle w:val="BodyText"/>
      </w:pPr>
      <w:r>
        <w:rPr>
          <w:b/>
          <w:bCs/>
        </w:rPr>
        <w:t xml:space="preserve">Qué dio con el modelo nuevo (deuda federal bruta):</w:t>
      </w:r>
    </w:p>
    <w:p>
      <w:pPr>
        <w:pStyle w:val="Compact"/>
        <w:numPr>
          <w:ilvl w:val="0"/>
          <w:numId w:val="1002"/>
        </w:numPr>
      </w:pPr>
      <w:r>
        <w:rPr>
          <w:b/>
          <w:bCs/>
        </w:rPr>
        <w:t xml:space="preserve">Reacción fiscal.</w:t>
      </w:r>
      <w:r>
        <w:t xml:space="preserve"> </w:t>
      </w:r>
      <w:r>
        <w:t xml:space="preserve">El coeficiente de impacto de la deuda rezagada sobre el resultado primario trimestral es 0,0576 [0,0220; 0,0822]; el multiplicador de largo plazo, que descuenta los rezagos propios del resultado primario, es 0,199 [0,112; 0,328]. Los dos tienen intervalo y los dos excluyen el cero.</w:t>
      </w:r>
    </w:p>
    <w:p>
      <w:pPr>
        <w:pStyle w:val="Compact"/>
        <w:numPr>
          <w:ilvl w:val="0"/>
          <w:numId w:val="1002"/>
        </w:numPr>
      </w:pPr>
      <w:r>
        <w:rPr>
          <w:b/>
          <w:bCs/>
        </w:rPr>
        <w:t xml:space="preserve">EMBI.</w:t>
      </w:r>
      <w:r>
        <w:t xml:space="preserve"> </w:t>
      </w:r>
      <w:r>
        <w:t xml:space="preserve">Un punto más de deuda sube el EMBI unos 15 puntos básicos, con un intervalo de 90% que incluye el cero.</w:t>
      </w:r>
    </w:p>
    <w:p>
      <w:pPr>
        <w:pStyle w:val="Compact"/>
        <w:numPr>
          <w:ilvl w:val="0"/>
          <w:numId w:val="1002"/>
        </w:numPr>
      </w:pPr>
      <w:r>
        <w:rPr>
          <w:b/>
          <w:bCs/>
        </w:rPr>
        <w:t xml:space="preserve">Sin retroalimentación.</w:t>
      </w:r>
      <w:r>
        <w:t xml:space="preserve"> </w:t>
      </w:r>
      <w:r>
        <w:t xml:space="preserve">La probabilidad de no estabilización en 2031 casi no cambia (30,4% contra 31,8%), pero el abanico se abre (54,4 puntos de ancho en 2031 contra 46,6), porque sin la reacción fiscal nada frena la deuda.</w:t>
      </w:r>
    </w:p>
    <w:bookmarkEnd w:id="10"/>
    <w:bookmarkStart w:id="11" w:name="cada-propuesta-y-qué-se-hizo"/>
    <w:p>
      <w:pPr>
        <w:pStyle w:val="Heading1"/>
      </w:pPr>
      <w:r>
        <w:t xml:space="preserve">Cada propuesta y qué se hizo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 está</w:t>
            </w:r>
          </w:p>
        </w:tc>
      </w:tr>
      <w:tr>
        <w:tc>
          <w:tcPr/>
          <w:p>
            <w:pPr>
              <w:pStyle w:val="Compact"/>
            </w:pPr>
            <w:r>
              <w:rPr>
                <w:rFonts w:ascii="Calibri" w:hAnsi="Calibri"/>
                <w:sz w:val="20"/>
              </w:rPr>
              <w:t xml:space="preserve">ADF y KPSS; Zivot-Andrews y Bai-Perron para quiebres</w:t>
            </w:r>
          </w:p>
        </w:tc>
        <w:tc>
          <w:tcPr/>
          <w:p>
            <w:pPr>
              <w:pStyle w:val="Compact"/>
            </w:pPr>
            <w:r>
              <w:rPr>
                <w:rFonts w:ascii="Calibri" w:hAnsi="Calibri"/>
                <w:sz w:val="20"/>
              </w:rPr>
              <w:t xml:space="preserve">Hecho, con la ventana 1996-2025. Los quiebres de Bai-Perron sobre la deuda federal bruta (2001T4, 2006T2, 2018T1) entran como variables binarias; la variante sin ellas se informa</w:t>
            </w:r>
          </w:p>
        </w:tc>
        <w:tc>
          <w:tcPr/>
          <w:p>
            <w:pPr>
              <w:pStyle w:val="Compact"/>
            </w:pPr>
            <w:r>
              <w:rPr>
                <w:rFonts w:ascii="Calibri" w:hAnsi="Calibri"/>
                <w:sz w:val="20"/>
              </w:rPr>
              <w:t xml:space="preserve">Capítulo 4 y Apéndice A.3</w:t>
            </w:r>
          </w:p>
        </w:tc>
      </w:tr>
      <w:tr>
        <w:tc>
          <w:tcPr/>
          <w:p>
            <w:pPr>
              <w:pStyle w:val="Compact"/>
            </w:pPr>
            <w:r>
              <w:rPr>
                <w:rFonts w:ascii="Calibri" w:hAnsi="Calibri"/>
                <w:sz w:val="20"/>
              </w:rPr>
              <w:t xml:space="preserve">Rezagos por AIC y BIC con residuos sin autocorrelación</w:t>
            </w:r>
          </w:p>
        </w:tc>
        <w:tc>
          <w:tcPr/>
          <w:p>
            <w:pPr>
              <w:pStyle w:val="Compac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 0,000); se usan 2, sin autocorrelación (p = 0,056), que es también el orden de Hannan-Quinn. El AIC sin restricción elige 6. Todos los órdenes se comparan sobre la misma muestra, 1998T2-2025T4 (111 trimestres): los primeros trimestres de la ventana son condiciones iniciales de los rezagos</w:t>
            </w:r>
          </w:p>
        </w:tc>
        <w:tc>
          <w:tcPr/>
          <w:p>
            <w:pPr>
              <w:pStyle w:val="Compact"/>
            </w:pPr>
            <w:r>
              <w:rPr>
                <w:rFonts w:ascii="Calibri" w:hAnsi="Calibri"/>
                <w:sz w:val="20"/>
              </w:rPr>
              <w:t xml:space="preserve">Capítulo 4 y Apéndice A.4</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Capítulo 4</w:t>
            </w:r>
          </w:p>
        </w:tc>
      </w:tr>
      <w:tr>
        <w:tc>
          <w:tcPr/>
          <w:p>
            <w:pPr>
              <w:pStyle w:val="Compact"/>
            </w:pPr>
            <w:r>
              <w:rPr>
                <w:rFonts w:ascii="Calibri" w:hAnsi="Calibri"/>
                <w:sz w:val="20"/>
              </w:rPr>
              <w:t xml:space="preserve">Deuda como variable del sistema (retroalimentación)</w:t>
            </w:r>
          </w:p>
        </w:tc>
        <w:tc>
          <w:tcPr/>
          <w:p>
            <w:pPr>
              <w:pStyle w:val="Compact"/>
            </w:pPr>
            <w:r>
              <w:rPr>
                <w:rFonts w:ascii="Calibri" w:hAnsi="Calibri"/>
                <w:sz w:val="20"/>
              </w:rPr>
              <w:t xml:space="preserve">Camino intermedio explicado arriba</w:t>
            </w:r>
          </w:p>
        </w:tc>
        <w:tc>
          <w:tcPr/>
          <w:p>
            <w:pPr>
              <w:pStyle w:val="Compact"/>
            </w:pPr>
            <w:r>
              <w:rPr>
                <w:rFonts w:ascii="Calibri" w:hAnsi="Calibri"/>
                <w:sz w:val="20"/>
              </w:rPr>
              <w:t xml:space="preserve">Capítulos 4 y 6</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w:t>
            </w:r>
          </w:p>
        </w:tc>
        <w:tc>
          <w:tcPr/>
          <w:p>
            <w:pPr>
              <w:pStyle w:val="Compact"/>
            </w:pPr>
            <w:r>
              <w:rPr>
                <w:rFonts w:ascii="Calibri" w:hAnsi="Calibri"/>
                <w:sz w:val="20"/>
              </w:rPr>
              <w:t xml:space="preserve">Capítulo 6 y Apéndice A.9</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con dos ordenamientos de Cholesky (resultado primario primero y resultado primario último). La probabilidad de no estabilización es exactamente la misma que con la identificación principal (31,8% en 2031), como corresponde: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no fiscales y el fiscal es 60,7 [25,6; 73,4] y 91,9 [84,1; 98,5] puntos, contra 78,3 en la principal.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pPr>
            <w:r>
              <w:rPr>
                <w:rFonts w:ascii="Calibri" w:hAnsi="Calibri"/>
                <w:sz w:val="20"/>
              </w:rPr>
              <w:t xml:space="preserve">Capítulo 4 y Apéndice A.9</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el canal del EMBI sobre la tasa en pesos va como robustez</w:t>
            </w:r>
          </w:p>
        </w:tc>
        <w:tc>
          <w:tcPr/>
          <w:p>
            <w:pPr>
              <w:pStyle w:val="Compact"/>
            </w:pPr>
            <w:r>
              <w:rPr>
                <w:rFonts w:ascii="Calibri" w:hAnsi="Calibri"/>
                <w:sz w:val="20"/>
              </w:rPr>
              <w:t xml:space="preserve">Capítulo 4 y Apéndice A.9</w:t>
            </w:r>
          </w:p>
        </w:tc>
      </w:tr>
      <w:tr>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pPr>
            <w:r>
              <w:rPr>
                <w:rFonts w:ascii="Calibri" w:hAnsi="Calibri"/>
                <w:sz w:val="20"/>
              </w:rPr>
              <w:t xml:space="preserve">Hecho (Wu y Xia, 2016). En 2022T1, cuando la serie pasa de la tasa sombra a la efectiva, la variación se calcula con la tasa efectiva en los dos trimestres, para no confundir el cambio de serie con un cambio de política</w:t>
            </w:r>
          </w:p>
        </w:tc>
        <w:tc>
          <w:tcPr/>
          <w:p>
            <w:pPr>
              <w:pStyle w:val="Compact"/>
            </w:pPr>
            <w:r>
              <w:rPr>
                <w:rFonts w:ascii="Calibri" w:hAnsi="Calibri"/>
                <w:sz w:val="20"/>
              </w:rPr>
              <w:t xml:space="preserve">Capítulo 5</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Términos de intercambio</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umbral de 100% no tiene fuente que lo justifique</w:t>
            </w:r>
          </w:p>
        </w:tc>
        <w:tc>
          <w:tcPr/>
          <w:p>
            <w:pPr>
              <w:pStyle w:val="Compact"/>
            </w:pPr>
            <w:r>
              <w:rPr>
                <w:rFonts w:ascii="Calibri" w:hAnsi="Calibri"/>
                <w:sz w:val="20"/>
              </w:rPr>
              <w:t xml:space="preserve">Capítulo 4</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suponer que el tipo de cambio real es neutral en el largo plazo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Variables binarias estacionales</w:t>
            </w:r>
          </w:p>
        </w:tc>
        <w:tc>
          <w:tcPr/>
          <w:p>
            <w:pPr>
              <w:pStyle w:val="Compact"/>
            </w:pPr>
            <w:r>
              <w:rPr>
                <w:rFonts w:ascii="Calibri" w:hAnsi="Calibri"/>
                <w:sz w:val="20"/>
              </w:rPr>
              <w:t xml:space="preserve">Capítulo 4</w:t>
            </w:r>
          </w:p>
        </w:tc>
      </w:tr>
    </w:tbl>
    <w:bookmarkEnd w:id="11"/>
    <w:bookmarkStart w:id="12" w:name="resultados-con-el-modelo-nuevo"/>
    <w:p>
      <w:pPr>
        <w:pStyle w:val="Heading1"/>
      </w:pPr>
      <w:r>
        <w:t xml:space="preserve">Resultados con el modelo nuevo</w:t>
      </w:r>
    </w:p>
    <w:p>
      <w:pPr>
        <w:pStyle w:val="FirstParagraph"/>
      </w:pPr>
      <w:r>
        <w:t xml:space="preserve">Especificación principal: deuda federal bruta, con el punto de partida, el escenario base y la métrica del FMI (2026). Intervalos de 90% de Hall.</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Resultado</w:t>
            </w:r>
          </w:p>
        </w:tc>
        <w:tc>
          <w:tcPr/>
          <w:p>
            <w:pPr>
              <w:pStyle w:val="Compact"/>
            </w:pPr>
            <w:r>
              <w:rPr>
                <w:rFonts w:ascii="Calibri" w:hAnsi="Calibri"/>
                <w:sz w:val="20"/>
              </w:rPr>
              <w:t xml:space="preserve">Estado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La contribución de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78,3 puntos [57,3; 87,9]. Reparto: externo 44,9%, cambiario y de riesgo 32,3%, actividad 12,0%, fiscal 10,8%. Complemento descriptivo: con el resultado primario en su máximo de 1996-2025 (3,29% del PIB, 2004) todos los años, la probabilidad de no estabilización en 2031 es 26,1%; para llevarla al 1% del FMI haría falta sumar 8,00 puntos al resultado primario del escenario en todos los años</w:t>
            </w:r>
          </w:p>
        </w:tc>
        <w:tc>
          <w:tcPr/>
          <w:p>
            <w:pPr>
              <w:pStyle w:val="Compact"/>
            </w:pPr>
            <w:r>
              <w:rPr>
                <w:rFonts w:ascii="Calibri" w:hAnsi="Calibri"/>
                <w:sz w:val="20"/>
              </w:rPr>
              <w:t xml:space="preserve">Respaldada con su criterio original, en las 20 especificaciones (menor límite inferior: 25,6)</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No estabilización de 31,8% [25,2; 36,4] en 2031, contra 1% del FMI, y de 31,0% [26,8; 35,6] en 2035, contra menos de 3%. Con Bonferroni, los límites inferiores son 24,2 y 26,6</w:t>
            </w:r>
          </w:p>
        </w:tc>
        <w:tc>
          <w:tcPr/>
          <w:p>
            <w:pPr>
              <w:pStyle w:val="Compact"/>
            </w:pPr>
            <w:r>
              <w:rPr>
                <w:rFonts w:ascii="Calibri" w:hAnsi="Calibri"/>
                <w:sz w:val="20"/>
              </w:rPr>
              <w:t xml:space="preserve">Respaldada en las 20 especificaciones (menor límite inferior: 19,1, deuda consolidada). Con el procedimiento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del FMI sobre la historia argentina se obtiene 24,1% en 2031: tampoco se reproduce el 1%</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Senda de la FED de 2022-2025: +9,7 puntos de probabilidad en 2035 [4,2; 16,0] y +9,0 puntos de deuda [0,3; 16,2]. Nivel 0,494 puntos más alto: +1,1 [0,2; 1,9] y +1,0 [0,0; 1,8]</w:t>
            </w:r>
          </w:p>
        </w:tc>
        <w:tc>
          <w:tcPr/>
          <w:p>
            <w:pPr>
              <w:pStyle w:val="Compact"/>
            </w:pPr>
            <w:r>
              <w:rPr>
                <w:rFonts w:ascii="Calibri" w:hAnsi="Calibri"/>
                <w:sz w:val="20"/>
              </w:rPr>
              <w:t xml:space="preserve">Respaldada en el efecto de la senda sobre la probabilidad, que es robusto: con Bonferroni sigue excluyendo el cero [3,6; 16,8] y lo excluye en 18 de 20 especificaciones. El efecto sobre la deuda esperada y el del nivel más alto no son robustos: con Bonferroni incluyen el cero. El mecanismo no es el que propone la hipótesis: solo 2 de 84 intervalos de respuesta excluyen el cero, los dos del TCRM, y el 96% del efecto sobre la deuda es el costo directo de la deuda en dólares</w:t>
            </w:r>
          </w:p>
        </w:tc>
      </w:tr>
      <w:tr>
        <w:tc>
          <w:tcPr/>
          <w:p>
            <w:pPr>
              <w:pStyle w:val="Compact"/>
            </w:pPr>
            <w:r>
              <w:rPr>
                <w:rFonts w:ascii="Calibri" w:hAnsi="Calibri"/>
                <w:sz w:val="20"/>
              </w:rPr>
              <w:t xml:space="preserve">Extensión consolidada</w:t>
            </w:r>
          </w:p>
        </w:tc>
        <w:tc>
          <w:tcPr/>
          <w:p>
            <w:pPr>
              <w:pStyle w:val="Compact"/>
            </w:pPr>
            <w:r>
              <w:rPr>
                <w:rFonts w:ascii="Calibri" w:hAnsi="Calibri"/>
                <w:sz w:val="20"/>
              </w:rPr>
              <w:t xml:space="preserve">No estabilización de 26,5% [19,1; 30,5] en 2031 y 24,1% [20,0; 30,0] en 2035</w:t>
            </w:r>
          </w:p>
        </w:tc>
        <w:tc>
          <w:tcPr/>
          <w:p>
            <w:pPr>
              <w:pStyle w:val="Compact"/>
            </w:pPr>
            <w:r>
              <w:rPr>
                <w:rFonts w:ascii="Calibri" w:hAnsi="Calibri"/>
                <w:sz w:val="20"/>
              </w:rPr>
              <w:t xml:space="preserve">Mismas conclusiones para H1a y H1b; el efecto de la senda de la FED sobre la deuda esperada incluye el cero</w:t>
            </w:r>
          </w:p>
        </w:tc>
      </w:tr>
    </w:tbl>
    <w:bookmarkEnd w:id="12"/>
    <w:bookmarkStart w:id="13" w:name="X654b1d3013a4afe9da41cc057e4efbba9d7e22f"/>
    <w:p>
      <w:pPr>
        <w:pStyle w:val="Heading1"/>
      </w:pPr>
      <w:r>
        <w:t xml:space="preserve">Lo que tienen que validar Pablo y el equipo</w:t>
      </w:r>
    </w:p>
    <w:p>
      <w:pPr>
        <w:pStyle w:val="FirstParagraph"/>
      </w:pPr>
      <w:r>
        <w:rPr>
          <w:b/>
          <w:bCs/>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escenario y métrica: el escenario del FMI está construido para esa deuda. La deuda consolidada con el BCRA queda como extensión, con el</w:t>
      </w:r>
      <w:r>
        <w:t xml:space="preserve"> </w:t>
      </w:r>
      <w:r>
        <w:rPr>
          <w:i/>
          <w:iCs/>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
          <w:bCs/>
        </w:rPr>
        <w:t xml:space="preserve">2. Ventana única 1996-2025 (D2).</w:t>
      </w:r>
      <w:r>
        <w:t xml:space="preserve"> </w:t>
      </w:r>
      <w:r>
        <w:t xml:space="preserve">El grupo fijó la ventana 1996-2025 para todo el estudio y 2026-2035 para la proyección. Las ecuaciones se estiman con 1998T2-2025T4 (111 trimestres), porque los primeros trimestres de la ventana son condiciones iniciales de los rezagos.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32,4% [26,6; 37,0], contra 31,8% con la ventana completa. La base anterior tenía valores del EMBI de 1993-1998 escritos a mano sin fuente; se eliminaron.</w:t>
      </w:r>
    </w:p>
    <w:p>
      <w:pPr>
        <w:pStyle w:val="BodyText"/>
      </w:pPr>
      <w:r>
        <w:rPr>
          <w:b/>
          <w:bCs/>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A.9).</w:t>
      </w:r>
    </w:p>
    <w:p>
      <w:pPr>
        <w:pStyle w:val="BodyText"/>
      </w:pPr>
      <w:r>
        <w:rPr>
          <w:b/>
          <w:bCs/>
        </w:rPr>
        <w:t xml:space="preserve">4. Título (D13).</w:t>
      </w:r>
      <w:r>
        <w:t xml:space="preserve"> </w:t>
      </w:r>
      <w:r>
        <w:t xml:space="preserve">“Probabilidad de no estabilización de la deuda pública argentina, 2026-2035: un modelo SVARX con determinantes macroeconómicos y política monetaria de Estados Unidos”</w:t>
      </w:r>
      <w:r>
        <w:t xml:space="preserve">. El título anterior hablaba de solvencia intertemporal y de deuda consolidada, que ya no son el objeto central.</w:t>
      </w:r>
    </w:p>
    <w:p>
      <w:pPr>
        <w:pStyle w:val="BodyText"/>
      </w:pPr>
      <w:r>
        <w:rPr>
          <w:b/>
          <w:bCs/>
        </w:rPr>
        <w:t xml:space="preserve">5. H1a con su criterio original.</w:t>
      </w:r>
      <w:r>
        <w:t xml:space="preserve"> </w:t>
      </w:r>
      <w:r>
        <w:t xml:space="preserve">H1a se contrasta con el criterio que figuraba antes de estimar: la descomposición de la varianza de la deuda en 2035, con un intervalo de 90% que excluye el cero. El cambio de criterio de la versión anterior se eliminó y ya no hace falta. La suficiencia del superávit queda como análisis descriptivo, sin criterio de contraste.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2026-10-17T21:07:52Z</dcterms:created>
  <dcterms:modified xsi:type="dcterms:W3CDTF">2026-10-17T21:07:52Z</dcterms:modified>
</cp:coreProperties>
</file>

<file path=docProps/custom.xml><?xml version="1.0" encoding="utf-8"?>
<Properties xmlns="http://schemas.openxmlformats.org/officeDocument/2006/custom-properties" xmlns:vt="http://schemas.openxmlformats.org/officeDocument/2006/docPropsVTypes"/>
</file>