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58f4139c88d135c1914e712ab5183ae9fd9102"/>
    <w:p>
      <w:pPr>
        <w:pStyle w:val="Heading1"/>
      </w:pPr>
      <w:r>
        <w:t xml:space="preserve">Seguimiento de tareas de la tesis (documento interno del grupo)</w:t>
      </w:r>
    </w:p>
    <w:p>
      <w:pPr>
        <w:pStyle w:val="FirstParagraph"/>
      </w:pPr>
      <w:r>
        <w:t xml:space="preserve">Documento de trabajo del grupo. Última actualización: 19 de octubre de 2026.</w:t>
      </w:r>
    </w:p>
    <w:bookmarkStart w:id="20" w:name="para-qué-sirve-este-documento"/>
    <w:p>
      <w:pPr>
        <w:pStyle w:val="Heading2"/>
      </w:pPr>
      <w:r>
        <w:t xml:space="preserve">1. Para qué sirve este documento</w:t>
      </w:r>
    </w:p>
    <w:p>
      <w:pPr>
        <w:pStyle w:val="FirstParagraph"/>
      </w:pPr>
      <w:r>
        <w:t xml:space="preserve">Ordena qué está hecho, qué se decidió y qué falta, para que todos trabajemos sobre la misma base. Cada decisión tiene su justificación en el documento de decisiones finales (D1 a D14). Cada número viene de la hoja de números (</w:t>
      </w:r>
      <w:r>
        <w:rPr>
          <w:rStyle w:val="VerbatimChar"/>
        </w:rPr>
        <w:t xml:space="preserve">codigo/modelos/hoja_de_numeros.py</w:t>
      </w:r>
      <w:r>
        <w:t xml:space="preserve">) o del Apéndice (</w:t>
      </w:r>
      <w:r>
        <w:rPr>
          <w:rStyle w:val="VerbatimChar"/>
        </w:rPr>
        <w:t xml:space="preserve">codigo/modelos/apendice_tablas.py</w:t>
      </w:r>
      <w:r>
        <w:t xml:space="preserve">). Lo que todavía no está hecho aparece como pendiente.</w:t>
      </w:r>
    </w:p>
    <w:bookmarkEnd w:id="20"/>
    <w:bookmarkStart w:id="22" w:name="estado-al-19-de-octubre-de-2026"/>
    <w:p>
      <w:pPr>
        <w:pStyle w:val="Heading2"/>
      </w:pPr>
      <w:r>
        <w:t xml:space="preserve">2. Estado al 19 de octubre de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Modelo rehecho</w:t>
      </w:r>
      <w:r>
        <w:t xml:space="preserve"> </w:t>
      </w:r>
      <w:r>
        <w:t xml:space="preserve">según las decisiones D1 a D12, después de la revisión adversarial del 11/10/2026,</w:t>
      </w:r>
      <w:r>
        <w:t xml:space="preserve"> </w:t>
      </w:r>
      <w:r>
        <w:rPr>
          <w:bCs/>
          <w:b/>
        </w:rPr>
        <w:t xml:space="preserve">reestimado</w:t>
      </w:r>
      <w:r>
        <w:t xml:space="preserve"> </w:t>
      </w:r>
      <w:r>
        <w:t xml:space="preserve">el 17/10/2026 con la ventana única 1996-2025 (D2) y</w:t>
      </w:r>
      <w:r>
        <w:t xml:space="preserve"> </w:t>
      </w:r>
      <w:r>
        <w:rPr>
          <w:bCs/>
          <w:b/>
        </w:rPr>
        <w:t xml:space="preserve">vuelto a estimar</w:t>
      </w:r>
      <w:r>
        <w:t xml:space="preserve"> </w:t>
      </w:r>
      <w:r>
        <w:t xml:space="preserve">el 17-19/10/2026 con la lista de cambios del equipo del 15/10: binarias presidenciales, cuatro transiciones de la tasa de la FED, deuda consolidada desde 2002, 1.000 réplicas, matrices de Cholesky y apertura de la varianza externa (Revisión crítica, sección 7). El 19/10 se volvió a correr todo el código desde cero y reproduce las cifras del texto.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Revisión de un compañero</w:t>
      </w:r>
      <w:r>
        <w:t xml:space="preserve"> </w:t>
      </w:r>
      <w:r>
        <w:t xml:space="preserve">(inconsistencias de período, nombre del EMBI, nombre de la identificación, números viejos y</w:t>
      </w:r>
      <w:r>
        <w:t xml:space="preserve"> </w:t>
      </w:r>
      <w:r>
        <w:rPr>
          <w:iCs/>
          <w:i/>
        </w:rPr>
        <w:t xml:space="preserve">commits</w:t>
      </w:r>
      <w:r>
        <w:t xml:space="preserve"> </w:t>
      </w:r>
      <w:r>
        <w:t xml:space="preserve">que no se veían en la rama por defecto): resuelta con las reglas D2 y D2b y el control automático</w:t>
      </w:r>
      <w:r>
        <w:t xml:space="preserve"> </w:t>
      </w:r>
      <w:r>
        <w:rPr>
          <w:rStyle w:val="VerbatimChar"/>
        </w:rPr>
        <w:t xml:space="preserve">tesis_oficial_borradores/verificar_consistencia.py</w:t>
      </w:r>
      <w:r>
        <w:t xml:space="preserve"> </w:t>
      </w:r>
      <w:r>
        <w:t xml:space="preserve">(Revisión crítica, sección 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propio en el resultado primario</w:t>
      </w:r>
      <w:r>
        <w:t xml:space="preserve">: resuelto con una definición única sin rentas de la propiedad (D4; Revisión crítica, sección 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</w:t>
      </w:r>
      <w:r>
        <w:t xml:space="preserve">: capítulos, Apéndice y documentos del grupo (plan de labor, propuesta metodológica, guía de defensa, revisión crítica, decisiones y este seguimiento) con los números de la versión final.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Pendiente</w:t>
      </w:r>
      <w:r>
        <w:t xml:space="preserve">: la validación de Pablo y del grupo (sección 5.1) y, como mejora opcional, los informes del FGS.</w:t>
      </w:r>
    </w:p>
    <w:bookmarkStart w:id="21" w:name="scripts-que-generan-los-resultados"/>
    <w:p>
      <w:pPr>
        <w:pStyle w:val="Heading3"/>
      </w:pPr>
      <w:r>
        <w:t xml:space="preserve">Scripts que generan los resultados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Propiedades de las series (ADF, KPSS, Zivot-Andrews, Bai-Perron, Johansen)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codigo/modelos/fase24b_propiedades_series.py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Estimación del SVARX, selección de rezagos, diagnósticos 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codigo/modelos/fase24_svarx_1996_2025.py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Simulación de Monte Carlo con el escenario del FMI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codigo/modelos/fase25_simulacion_dsa_svarx.py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rFonts w:ascii="Calibri" w:hAnsi="Calibri"/>
                <w:i/>
                <w:sz w:val="20"/>
              </w:rPr>
              <w:t xml:space="preserve">Shocks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 la manera del FMI y su 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codigo/modelos/fase25b_diagnostico_abanico_fmi.py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Empalmes del EMBI (1996T1-1998T3) y del TCRM (1996)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codigo/ingesta_datos/empalme_embi_tcrm_1996_1998.py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Hoja de números y tablas del Apéndice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codigo/modelos/hoja_de_numeros.py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codigo/modelos/apendice_tablas.py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Control de consistencia del texto (período, EMBI, identificación, números)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tesis_oficial_borradores/verificar_consistencia.py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Figuras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/>
                <w:sz w:val="20"/>
              </w:rPr>
              <w:t xml:space="preserve">codigo/modelos/figuras_tesis.py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codigo/modelos/fig_abanico_deuda.py</w:t>
            </w:r>
          </w:p>
        </w:tc>
      </w:tr>
    </w:tbl>
    <w:bookmarkEnd w:id="21"/>
    <w:bookmarkEnd w:id="22"/>
    <w:bookmarkStart w:id="23" w:name="decisiones-tomadas"/>
    <w:p>
      <w:pPr>
        <w:pStyle w:val="Heading2"/>
      </w:pPr>
      <w:r>
        <w:t xml:space="preserve">3. Decisiones tomadas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N.°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Especificación principal: deuda federal bruta, con 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stock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del FMI a fines de 2025 (80,3% del PIB) como punto de partida. Extensión: deuda consolidada con el BCRA (52,1% del PIB en la definición del FMI).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 la única forma de comparar con la probabilidad del FMI con el mismo perímetro, punto de partida y escenario.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Ventana única 1996-2025 y proyección 2026-2035; ecuaciones estimadas con 1998T2-2025T4 (111 trimestres). EMBI de 1996T1-1998T3 empalmado con la tasa interfinanciera en dólares del BCRA menos la tasa de fondos federales; TCRM de 1996 encadenado con el BIS.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Decisión del grupo. Los primeros trimestres son condiciones iniciales de los rezagos (Lütkepohl, 2005, sec. 4.3). El empalme del EMBI se valida en la superposición 1998T4-2001T3 (R² = 0,89) y con datos desde 1999 el resultado casi no cambia (29,5% contra 27,7% en 2031).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Reglas de consistencia: un solo período, un solo nombre para el EMBI, el TCRM, la deuda, la FED y la identificación.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Revisión de un compañero; lo verifica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verificar_consistencia.py</w:t>
            </w:r>
            <w:r>
              <w:rPr>
                <w:rFonts w:ascii="Calibri" w:hAnsi="Calibri"/>
                <w:sz w:val="20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Rezagos: Schwarz entre los órdenes estables y, si sus residuos están autocorrelacionados, el menor orden mayor que no lo esté; si ninguno pasa la prueba, el estable de mayor p-valor. Resultado: 2 rezagos (Portmanteau p = 0,031, autocorrelación leve declarada).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Ivanov y Kilian (2005) recomiendan Schwarz para datos trimestrales con menos de 120 observaciones; adecuación de residuos según Lütkepohl (2005, sec. 4.4).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Una sola definición del resultado primario: Sector Público Nacional sin rentas de la propiedad. Con rentas, como robustez.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El FMI excluye de su resultado primario las transferencias de utilidades del BCRA (FMI, 2026, cuadro 1, nota 4) y el MECON no las separa del resto de las rentas de la propiedad. En el perímetro consolidado esas utilidades también son un flujo interno.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Tasa de la FED con la tasa sombra de Wu y Xia (2016) en el límite cero; en las cuatro transiciones (2009T1, 2016T1, 2020T2 y 2022T1) la variación se calcula con la tasa efectiva.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No confundir el cambio de serie con un cambio de política.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VIX y nivel de la tasa de la FED simulados con procesos AR(1).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La incertidumbre externa forma parte del abanico.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Remuestreo de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shocks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en bloques de ocho trimestres.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Como los bloques de dos años del abanico del FMI (FMI, 2021, anexo VI).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Estimación central con MCO; intervalos con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bootstrap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de bloques y percentiles de Hall, 1.000 réplicas; números aleatorios comunes; Kilian (1998) como robustez.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Brüggemann et al. (2016); Hall (1992).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Ajuste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stock</w:t>
            </w:r>
            <w:r>
              <w:rPr>
                <w:rFonts w:ascii="Calibri" w:hAnsi="Calibri"/>
                <w:sz w:val="20"/>
              </w:rPr>
              <w:t xml:space="preserve">-flujo e inflación relativa escalados por moneda; métrica anual con el ajuste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stock</w:t>
            </w:r>
            <w:r>
              <w:rPr>
                <w:rFonts w:ascii="Calibri" w:hAnsi="Calibri"/>
                <w:sz w:val="20"/>
              </w:rPr>
              <w:t xml:space="preserve">-flujo; proporción en pesos fija; retroalimentación anual.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Definición del FMI (2021, párr. 53 y anexo VI) aplicada año por año.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H1a con dos condiciones: el criterio original de varianza y la suficiencia del superávit con el resultado primario de 2031 en su máximo histórico.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El criterio original se mantiene; la segunda condición, pedida por el equipo el 15/10 (B1), contrasta lo que la hipótesis afirma.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H1b con el mismo perímetro, punto de partida, escenario y horizonte del FMI, con dos métricas; Bonferroni por los dos horizontes.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Comparación de la misma deuda.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H2 contrastada en 2035; 2031 se informa; si se cumple en una medida o escenario y no en los otros, parcialmente respaldada.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El efecto de una tasa más alta se acumula; la regla de respaldo parcial queda escrita en la Tabla 4.4.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Título: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“</w:t>
            </w:r>
            <w:r>
              <w:rPr>
                <w:rFonts w:ascii="Calibri" w:hAnsi="Calibri"/>
                <w:sz w:val="20"/>
              </w:rPr>
              <w:t xml:space="preserve">Probabilidad de no estabilización de la deuda pública argentina, 2026-2035: un modelo SVARX con determinantes macroeconómicos y política monetaria de Estados Unidos</w:t>
            </w:r>
            <w:r>
              <w:rPr>
                <w:rFonts w:ascii="Calibri" w:hAnsi="Calibri"/>
                <w:sz w:val="20"/>
              </w:rPr>
              <w:t xml:space="preserve">”</w:t>
            </w:r>
            <w:r>
              <w:rPr>
                <w:rFonts w:ascii="Calibri" w:hAnsi="Calibri"/>
                <w:sz w:val="20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El título anterior prometía más de lo que se mide.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Tabla completa de robustez al Apéndice (A.10); ejes 2, 3 y 8 de Antecedentes reducidos.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Extensión.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Siete binarias por mandato presidencial en la especificación principal, con Menem como referencia; la variante sin ellas como robustez. Deuda consolidada estimada desde 2002, como extensión exploratoria.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Pedido del equipo (A4 y A5). Wald y razón de verosimilitud rechazan que las binarias no importen. Antes de 2002 la consolidación no tiene fundamento en el criterio del FMI.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Dos métricas de no estabilización con el mismo peso: la anual de la tesis y la definición operativa del FMI (FMI, 2022, recuadro 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La tesis decía usar la misma métrica que el FMI y no era así. Con la del FMI, H1b y H1a (ii) no se cumplen. Cuál es la principal queda para el grupo y Pablo.</w:t>
            </w:r>
          </w:p>
        </w:tc>
      </w:tr>
    </w:tbl>
    <w:p>
      <w:pPr>
        <w:pStyle w:val="BodyText"/>
      </w:pPr>
      <w:r>
        <w:t xml:space="preserve">Las decisiones anteriores al 12/10 que siguen vigentes: la Introducción del 7/10 como base; el umbral de 100% del PIB fuera de las hipótesis; el canal cuasifiscal de la FED redactado en pasado; el módulo de balanza de pagos como línea futura; todo umbral, corte o tamaño de</w:t>
      </w:r>
      <w:r>
        <w:t xml:space="preserve"> </w:t>
      </w:r>
      <w:r>
        <w:rPr>
          <w:iCs/>
          <w:i/>
        </w:rPr>
        <w:t xml:space="preserve">shock</w:t>
      </w:r>
      <w:r>
        <w:t xml:space="preserve"> </w:t>
      </w:r>
      <w:r>
        <w:t xml:space="preserve">con justificación escrita; la identificación principal con restricciones de impacto en la línea de Blanchard y Perotti (2002) para el bloque fiscal y de actividad, con un bloque cambiario y de riesgo (EMBI y TCRM) identificado en conjunto, y dos ordenamientos de Cholesky (resultado primario primero y resultado primario último) como robustez.</w:t>
      </w:r>
    </w:p>
    <w:bookmarkEnd w:id="23"/>
    <w:bookmarkStart w:id="30" w:name="etapas"/>
    <w:p>
      <w:pPr>
        <w:pStyle w:val="Heading2"/>
      </w:pPr>
      <w:r>
        <w:t xml:space="preserve">4. Etapas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Cs/>
          <w:b/>
        </w:rPr>
        <w:t xml:space="preserve">hecho</w:t>
      </w:r>
      <w:r>
        <w:t xml:space="preserve">,</w:t>
      </w:r>
      <w:r>
        <w:t xml:space="preserve"> </w:t>
      </w:r>
      <w:r>
        <w:rPr>
          <w:bCs/>
          <w:b/>
        </w:rPr>
        <w:t xml:space="preserve">en curso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pendiente</w:t>
      </w:r>
      <w:r>
        <w:t xml:space="preserve">.</w:t>
      </w:r>
    </w:p>
    <w:bookmarkStart w:id="24" w:name="X653ab6a61b7e61932b5bff6648930e6bd06af6a"/>
    <w:p>
      <w:pPr>
        <w:pStyle w:val="Heading3"/>
      </w:pPr>
      <w:r>
        <w:t xml:space="preserve">Etapa 1. Introducción y Antecedentes (hecha)</w:t>
      </w:r>
    </w:p>
    <w:p>
      <w:pPr>
        <w:numPr>
          <w:ilvl w:val="0"/>
          <w:numId w:val="1002"/>
        </w:numPr>
        <w:pStyle w:val="Compact"/>
      </w:pPr>
      <w:r>
        <w:t xml:space="preserve">Introducción reescrita con el perímetro de D1 y los criterios de D10 a D12. Antecedentes con los ejes 2, 3 y 8 reducidos (D14).</w:t>
      </w:r>
    </w:p>
    <w:bookmarkEnd w:id="24"/>
    <w:bookmarkStart w:id="25" w:name="etapa-2.-datos-hecha"/>
    <w:p>
      <w:pPr>
        <w:pStyle w:val="Heading3"/>
      </w:pPr>
      <w:r>
        <w:t xml:space="preserve">Etapa 2. Datos (hecha)</w:t>
      </w:r>
    </w:p>
    <w:p>
      <w:pPr>
        <w:numPr>
          <w:ilvl w:val="0"/>
          <w:numId w:val="1003"/>
        </w:numPr>
        <w:pStyle w:val="Compact"/>
      </w:pPr>
      <w:r>
        <w:t xml:space="preserve">Series de 1996-2025 con fuentes publicadas (MECON, BCRA, INDEC, FRED, BIS y Ámbito Financiero para el EMBI), con los empalmes del EMBI de 1996T1-1998T3 y del TCRM de 1996. Se eliminaron los valores del EMBI de 1993-1998 escritos a mano de la base anterior. Deuda federal bruta y deuda consolidada con el BCRA. Resultado primario sin rentas de la propiedad para los dos perímetros (D4).</w:t>
      </w:r>
    </w:p>
    <w:bookmarkEnd w:id="25"/>
    <w:bookmarkStart w:id="26" w:name="etapa-3.-metodología-y-estimación-hecha"/>
    <w:p>
      <w:pPr>
        <w:pStyle w:val="Heading3"/>
      </w:pPr>
      <w:r>
        <w:t xml:space="preserve">Etapa 3. Metodología y estimación (hecha)</w:t>
      </w:r>
    </w:p>
    <w:p>
      <w:pPr>
        <w:numPr>
          <w:ilvl w:val="0"/>
          <w:numId w:val="1004"/>
        </w:numPr>
        <w:pStyle w:val="Compact"/>
      </w:pPr>
      <w:r>
        <w:t xml:space="preserve">SVARX con 2 rezagos, binarias presidenciales y de quiebre, ecuaciones estimadas con 1998T2-2025T4, autovalor máximo 0,776. Reacción fiscal de impacto 0,0466 [0,0231; 0,0835] y de largo plazo 0,079 [0,062; 0,147]. Autocorrelación residual leve (Portmanteau p = 0,031), declarada como limitación.</w:t>
      </w:r>
    </w:p>
    <w:bookmarkEnd w:id="26"/>
    <w:bookmarkStart w:id="27" w:name="etapa-4.-simulación-y-contrastes-hecha"/>
    <w:p>
      <w:pPr>
        <w:pStyle w:val="Heading3"/>
      </w:pPr>
      <w:r>
        <w:t xml:space="preserve">Etapa 4. Simulación y contrastes (hecha)</w:t>
      </w:r>
    </w:p>
    <w:p>
      <w:pPr>
        <w:numPr>
          <w:ilvl w:val="0"/>
          <w:numId w:val="1005"/>
        </w:numPr>
        <w:pStyle w:val="Compact"/>
      </w:pPr>
      <w:r>
        <w:t xml:space="preserve">H1a respaldada en sus dos condiciones: (i) 96,8 puntos [90,8; 99,8], en las 21 especificaciones (77,9 sin binarias presidenciales); (ii) con el resultado primario de 2031 en su máximo de 1996-2025 (3,29% del PIB), la probabilidad en 2031 es 23,0%; llevarla al 1% exige sumar 7,25 puntos al resultado primario del escenario.</w:t>
      </w:r>
    </w:p>
    <w:p>
      <w:pPr>
        <w:numPr>
          <w:ilvl w:val="0"/>
          <w:numId w:val="1005"/>
        </w:numPr>
        <w:pStyle w:val="Compact"/>
      </w:pPr>
      <w:r>
        <w:t xml:space="preserve">H1b respaldada: 27,7% [20,6; 34,7] en 2031 y 29,0% [25,0; 36,1] en 2035, contra 1% y menos de 3% del FMI, en las 21 especificaciones.</w:t>
      </w:r>
    </w:p>
    <w:p>
      <w:pPr>
        <w:numPr>
          <w:ilvl w:val="0"/>
          <w:numId w:val="1005"/>
        </w:numPr>
        <w:pStyle w:val="Compact"/>
      </w:pPr>
      <w:r>
        <w:t xml:space="preserve">H2 parcialmente respaldada: el efecto de la senda 2022-2025 sobre la probabilidad (+18,4 puntos en 2035 [6,3; 29,1]) es robusto; el efecto sobre la deuda (+19,3 [-0,3; 31,3]) incluye el cero. El 77% del efecto sobre la deuda es el costo directo de la deuda en dólares. Sin binarias presidenciales el efecto de la senda es de 9,7 puntos.</w:t>
      </w:r>
    </w:p>
    <w:p>
      <w:pPr>
        <w:numPr>
          <w:ilvl w:val="0"/>
          <w:numId w:val="1005"/>
        </w:numPr>
        <w:pStyle w:val="Compact"/>
      </w:pPr>
      <w:r>
        <w:t xml:space="preserve">Variante sin empalme (datos desde 1999): 29,5% [22,5; 36,7] en 2031; H1a y H2 no cambian.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Shocks</w:t>
      </w:r>
      <w:r>
        <w:t xml:space="preserve"> </w:t>
      </w:r>
      <w:r>
        <w:t xml:space="preserve">a la manera del FMI sobre la deuda federal bruta: 24,1% en 2031, con un ancho del abanico de 148,4.</w:t>
      </w:r>
    </w:p>
    <w:p>
      <w:pPr>
        <w:numPr>
          <w:ilvl w:val="0"/>
          <w:numId w:val="1005"/>
        </w:numPr>
        <w:pStyle w:val="Compact"/>
      </w:pPr>
      <w:r>
        <w:t xml:space="preserve">Extensión consolidada (desde 2002): 31,1% en 2031, exploratoria.</w:t>
      </w:r>
    </w:p>
    <w:bookmarkEnd w:id="27"/>
    <w:bookmarkStart w:id="28" w:name="etapa-5.-redacción-hecha"/>
    <w:p>
      <w:pPr>
        <w:pStyle w:val="Heading3"/>
      </w:pPr>
      <w:r>
        <w:t xml:space="preserve">Etapa 5. Redacción (hecha)</w:t>
      </w:r>
    </w:p>
    <w:p>
      <w:pPr>
        <w:numPr>
          <w:ilvl w:val="0"/>
          <w:numId w:val="1006"/>
        </w:numPr>
        <w:pStyle w:val="Compact"/>
      </w:pPr>
      <w:r>
        <w:t xml:space="preserve">Capítulos, Apéndice y documentos del grupo con los números de la versión final. El control</w:t>
      </w:r>
      <w:r>
        <w:t xml:space="preserve"> </w:t>
      </w:r>
      <w:r>
        <w:rPr>
          <w:rStyle w:val="VerbatimChar"/>
        </w:rPr>
        <w:t xml:space="preserve">verificar_consistencia.py</w:t>
      </w:r>
      <w:r>
        <w:t xml:space="preserve"> </w:t>
      </w:r>
      <w:r>
        <w:t xml:space="preserve">y las pruebas automáticas terminan sin problemas.</w:t>
      </w:r>
    </w:p>
    <w:bookmarkEnd w:id="28"/>
    <w:bookmarkStart w:id="29" w:name="etapa-6.-validación-y-entrega-en-curso"/>
    <w:p>
      <w:pPr>
        <w:pStyle w:val="Heading3"/>
      </w:pPr>
      <w:r>
        <w:t xml:space="preserve">Etapa 6. Validación y entrega (en curso)</w:t>
      </w:r>
    </w:p>
    <w:p>
      <w:pPr>
        <w:numPr>
          <w:ilvl w:val="0"/>
          <w:numId w:val="1007"/>
        </w:numPr>
        <w:pStyle w:val="Compact"/>
      </w:pPr>
      <w:r>
        <w:t xml:space="preserve">Validación del grupo y del director, y entrega.</w:t>
      </w:r>
    </w:p>
    <w:bookmarkEnd w:id="29"/>
    <w:bookmarkEnd w:id="30"/>
    <w:bookmarkStart w:id="35" w:name="qué-falta-actualizado-el-19102026"/>
    <w:p>
      <w:pPr>
        <w:pStyle w:val="Heading2"/>
      </w:pPr>
      <w:r>
        <w:t xml:space="preserve">5. Qué falta (actualizado el 19/10/2026)</w:t>
      </w:r>
    </w:p>
    <w:bookmarkStart w:id="31" w:name="validación-del-grupo-y-del-director"/>
    <w:p>
      <w:pPr>
        <w:pStyle w:val="Heading3"/>
      </w:pPr>
      <w:r>
        <w:t xml:space="preserve">5.1 Validación del grupo y del director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D1: deuda federal bruta como especificación principal y consolidada como extensión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D2: ventana 1996-2025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Decidida por el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D10: H1a con dos condiciones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Pendiente (Pablo)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D13: título 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D15: binarias presidenciales en la especificación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Pendiente (Pablo)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D16: métrica principal (anual, definición del FMI o las dos con el mismo peso)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Pendiente (grupo y Pablo). Es la decisión más importante antes de la defensa: cambia el veredicto de H1b.</w:t>
            </w:r>
          </w:p>
        </w:tc>
      </w:tr>
    </w:tbl>
    <w:bookmarkEnd w:id="31"/>
    <w:bookmarkStart w:id="32" w:name="informes-del-fgs"/>
    <w:p>
      <w:pPr>
        <w:pStyle w:val="Heading3"/>
      </w:pPr>
      <w:r>
        <w:t xml:space="preserve">5.2 Informes del FGS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Por qué importa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Cómo se resuelve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Títulos públicos en cartera del FGS (ANSES), 2008-2025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La serie histórica de deuda consolidada no descuenta la deuda del Tesoro en manos del FGS. La especificación principal no se ve afectada, y la simulación de la extensión parte del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iCs/>
                <w:rFonts w:ascii="Calibri" w:hAnsi="Calibri"/>
                <w:i/>
                <w:sz w:val="20"/>
              </w:rPr>
              <w:t xml:space="preserve">stock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del FMI, que sí lo descuenta.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ANSES bloquea la descarga automática (protección anti-bots); hay que bajar los PDF a mano desde el navegador y guardarlos en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datos/crudos/fgs/</w:t>
            </w:r>
            <w:r>
              <w:rPr>
                <w:rFonts w:ascii="Calibri" w:hAnsi="Calibri"/>
                <w:sz w:val="20"/>
              </w:rPr>
              <w:t xml:space="preserve">. Archivos: Informe Estadístico Mensual de enero de 2026 (https://www.anses.gob.ar/sites/default/files/archivo/2026-03/IEM-FGS-2026-01.pdf), Anuario 2024 (https://www.anses.gob.ar/sites/default/files/inline-files/Anuario%202024.pdf), Consejo del FGS de diciembre de 2025 (https://www.anses.gob.ar/sites/default/files/archivo/2026-02/Consejo%20FGS-Diciembre-2025.pdf) y, para años anteriores, los anuarios e informes de la página del FGS (https://www.anses.gob.ar/fgs-fondo-de-garantia-de-sustentabilidad). De cada uno se toma la fila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“</w:t>
            </w:r>
            <w:r>
              <w:rPr>
                <w:rFonts w:ascii="Calibri" w:hAnsi="Calibri"/>
                <w:sz w:val="20"/>
              </w:rPr>
              <w:t xml:space="preserve">Títulos Públicos Nacionales</w:t>
            </w:r>
            <w:r>
              <w:rPr>
                <w:rFonts w:ascii="Calibri" w:hAnsi="Calibri"/>
                <w:sz w:val="20"/>
              </w:rPr>
              <w:t xml:space="preserve">”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al cierre de cada año o trimestre. El script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codigo/ingesta_datos/construir_tenencias_fgs.py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ya está listo para leerlos.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Opcional: bajar 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Deuda en manos de Agencias del Sector Público (Secretaría de Finanzas)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Dato descriptivo de la deuda intra sector público. No se usa para restar, porque incluye otras entidades y duplicaría parte de lo que ya se consolida.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Está en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datos/procesados/tenencias_fgs_1996_2025.csv</w:t>
            </w:r>
            <w:r>
              <w:rPr>
                <w:rFonts w:ascii="Calibri" w:hAnsi="Calibri"/>
                <w:sz w:val="20"/>
              </w:rPr>
              <w:t xml:space="preserve">, con los PDF de Finanzas en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datos/crudos/fgs/</w:t>
            </w:r>
            <w:r>
              <w:rPr>
                <w:rFonts w:ascii="Calibri" w:hAnsi="Calibri"/>
                <w:sz w:val="20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Hecho</w:t>
            </w:r>
          </w:p>
        </w:tc>
      </w:tr>
    </w:tbl>
    <w:bookmarkEnd w:id="32"/>
    <w:bookmarkStart w:id="33" w:name="control-final-de-extensión"/>
    <w:p>
      <w:pPr>
        <w:pStyle w:val="Heading3"/>
      </w:pPr>
      <w:r>
        <w:t xml:space="preserve">5.3 Control final de extensión</w:t>
      </w:r>
    </w:p>
    <w:p>
      <w:pPr>
        <w:numPr>
          <w:ilvl w:val="0"/>
          <w:numId w:val="1008"/>
        </w:numPr>
        <w:pStyle w:val="Compact"/>
      </w:pPr>
      <w:r>
        <w:t xml:space="preserve">Contar las páginas del texto reescrito. Si supera unas 60, acordar en el grupo qué se recorta. La tabla completa de robustez ya pasó al Apéndice y los ejes 2, 3 y 8 de Antecedentes ya se redujeron (D14).</w:t>
      </w:r>
    </w:p>
    <w:bookmarkEnd w:id="33"/>
    <w:bookmarkStart w:id="34" w:name="Xf62d34386df59d6e7b83021b167ba9e7ac6ef10"/>
    <w:p>
      <w:pPr>
        <w:pStyle w:val="Heading3"/>
      </w:pPr>
      <w:r>
        <w:t xml:space="preserve">5.4 Registro de verificaciones de citas (sin cambios desde el 11/10)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Braun y Joy (1968), restricción externa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No hay copia abierta (Oxford y JSTOR). Si alguien tiene acceso por la facultad, se verifica contra el original.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Adler, Djigbenou y Sosa (2016)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Verificada sobre el documento de trabajo del FMI (WP/14/60), no sobre la versión de la revista.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Brüggemann, Jentsch y Trenkler (2016) y Hall (1992)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Se agregan a las referencias por D8.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Las otras citas del marco teórico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/>
                <w:sz w:val="20"/>
              </w:rPr>
              <w:t xml:space="preserve">Verificadas contra el texto completo, con página (ver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verificacion_citas_marco.md</w:t>
            </w:r>
            <w:r>
              <w:rPr>
                <w:rFonts w:ascii="Calibri" w:hAnsi="Calibri"/>
                <w:sz w:val="20"/>
              </w:rPr>
              <w:t xml:space="preserve">).</w:t>
            </w:r>
          </w:p>
        </w:tc>
      </w:tr>
    </w:tbl>
    <w:bookmarkEnd w:id="34"/>
    <w:bookmarkEnd w:id="35"/>
    <w:bookmarkStart w:id="36" w:name="referencias-de-este-documento"/>
    <w:p>
      <w:pPr>
        <w:pStyle w:val="Heading2"/>
      </w:pPr>
      <w:r>
        <w:t xml:space="preserve">Referencias de este documento</w:t>
      </w:r>
    </w:p>
    <w:p>
      <w:pPr>
        <w:numPr>
          <w:ilvl w:val="0"/>
          <w:numId w:val="1009"/>
        </w:numPr>
        <w:pStyle w:val="Compact"/>
      </w:pPr>
      <w:r>
        <w:t xml:space="preserve">Brüggemann, R., Jentsch, C., y Trenkler, C. (2016). Inference in VARs with conditional heteroskedasticity of unknown form.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,</w:t>
      </w:r>
      <w:r>
        <w:t xml:space="preserve"> </w:t>
      </w:r>
      <w:r>
        <w:rPr>
          <w:iCs/>
          <w:i/>
        </w:rPr>
        <w:t xml:space="preserve">191</w:t>
      </w:r>
      <w:r>
        <w:t xml:space="preserve">(1), 69-85. https://doi.org/10.1016/j.jeconom.2015.10.004</w:t>
      </w:r>
    </w:p>
    <w:p>
      <w:pPr>
        <w:numPr>
          <w:ilvl w:val="0"/>
          <w:numId w:val="1009"/>
        </w:numPr>
        <w:pStyle w:val="Compact"/>
      </w:pPr>
      <w:r>
        <w:t xml:space="preserve">Fondo Monetario Internacional [FMI]. (2021).</w:t>
      </w:r>
      <w:r>
        <w:t xml:space="preserve"> </w:t>
      </w:r>
      <w:r>
        <w:rPr>
          <w:iCs/>
          <w:i/>
        </w:rPr>
        <w:t xml:space="preserve">Review of the debt sustainability framework for market access countries</w:t>
      </w:r>
      <w:r>
        <w:t xml:space="preserve"> </w:t>
      </w:r>
      <w:r>
        <w:t xml:space="preserve">(IMF Policy Paper).</w:t>
      </w:r>
    </w:p>
    <w:p>
      <w:pPr>
        <w:numPr>
          <w:ilvl w:val="0"/>
          <w:numId w:val="1009"/>
        </w:numPr>
        <w:pStyle w:val="Compact"/>
      </w:pPr>
      <w:r>
        <w:t xml:space="preserve">Fondo Monetario Internacional [FMI]. (2026).</w:t>
      </w:r>
      <w:r>
        <w:t xml:space="preserve"> </w:t>
      </w:r>
      <w:r>
        <w:rPr>
          <w:iCs/>
          <w:i/>
        </w:rPr>
        <w:t xml:space="preserve">Argentina: 2026 Article IV consultation, second review under the extended arrangement under the Extended Fund Facility</w:t>
      </w:r>
      <w:r>
        <w:t xml:space="preserve"> </w:t>
      </w:r>
      <w:r>
        <w:t xml:space="preserve">(IMF Country Report No. 26/105).</w:t>
      </w:r>
    </w:p>
    <w:p>
      <w:pPr>
        <w:numPr>
          <w:ilvl w:val="0"/>
          <w:numId w:val="1009"/>
        </w:numPr>
        <w:pStyle w:val="Compact"/>
      </w:pPr>
      <w:r>
        <w:t xml:space="preserve">Hall, P. (1992).</w:t>
      </w:r>
      <w:r>
        <w:t xml:space="preserve"> </w:t>
      </w:r>
      <w:r>
        <w:rPr>
          <w:iCs/>
          <w:i/>
        </w:rPr>
        <w:t xml:space="preserve">The bootstrap and Edgeworth expansion</w:t>
      </w:r>
      <w:r>
        <w:t xml:space="preserve">. Springer. https://doi.org/10.1007/978-1-4612-4384-7</w:t>
      </w:r>
    </w:p>
    <w:p>
      <w:pPr>
        <w:numPr>
          <w:ilvl w:val="0"/>
          <w:numId w:val="1009"/>
        </w:numPr>
        <w:pStyle w:val="Compact"/>
      </w:pPr>
      <w:r>
        <w:t xml:space="preserve">Ivanov, V., y Kilian, L. (2005). A practitioner’s guide to lag order selection for VAR impulse response analysis.</w:t>
      </w:r>
      <w:r>
        <w:t xml:space="preserve"> </w:t>
      </w:r>
      <w:r>
        <w:rPr>
          <w:iCs/>
          <w:i/>
        </w:rPr>
        <w:t xml:space="preserve">Studies in Nonlinear Dynamics and Econometrics</w:t>
      </w:r>
      <w:r>
        <w:t xml:space="preserve">,</w:t>
      </w:r>
      <w:r>
        <w:t xml:space="preserve"> </w:t>
      </w:r>
      <w:r>
        <w:rPr>
          <w:iCs/>
          <w:i/>
        </w:rPr>
        <w:t xml:space="preserve">9</w:t>
      </w:r>
      <w:r>
        <w:t xml:space="preserve">(1), artículo 2. https://doi.org/10.2202/1558-3708.1219</w:t>
      </w:r>
    </w:p>
    <w:p>
      <w:pPr>
        <w:numPr>
          <w:ilvl w:val="0"/>
          <w:numId w:val="1009"/>
        </w:numPr>
        <w:pStyle w:val="Compact"/>
      </w:pPr>
      <w:r>
        <w:t xml:space="preserve">Kilian, L. (1998). Small-sample confidence intervals for impulse response functions.</w:t>
      </w:r>
      <w:r>
        <w:t xml:space="preserve"> </w:t>
      </w:r>
      <w:r>
        <w:rPr>
          <w:iCs/>
          <w:i/>
        </w:rPr>
        <w:t xml:space="preserve">Review of Economics and Statistics</w:t>
      </w:r>
      <w:r>
        <w:t xml:space="preserve">,</w:t>
      </w:r>
      <w:r>
        <w:t xml:space="preserve"> </w:t>
      </w:r>
      <w:r>
        <w:rPr>
          <w:iCs/>
          <w:i/>
        </w:rPr>
        <w:t xml:space="preserve">80</w:t>
      </w:r>
      <w:r>
        <w:t xml:space="preserve">(2), 218-230. https://doi.org/10.1162/003465398557465</w:t>
      </w:r>
    </w:p>
    <w:p>
      <w:pPr>
        <w:numPr>
          <w:ilvl w:val="0"/>
          <w:numId w:val="1009"/>
        </w:numPr>
        <w:pStyle w:val="Compact"/>
      </w:pPr>
      <w:r>
        <w:t xml:space="preserve">Lütkepohl, H. (2005).</w:t>
      </w:r>
      <w:r>
        <w:t xml:space="preserve"> </w:t>
      </w:r>
      <w:r>
        <w:rPr>
          <w:iCs/>
          <w:i/>
        </w:rPr>
        <w:t xml:space="preserve">New introduction to multiple time series analysis</w:t>
      </w:r>
      <w:r>
        <w:t xml:space="preserve">. Springer.</w:t>
      </w:r>
    </w:p>
    <w:p>
      <w:pPr>
        <w:numPr>
          <w:ilvl w:val="0"/>
          <w:numId w:val="1009"/>
        </w:numPr>
        <w:pStyle w:val="Compact"/>
      </w:pPr>
      <w:r>
        <w:t xml:space="preserve">Wu, J. C., y Xia, F. D. (2016). Measuring the macroeconomic impact of monetary policy at the zero lower bound.</w:t>
      </w:r>
      <w:r>
        <w:t xml:space="preserve"> </w:t>
      </w:r>
      <w:r>
        <w:rPr>
          <w:iCs/>
          <w:i/>
        </w:rPr>
        <w:t xml:space="preserve">Journal of Money, Credit and Banking</w:t>
      </w:r>
      <w:r>
        <w:t xml:space="preserve">,</w:t>
      </w:r>
      <w:r>
        <w:t xml:space="preserve"> </w:t>
      </w:r>
      <w:r>
        <w:rPr>
          <w:iCs/>
          <w:i/>
        </w:rPr>
        <w:t xml:space="preserve">48</w:t>
      </w:r>
      <w:r>
        <w:t xml:space="preserve">(2-3), 253-291. https://doi.org/10.1111/jmcb.12300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  <w:jc w:val="both"/>
    </w:pPr>
    <w:qFormat/>
    <w:rPr>
      <w:rFonts w:ascii="Calibri" w:cs="Calibri" w:eastAsia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  <w:jc w:val="both"/>
    </w:pPr>
    <w:rPr>
      <w:rFonts w:ascii="Calibri" w:cs="Calibri" w:eastAsia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pageBreakBefore w:val="0"/>
      <w:spacing w:after="240" w:before="480"/>
      <w:jc w:val="center"/>
    </w:pPr>
    <w:rPr>
      <w:rFonts w:ascii="Calibri" w:cs="Calibri" w:eastAsia="Calibri" w:hAnsi="Calibr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 w:val="0"/>
      <w:spacing w:after="0" w:before="48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ageBreakBefore w:val="0"/>
      <w:spacing w:after="0" w:before="200"/>
      <w:outlineLvl w:val="1"/>
    </w:pPr>
    <w:rPr>
      <w:rFonts w:ascii="Calibri" w:cs="Calibri" w:eastAsia="Calibri" w:hAnsi="Calibr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pageBreakBefore w:val="0"/>
      <w:spacing w:after="0" w:before="20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pageBreakBefore w:val="0"/>
      <w:spacing w:after="0" w:before="200"/>
      <w:outlineLvl w:val="3"/>
    </w:pPr>
    <w:rPr>
      <w:rFonts w:ascii="Calibri" w:cs="Calibri" w:eastAsia="Calibri" w:hAnsi="Calibri"/>
      <w:i/>
      <w:b/>
      <w:bCs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000000"/>
      <w:sz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2026-10-20T12:54:52Z</dcterms:created>
  <dcterms:modified xsi:type="dcterms:W3CDTF">2026-10-20T12:54:52Z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