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Versión 2, del 10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VECM: no encuentran reacción fiscal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H1a (reacción fiscal),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n"/>
    <w:p>
      <w:pPr>
        <w:pStyle w:val="Heading3"/>
      </w:pPr>
      <w:r>
        <w:t xml:space="preserve">Las cuatro piezas que faltan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(FRED).</w:t>
      </w:r>
    </w:p>
    <w:p>
      <w:pPr>
        <w:pStyle w:val="Compact"/>
        <w:numPr>
          <w:ilvl w:val="0"/>
          <w:numId w:val="1004"/>
        </w:numPr>
      </w:pPr>
      <w:r>
        <w:t xml:space="preserve">SVARX: extender</w:t>
      </w:r>
      <w:r>
        <w:t xml:space="preserve"> </w:t>
      </w:r>
      <w:r>
        <w:rPr>
          <w:rStyle w:val="VerbatimChar"/>
        </w:rPr>
        <w:t xml:space="preserve">fase19</w:t>
      </w:r>
      <w:r>
        <w:t xml:space="preserve"> </w:t>
      </w:r>
      <w:r>
        <w:t xml:space="preserve">con variables exógenas.</w:t>
      </w:r>
    </w:p>
    <w:p>
      <w:pPr>
        <w:pStyle w:val="Compact"/>
        <w:numPr>
          <w:ilvl w:val="0"/>
          <w:numId w:val="1004"/>
        </w:numPr>
      </w:pPr>
      <w:r>
        <w:t xml:space="preserve">Simulación nueva, desde el SVARX y con las métricas del FMI.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</w:tbl>
    <w:bookmarkEnd w:id="15"/>
    <w:bookmarkStart w:id="23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448d40dca89f9f9c4f6217ad26cdb620dc83252"/>
    <w:p>
      <w:pPr>
        <w:pStyle w:val="Heading3"/>
      </w:pPr>
      <w:r>
        <w:t xml:space="preserve">Etapa 1. Introducción (borrador listo para revisión del grupo)</w:t>
      </w:r>
    </w:p>
    <w:p>
      <w:pPr>
        <w:pStyle w:val="Compact"/>
        <w:numPr>
          <w:ilvl w:val="0"/>
          <w:numId w:val="1005"/>
        </w:numPr>
      </w:pPr>
      <w:r>
        <w:t xml:space="preserve">Hecho: borrador corregido (</w:t>
      </w:r>
      <w:r>
        <w:rPr>
          <w:rStyle w:val="VerbatimChar"/>
        </w:rPr>
        <w:t xml:space="preserve">introduccion_v3</w:t>
      </w:r>
      <w:r>
        <w:t xml:space="preserve">). Corrige citas mal usadas (Reinhart et al.,</w:t>
      </w:r>
      <w:r>
        <w:t xml:space="preserve"> </w:t>
      </w:r>
      <w:r>
        <w:t xml:space="preserve">2003; Mendoza y Oviedo, 2007), actualiza la coyuntura con datos de la OPC de julio de 2026,</w:t>
      </w:r>
      <w:r>
        <w:t xml:space="preserve"> </w:t>
      </w:r>
      <w:r>
        <w:t xml:space="preserve">reescribe la pregunta, los objetivos y las hipótesis, y suma la Justificación con la Ley</w:t>
      </w:r>
      <w:r>
        <w:t xml:space="preserve"> </w:t>
      </w:r>
      <w:r>
        <w:t xml:space="preserve">27.612.</w:t>
      </w:r>
    </w:p>
    <w:p>
      <w:pPr>
        <w:pStyle w:val="Compact"/>
        <w:numPr>
          <w:ilvl w:val="0"/>
          <w:numId w:val="1005"/>
        </w:numPr>
      </w:pPr>
      <w:r>
        <w:t xml:space="preserve">Pendiente: definir el tamaño del shock de la FED (ver punto 6) y confirmar los datos de coyuntura marcados.</w:t>
      </w:r>
    </w:p>
    <w:bookmarkEnd w:id="16"/>
    <w:bookmarkStart w:id="17" w:name="X54a10ff3e6f155a28511cdc459424258071cfb3"/>
    <w:p>
      <w:pPr>
        <w:pStyle w:val="Heading3"/>
      </w:pPr>
      <w:r>
        <w:t xml:space="preserve">Etapa 2. Antecedentes y área de vacancia (borrador listo para revisión del grupo)</w:t>
      </w:r>
    </w:p>
    <w:p>
      <w:pPr>
        <w:pStyle w:val="Compact"/>
        <w:numPr>
          <w:ilvl w:val="0"/>
          <w:numId w:val="1006"/>
        </w:numPr>
      </w:pPr>
      <w:r>
        <w:t xml:space="preserve">Hecho:</w:t>
      </w:r>
    </w:p>
    <w:p>
      <w:pPr>
        <w:pStyle w:val="Compact"/>
        <w:numPr>
          <w:ilvl w:val="1"/>
          <w:numId w:val="1007"/>
        </w:numPr>
      </w:pPr>
      <w:r>
        <w:t xml:space="preserve">los antecedentes de Santiago y los del texto LaTeX quedaron fusionados en ocho ejes, más la</w:t>
      </w:r>
      <w:r>
        <w:t xml:space="preserve"> </w:t>
      </w:r>
      <w:r>
        <w:t xml:space="preserve">vacancia (</w:t>
      </w:r>
      <w:r>
        <w:rPr>
          <w:rStyle w:val="VerbatimChar"/>
        </w:rPr>
        <w:t xml:space="preserve">antecedentes_v3</w:t>
      </w:r>
      <w:r>
        <w:t xml:space="preserve">);</w:t>
      </w:r>
    </w:p>
    <w:p>
      <w:pPr>
        <w:pStyle w:val="Compact"/>
        <w:numPr>
          <w:ilvl w:val="1"/>
          <w:numId w:val="1007"/>
        </w:numPr>
      </w:pPr>
      <w:r>
        <w:t xml:space="preserve">se verificó en el informe del FMI de 2025 (Informe de País N.° 25/95, anexo II) el perímetro</w:t>
      </w:r>
      <w:r>
        <w:t xml:space="preserve"> </w:t>
      </w:r>
      <w:r>
        <w:t xml:space="preserve">que usa ese organismo;</w:t>
      </w:r>
    </w:p>
    <w:p>
      <w:pPr>
        <w:pStyle w:val="Compact"/>
        <w:numPr>
          <w:ilvl w:val="1"/>
          <w:numId w:val="1007"/>
        </w:numPr>
      </w:pPr>
      <w:r>
        <w:t xml:space="preserve">Introducción y Antecedentes quedaron en un solo Word.</w:t>
      </w:r>
      <w:r>
        <w:t xml:space="preserve"> </w:t>
      </w:r>
      <w:r>
        <w:t xml:space="preserve">### Etapa 3. Datos (pendiente; es el siguiente paso técnico)</w:t>
      </w:r>
    </w:p>
    <w:p>
      <w:pPr>
        <w:pStyle w:val="Compact"/>
        <w:numPr>
          <w:ilvl w:val="0"/>
          <w:numId w:val="1008"/>
        </w:numPr>
      </w:pPr>
      <w:r>
        <w:t xml:space="preserve">Construir la deuda consolidada 1996-2025:</w:t>
      </w:r>
    </w:p>
    <w:p>
      <w:pPr>
        <w:pStyle w:val="Compact"/>
        <w:numPr>
          <w:ilvl w:val="1"/>
          <w:numId w:val="1009"/>
        </w:numPr>
      </w:pPr>
      <w:r>
        <w:t xml:space="preserve">bajar de la API del BCRA los pases (serie 1261) y las LEBAC (serie 1258) para 1996-2003;</w:t>
      </w:r>
      <w:r>
        <w:t xml:space="preserve"> </w:t>
      </w:r>
      <w:r>
        <w:t xml:space="preserve">las LEBAC empiezan en 2002, así que antes de ese año valen cero;</w:t>
      </w:r>
    </w:p>
    <w:p>
      <w:pPr>
        <w:pStyle w:val="Compact"/>
        <w:numPr>
          <w:ilvl w:val="1"/>
          <w:numId w:val="1009"/>
        </w:numPr>
      </w:pPr>
      <w:r>
        <w:t xml:space="preserve">empalmar el PIB nominal base 1993 con el base 2004;</w:t>
      </w:r>
    </w:p>
    <w:p>
      <w:pPr>
        <w:pStyle w:val="Compact"/>
        <w:numPr>
          <w:ilvl w:val="1"/>
          <w:numId w:val="1009"/>
        </w:numPr>
      </w:pPr>
      <w:r>
        <w:t xml:space="preserve">verificar que la deuda del SPNF y los pasivos del BCRA estén expresados sobre el mismo PIB</w:t>
      </w:r>
      <w:r>
        <w:t xml:space="preserve"> </w:t>
      </w:r>
      <w:r>
        <w:t xml:space="preserve">antes de sumarlos.</w:t>
      </w:r>
    </w:p>
    <w:p>
      <w:pPr>
        <w:pStyle w:val="Compact"/>
        <w:numPr>
          <w:ilvl w:val="0"/>
          <w:numId w:val="1008"/>
        </w:numPr>
      </w:pPr>
      <w:r>
        <w:t xml:space="preserve">Recalcular la proporción de deuda en pesos para el perímetro consolidado. Hoy el código usa</w:t>
      </w:r>
      <w:r>
        <w:t xml:space="preserve"> </w:t>
      </w:r>
      <w:r>
        <w:t xml:space="preserve">46,3% para el SPNF solo.</w:t>
      </w:r>
    </w:p>
    <w:p>
      <w:pPr>
        <w:pStyle w:val="Compact"/>
        <w:numPr>
          <w:ilvl w:val="0"/>
          <w:numId w:val="1008"/>
        </w:numPr>
      </w:pPr>
      <w:r>
        <w:t xml:space="preserve">Bajar la tasa de la FED y la tasa sombra de Wu y Xia (que cubre los años de tasa cero) desde</w:t>
      </w:r>
      <w:r>
        <w:t xml:space="preserve"> </w:t>
      </w:r>
      <w:r>
        <w:t xml:space="preserve">FRED, y pasarlas a frecuencia trimestral.</w:t>
      </w:r>
    </w:p>
    <w:p>
      <w:pPr>
        <w:pStyle w:val="Compact"/>
        <w:numPr>
          <w:ilvl w:val="0"/>
          <w:numId w:val="1008"/>
        </w:numPr>
      </w:pPr>
      <w:r>
        <w:t xml:space="preserve">Validación: gráfico y valores de control de cada serie, revisados por el grupo antes de</w:t>
      </w:r>
      <w:r>
        <w:t xml:space="preserve"> </w:t>
      </w:r>
      <w:r>
        <w:t xml:space="preserve">seguir.</w:t>
      </w:r>
    </w:p>
    <w:bookmarkEnd w:id="17"/>
    <w:bookmarkStart w:id="18" w:name="etapa-4.-metodología-pendiente"/>
    <w:p>
      <w:pPr>
        <w:pStyle w:val="Heading3"/>
      </w:pPr>
      <w:r>
        <w:t xml:space="preserve">Etapa 4. Metodología (pendiente)</w:t>
      </w:r>
    </w:p>
    <w:p>
      <w:pPr>
        <w:pStyle w:val="Compact"/>
        <w:numPr>
          <w:ilvl w:val="0"/>
          <w:numId w:val="1010"/>
        </w:numPr>
      </w:pPr>
      <w:r>
        <w:t xml:space="preserve">Reescribir el capítulo con el SVARX y la identificación.</w:t>
      </w:r>
    </w:p>
    <w:p>
      <w:pPr>
        <w:pStyle w:val="Compact"/>
        <w:numPr>
          <w:ilvl w:val="0"/>
          <w:numId w:val="1010"/>
        </w:numPr>
      </w:pPr>
      <w:r>
        <w:t xml:space="preserve">Definir el tamaño del shock de la FED con criterio justificado: un desvío estándar de la</w:t>
      </w:r>
      <w:r>
        <w:t xml:space="preserve"> </w:t>
      </w:r>
      <w:r>
        <w:t xml:space="preserve">serie, un episodio histórico como el de 2022-2023, o ambos.</w:t>
      </w:r>
    </w:p>
    <w:p>
      <w:pPr>
        <w:pStyle w:val="Compact"/>
        <w:numPr>
          <w:ilvl w:val="0"/>
          <w:numId w:val="1010"/>
        </w:numPr>
      </w:pPr>
      <w:r>
        <w:t xml:space="preserve">Escribir el criterio de H1b (contraste contra el FMI con intervalo de</w:t>
      </w:r>
      <w:r>
        <w:t xml:space="preserve"> </w:t>
      </w:r>
      <w:r>
        <w:rPr>
          <w:i/>
          <w:iCs/>
        </w:rPr>
        <w:t xml:space="preserve">bootstrap</w:t>
      </w:r>
      <w:r>
        <w:t xml:space="preserve">) en el capítulo.</w:t>
      </w:r>
    </w:p>
    <w:p>
      <w:pPr>
        <w:pStyle w:val="Compact"/>
        <w:numPr>
          <w:ilvl w:val="0"/>
          <w:numId w:val="1010"/>
        </w:numPr>
      </w:pPr>
      <w:r>
        <w:t xml:space="preserve">Agregar diagnósticos de residuos: autocorrelación, heterocedasticidad, normalidad y</w:t>
      </w:r>
      <w:r>
        <w:t xml:space="preserve"> </w:t>
      </w:r>
      <w:r>
        <w:t xml:space="preserve">estabilidad.</w:t>
      </w:r>
    </w:p>
    <w:bookmarkEnd w:id="18"/>
    <w:bookmarkStart w:id="19" w:name="etapa-5.-estimación-pendiente"/>
    <w:p>
      <w:pPr>
        <w:pStyle w:val="Heading3"/>
      </w:pPr>
      <w:r>
        <w:t xml:space="preserve">Etapa 5. Estimación (pendiente)</w:t>
      </w:r>
    </w:p>
    <w:p>
      <w:pPr>
        <w:pStyle w:val="Compact"/>
        <w:numPr>
          <w:ilvl w:val="0"/>
          <w:numId w:val="1011"/>
        </w:numPr>
      </w:pPr>
      <w:r>
        <w:t xml:space="preserve">Pruebas de raíz unitaria y de quiebres sobre la serie consolidada.</w:t>
      </w:r>
    </w:p>
    <w:p>
      <w:pPr>
        <w:pStyle w:val="Compact"/>
        <w:numPr>
          <w:ilvl w:val="0"/>
          <w:numId w:val="1011"/>
        </w:numPr>
      </w:pPr>
      <w:r>
        <w:t xml:space="preserve">SVARX con dummies en los quiebres que detecte el test de Bai-Perron.</w:t>
      </w:r>
    </w:p>
    <w:p>
      <w:pPr>
        <w:pStyle w:val="Compact"/>
        <w:numPr>
          <w:ilvl w:val="0"/>
          <w:numId w:val="1011"/>
        </w:numPr>
      </w:pPr>
      <w:r>
        <w:t xml:space="preserve">Respuestas al impulso ante un shock de la FED.</w:t>
      </w:r>
    </w:p>
    <w:p>
      <w:pPr>
        <w:pStyle w:val="Compact"/>
        <w:numPr>
          <w:ilvl w:val="0"/>
          <w:numId w:val="1011"/>
        </w:numPr>
      </w:pPr>
      <w:r>
        <w:t xml:space="preserve">Descomposición de varianza (H1a).</w:t>
      </w:r>
    </w:p>
    <w:bookmarkEnd w:id="19"/>
    <w:bookmarkStart w:id="20" w:name="etapa-6.-simulación-pendiente"/>
    <w:p>
      <w:pPr>
        <w:pStyle w:val="Heading3"/>
      </w:pPr>
      <w:r>
        <w:t xml:space="preserve">Etapa 6. Simulación (pendiente)</w:t>
      </w:r>
    </w:p>
    <w:p>
      <w:pPr>
        <w:pStyle w:val="Compact"/>
        <w:numPr>
          <w:ilvl w:val="0"/>
          <w:numId w:val="1012"/>
        </w:numPr>
      </w:pPr>
      <w:r>
        <w:t xml:space="preserve">Monte Carlo en el escenario base y con el shock de la FED.</w:t>
      </w:r>
    </w:p>
    <w:p>
      <w:pPr>
        <w:pStyle w:val="Compact"/>
        <w:numPr>
          <w:ilvl w:val="0"/>
          <w:numId w:val="1012"/>
        </w:numPr>
      </w:pPr>
      <w:r>
        <w:t xml:space="preserve">Métricas del FMI: probabilidad de no estabilización y ancho del abanico entre los</w:t>
      </w:r>
      <w:r>
        <w:t xml:space="preserve"> </w:t>
      </w:r>
      <w:r>
        <w:t xml:space="preserve">percentiles 5 y 95, medidos a cinco años y a 2035.</w:t>
      </w:r>
    </w:p>
    <w:p>
      <w:pPr>
        <w:pStyle w:val="Compact"/>
        <w:numPr>
          <w:ilvl w:val="0"/>
          <w:numId w:val="1012"/>
        </w:numPr>
      </w:pPr>
      <w:r>
        <w:t xml:space="preserve">Contraste de H1b y H2.</w:t>
      </w:r>
    </w:p>
    <w:bookmarkEnd w:id="20"/>
    <w:bookmarkStart w:id="21" w:name="X5b5e10ffb8ec09026463f48317a32f04e4fea2b"/>
    <w:p>
      <w:pPr>
        <w:pStyle w:val="Heading3"/>
      </w:pPr>
      <w:r>
        <w:t xml:space="preserve">Etapa 7. Resultados, discusión y conclusiones (pendiente)</w:t>
      </w:r>
    </w:p>
    <w:p>
      <w:pPr>
        <w:pStyle w:val="Compact"/>
        <w:numPr>
          <w:ilvl w:val="0"/>
          <w:numId w:val="1013"/>
        </w:numPr>
      </w:pPr>
      <w:r>
        <w:t xml:space="preserve">Si algún resultado contradice lo que hoy dice la tesis, se frena y se discute en el grupo</w:t>
      </w:r>
      <w:r>
        <w:t xml:space="preserve"> </w:t>
      </w:r>
      <w:r>
        <w:t xml:space="preserve">antes de escribirlo.</w:t>
      </w:r>
    </w:p>
    <w:bookmarkEnd w:id="21"/>
    <w:bookmarkStart w:id="22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4"/>
        </w:numPr>
      </w:pPr>
      <w:r>
        <w:t xml:space="preserve">Pasar todo al formato final y compilar.</w:t>
      </w:r>
    </w:p>
    <w:bookmarkEnd w:id="22"/>
    <w:bookmarkEnd w:id="23"/>
    <w:bookmarkStart w:id="24" w:name="datos-pendientes-de-confirmar"/>
    <w:p>
      <w:pPr>
        <w:pStyle w:val="Heading2"/>
      </w:pPr>
      <w:r>
        <w:t xml:space="preserve">5. Datos pendientes de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 oficial de la colocación de diciembre de 2025 (USD 1.000 millones al 9,26%)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 de los pasivos del BCRA: 9,5% en nuestra serie frente a 18,4% del FMI en 2023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</w:t>
            </w:r>
          </w:p>
        </w:tc>
      </w:tr>
    </w:tbl>
    <w:bookmarkEnd w:id="24"/>
    <w:bookmarkStart w:id="25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Tamaño del shock de la FED.</w:t>
      </w:r>
      <w:r>
        <w:t xml:space="preserve"> </w:t>
      </w:r>
      <w:r>
        <w:t xml:space="preserve">Hay dos criterios defendibles: un desvío estándar de la</w:t>
      </w:r>
      <w:r>
        <w:t xml:space="preserve"> </w:t>
      </w:r>
      <w:r>
        <w:t xml:space="preserve">serie o un episodio histórico. Se decide cuando esté la serie.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Horizonte de las métricas.</w:t>
      </w:r>
      <w:r>
        <w:t xml:space="preserve"> </w:t>
      </w:r>
      <w:r>
        <w:t xml:space="preserve">A cinco años, como el FMI, a 2035, o ambos. La propuesta es</w:t>
      </w:r>
      <w:r>
        <w:t xml:space="preserve"> </w:t>
      </w:r>
      <w:r>
        <w:t xml:space="preserve">reportar los dos.</w:t>
      </w:r>
    </w:p>
    <w:bookmarkEnd w:id="25"/>
    <w:bookmarkStart w:id="26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6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2026-10-11T14:45:31Z</dcterms:created>
  <dcterms:modified xsi:type="dcterms:W3CDTF">2026-10-11T14:45:31Z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