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Sostenibilidad de la deuda Argentina</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La deuda pública argentina ha sido, a lo largo de su historia, uno de los ejes centrales de la dinámica económica y política. Desde los primeros endeudamientos en el siglo XIX hasta las crisis más recientes, el país ha atravesado ciclos recurrentes de expansión del crédito, dificultades de pago y episodios de default. Estos procesos no solo reflejan problemas coyunturales, sino también desafíos estructurales vinculados a la estabilidad macroeconómica, la capacidad de generación de divisas y la credibilidad de las políticas económicas.</w:t>
      </w:r>
    </w:p>
    <w:p w:rsidR="00000000" w:rsidDel="00000000" w:rsidP="00000000" w:rsidRDefault="00000000" w:rsidRPr="00000000" w14:paraId="00000004">
      <w:pPr>
        <w:spacing w:after="240" w:before="240" w:lineRule="auto"/>
        <w:rPr/>
      </w:pPr>
      <w:r w:rsidDel="00000000" w:rsidR="00000000" w:rsidRPr="00000000">
        <w:rPr>
          <w:rtl w:val="0"/>
        </w:rPr>
        <w:t xml:space="preserve">En el recorrido histórico, pueden identificarse varios episodios de cesación de pagos que marcaron profundamente la economía argentina. Uno de los primeros casos se remonta a 1890, en el contexto de la crisis asociada al sobreendeudamiento externo y la caída de la confianza internacional, que derivó en una fuerte recesión y en el colapso del sistema financiero de la época. Más cerca en el tiempo, el default de 2001 representó uno de los eventos más significativos: tras años de endeudamiento creciente y falta de competitividad, el país declaró la suspensión de pagos de su deuda soberana, lo que provocó una profunda crisis económica y social, con caída del producto, aumento del desempleo, pérdida de ahorros y una fuerte devaluación de la moneda. Otro episodio relevante ocurrió en 2014, cuando, en medio de disputas judiciales con acreedores, Argentina cayó en un default técnico, lo que limitó nuevamente el acceso al financiamiento internacional y deterioró la confianza de los mercados.</w:t>
      </w:r>
    </w:p>
    <w:p w:rsidR="00000000" w:rsidDel="00000000" w:rsidP="00000000" w:rsidRDefault="00000000" w:rsidRPr="00000000" w14:paraId="00000005">
      <w:pPr>
        <w:spacing w:after="240" w:before="240" w:lineRule="auto"/>
        <w:rPr/>
      </w:pPr>
      <w:r w:rsidDel="00000000" w:rsidR="00000000" w:rsidRPr="00000000">
        <w:rPr>
          <w:rtl w:val="0"/>
        </w:rPr>
        <w:t xml:space="preserve">Las consecuencias de estos defaults han sido recurrentes y de gran magnitud. En cada caso, la interrupción del pago de la deuda generó un cierre o encarecimiento del crédito externo, aumento del riesgo país y una marcada salida de capitales. A nivel interno, estos eventos estuvieron acompañados por crisis cambiarias, aceleración de la inflación, caída de la actividad económica y deterioro de los indicadores sociales. Además, la pérdida de credibilidad dificulta la recuperación posterior, obligando a largos procesos de renegociación y a la implementación de políticas de ajuste que impactaron sobre el nivel de vida de la población.</w:t>
      </w:r>
    </w:p>
    <w:p w:rsidR="00000000" w:rsidDel="00000000" w:rsidP="00000000" w:rsidRDefault="00000000" w:rsidRPr="00000000" w14:paraId="00000006">
      <w:pPr>
        <w:spacing w:after="240" w:before="240" w:lineRule="auto"/>
        <w:rPr/>
      </w:pPr>
      <w:r w:rsidDel="00000000" w:rsidR="00000000" w:rsidRPr="00000000">
        <w:rPr>
          <w:rtl w:val="0"/>
        </w:rPr>
        <w:t xml:space="preserve">En este contexto, la sostenibilidad de la deuda se vuelven conceptos centrales para pensar el futuro económico del país. Alcanzar una trayectoria sostenible permitiría evitar crisis recurrentes, reducir la volatilidad macroeconómica y generar un entorno más previsible. Entre los beneficios concretos se destacan la posibilidad de acceder a financiamiento en mejores condiciones no solo para el país sino también para las empresas, la estabilidad del tipo de cambio sin saltos bruscos, la reducción de la inflación y la eliminación de ajustes fiscales abruptos. Asimismo, una deuda sostenible contribuiría a fortalecer la confianza de los inversores y de la sociedad, favoreciendo la inversión productiva, la generación de empleo y, en última instancia, un crecimiento económico sostenido en el largo plazo, sin las interrupciones cíclicas que han caracterizado históricamente a la economía argentina.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2)Paez:  El artículo analizado fue escrito por Agustín Rodríguez y publicado en el año 2023 en la revista </w:t>
      </w:r>
      <w:r w:rsidDel="00000000" w:rsidR="00000000" w:rsidRPr="00000000">
        <w:rPr>
          <w:i w:val="1"/>
          <w:iCs w:val="1"/>
          <w:rtl w:val="0"/>
        </w:rPr>
        <w:t xml:space="preserve">Ciencias Económicas</w:t>
      </w:r>
      <w:r w:rsidDel="00000000" w:rsidR="00000000" w:rsidRPr="00000000">
        <w:rPr>
          <w:rtl w:val="0"/>
        </w:rPr>
        <w:t xml:space="preserve"> de la Universidad Nacional del Litoral, bajo el título </w:t>
      </w:r>
      <w:r w:rsidDel="00000000" w:rsidR="00000000" w:rsidRPr="00000000">
        <w:rPr>
          <w:i w:val="1"/>
          <w:iCs w:val="1"/>
          <w:rtl w:val="0"/>
        </w:rPr>
        <w:t xml:space="preserve">Financiamiento y sostenibilidad de la deuda pública: el caso de la economía argentina (2001–2022)</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El propósito del trabajo es analizar la evolución de la deuda pública argentina a lo largo del período 2001–2022, con el objetivo de determinar si existieron etapas en las que dicha deuda fue sostenible. Para ello, el autor estudia la dinámica del endeudamiento, sus fuentes de financiamiento y su relación con distintas variables macroeconómicas, aportando evidencia al debate sobre la sostenibilidad fiscal en Argentina.</w:t>
      </w:r>
    </w:p>
    <w:p w:rsidR="00000000" w:rsidDel="00000000" w:rsidP="00000000" w:rsidRDefault="00000000" w:rsidRPr="00000000" w14:paraId="0000000A">
      <w:pPr>
        <w:spacing w:after="240" w:before="240" w:lineRule="auto"/>
        <w:rPr/>
      </w:pPr>
      <w:r w:rsidDel="00000000" w:rsidR="00000000" w:rsidRPr="00000000">
        <w:rPr>
          <w:rtl w:val="0"/>
        </w:rPr>
        <w:t xml:space="preserve">Este artículo se inscribe dentro del campo disciplinar de la economía, particularmente en las áreas de macroeconomía y finanzas públicas, ya que aborda el rol del Estado, el déficit fiscal y el endeudamiento como herramientas de política económica.</w:t>
      </w:r>
    </w:p>
    <w:p w:rsidR="00000000" w:rsidDel="00000000" w:rsidP="00000000" w:rsidRDefault="00000000" w:rsidRPr="00000000" w14:paraId="0000000B">
      <w:pPr>
        <w:spacing w:after="240" w:before="240" w:lineRule="auto"/>
        <w:rPr/>
      </w:pPr>
      <w:r w:rsidDel="00000000" w:rsidR="00000000" w:rsidRPr="00000000">
        <w:rPr>
          <w:rtl w:val="0"/>
        </w:rPr>
        <w:t xml:space="preserve">En cuanto a la estructura del trabajo, en la introducción se presenta el contexto histórico marcado por la crisis de 2001 y el default de la deuda, lo que justifica la relevancia del tema. Allí también se explicita el objetivo principal del estudio: analizar la evolución de la deuda pública y su sostenibilidad en Argentina durante el período considerado.</w:t>
      </w:r>
    </w:p>
    <w:p w:rsidR="00000000" w:rsidDel="00000000" w:rsidP="00000000" w:rsidRDefault="00000000" w:rsidRPr="00000000" w14:paraId="0000000C">
      <w:pPr>
        <w:spacing w:after="240" w:before="240" w:lineRule="auto"/>
        <w:rPr/>
      </w:pPr>
      <w:r w:rsidDel="00000000" w:rsidR="00000000" w:rsidRPr="00000000">
        <w:rPr>
          <w:rtl w:val="0"/>
        </w:rPr>
        <w:t xml:space="preserve">En el desarrollo, el autor expone el marco teórico basado en la Nueva Economía Keynesiana, destacando que la deuda pública surge como una herramienta para financiar los déficits fiscales. Se analizan conceptos centrales como la relación deuda/PBI, el superávit primario y la sostenibilidad fiscal. Asimismo, se retoman aportes de autores como Blanchard y Mankiw, y se plantea una crítica al uso exclusivo del ratio deuda/PBI como indicador suficiente para evaluar la sostenibilidad de la deuda.</w:t>
      </w:r>
    </w:p>
    <w:p w:rsidR="00000000" w:rsidDel="00000000" w:rsidP="00000000" w:rsidRDefault="00000000" w:rsidRPr="00000000" w14:paraId="0000000D">
      <w:pPr>
        <w:spacing w:after="240" w:before="240" w:lineRule="auto"/>
        <w:rPr/>
      </w:pPr>
      <w:r w:rsidDel="00000000" w:rsidR="00000000" w:rsidRPr="00000000">
        <w:rPr>
          <w:rtl w:val="0"/>
        </w:rPr>
        <w:t xml:space="preserve">En relación con la metodología, el trabajo adopta un enfoque cuantitativo basado en el análisis de datos secundarios provenientes de organismos oficiales como el INDEC, el Banco Central, la CEPAL y el Ministerio de Economía. Además de utilizar indicadores tradicionales, el autor propone un indicador propio denominado “efectos sobre la deuda pública” (EFS), que permite evaluar la sostenibilidad comparando el superávit primario con los intereses de la deuda.</w:t>
      </w:r>
    </w:p>
    <w:p w:rsidR="00000000" w:rsidDel="00000000" w:rsidP="00000000" w:rsidRDefault="00000000" w:rsidRPr="00000000" w14:paraId="0000000E">
      <w:pPr>
        <w:spacing w:after="240" w:before="240" w:lineRule="auto"/>
        <w:rPr/>
      </w:pPr>
      <w:r w:rsidDel="00000000" w:rsidR="00000000" w:rsidRPr="00000000">
        <w:rPr>
          <w:rtl w:val="0"/>
        </w:rPr>
        <w:t xml:space="preserve">Finalmente, en las conclusiones se establece que, durante la mayor parte del período analizado, la deuda pública argentina fue insostenible, ya que en aproximadamente el 68% de los años el indicador utilizado se ubicó en valores negativos. Solo entre 2003 y 2007 se observó un período de mayor sostenibilidad, asociado a un fuerte crecimiento económico y superávit fiscal. A partir de 2011, la situación se deteriora debido a factores como el bajo crecimiento, el déficit fiscal persistente y el elevado nivel de deuda en moneda extranjera. El autor concluye que el ratio deuda/PBI resulta insuficiente para analizar la sostenibilidad, por lo que es necesario complementarlo con otros indicadores.</w:t>
      </w:r>
    </w:p>
    <w:p w:rsidR="00000000" w:rsidDel="00000000" w:rsidP="00000000" w:rsidRDefault="00000000" w:rsidRPr="00000000" w14:paraId="0000000F">
      <w:pPr>
        <w:spacing w:after="240" w:before="240" w:lineRule="auto"/>
        <w:rPr/>
      </w:pPr>
      <w:r w:rsidDel="00000000" w:rsidR="00000000" w:rsidRPr="00000000">
        <w:rPr>
          <w:rtl w:val="0"/>
        </w:rPr>
        <w:t xml:space="preserve">En relación con el aporte del artículo al tema de investigación, el texto brinda herramientas fundamentales para comprender el concepto de sostenibilidad de la deuda pública de manera más integral. Permite analizar no solo el nivel de endeudamiento, sino también su relación con variables como el crecimiento económico, el tipo de cambio y el resultado fiscal. De esta forma, contribuye a enriquecer el enfoque del trabajo de investigación, ofreciendo tanto un marco teórico sólido como evidencia empírica aplicada al caso argentino.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Chillon- Este artículo, titulado "La sostenibilidad de la política fiscal en América Latina: El caso argentino", fue publicado en noviembre de 1997 en Buenos Aires por Oscar Cetrángolo, Mario Damill, Roberto Frenkel y Juan P. Jiménez bajo el sello del Banco Interamericano de Desarrollo ; su propósito central es analizar la sensibilidad de las cuentas públicas argentinas en los años noventa frente a fluctuaciones del nivel de actividad y evaluar la sostenibilidad financiera fiscal en el mediano plazo mediante un modelo de simulación macroeconómica. Inscrito en el campo disciplinar de la Economía y las Finanzas Públicas, el texto se estructura en una introducción que justifica la investigación por la falta de una estructura fiscal estable durante la Convertibilidad , un desarrollo que despliega conceptos como el déficit ajustado por ciclo y el impacto de las reformas estructurales , una metodología basada en el filtro de Hodrick-Prescott para descomponer variables en tendencia y ciclo , y conclusiones que advierten sobre la vulnerabilidad del esquema ante una baja del crecimiento o subas en la tasa de interés internacional, destacando además el desequilibrio estructural generado por la reforma previsional de 1994. Para una investigación grupal, este artículo aporta un marco metodológico riguroso para distinguir entre factores cíclicos y decisiones de política autónoma, permitiendo identificar variables críticas como la rigidez del gasto y la sensibilidad de los ingresos tributarios que definen la sostenibilidad de largo plazo.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Carricondo: Resumen Extendido: "La sostenibilidad de la deuda pública: ¿Por qué es importante recuperar el acceso a los mercados?" (Fundar, Noviembre 2024)</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Ficha de Revisión de Artículo</w:t>
      </w:r>
    </w:p>
    <w:p w:rsidR="00000000" w:rsidDel="00000000" w:rsidP="00000000" w:rsidRDefault="00000000" w:rsidRPr="00000000" w14:paraId="00000017">
      <w:pPr>
        <w:rPr/>
      </w:pPr>
      <w:r w:rsidDel="00000000" w:rsidR="00000000" w:rsidRPr="00000000">
        <w:rPr>
          <w:rtl w:val="0"/>
        </w:rPr>
        <w:t xml:space="preserve"> Autor/es del texto: Libman, Emiliano; De la Vega, Juan Ignacio y Zack, Guido</w:t>
      </w:r>
    </w:p>
    <w:p w:rsidR="00000000" w:rsidDel="00000000" w:rsidP="00000000" w:rsidRDefault="00000000" w:rsidRPr="00000000" w14:paraId="00000018">
      <w:pPr>
        <w:rPr/>
      </w:pPr>
      <w:r w:rsidDel="00000000" w:rsidR="00000000" w:rsidRPr="00000000">
        <w:rPr>
          <w:rtl w:val="0"/>
        </w:rPr>
        <w:t xml:space="preserve"> Año: 2024</w:t>
      </w:r>
    </w:p>
    <w:p w:rsidR="00000000" w:rsidDel="00000000" w:rsidP="00000000" w:rsidRDefault="00000000" w:rsidRPr="00000000" w14:paraId="00000019">
      <w:pPr>
        <w:rPr/>
      </w:pPr>
      <w:r w:rsidDel="00000000" w:rsidR="00000000" w:rsidRPr="00000000">
        <w:rPr>
          <w:rtl w:val="0"/>
        </w:rPr>
        <w:t xml:space="preserve"> Título  La sostenibilidad de la deuda pública: ¿Por qué es importante recuperar el acceso a los mercados?</w:t>
      </w:r>
    </w:p>
    <w:p w:rsidR="00000000" w:rsidDel="00000000" w:rsidP="00000000" w:rsidRDefault="00000000" w:rsidRPr="00000000" w14:paraId="0000001A">
      <w:pPr>
        <w:rPr/>
      </w:pPr>
      <w:r w:rsidDel="00000000" w:rsidR="00000000" w:rsidRPr="00000000">
        <w:rPr>
          <w:rtl w:val="0"/>
        </w:rPr>
        <w:t xml:space="preserve"> Lugar de edición</w:t>
      </w:r>
    </w:p>
    <w:p w:rsidR="00000000" w:rsidDel="00000000" w:rsidP="00000000" w:rsidRDefault="00000000" w:rsidRPr="00000000" w14:paraId="0000001B">
      <w:pPr>
        <w:rPr/>
      </w:pPr>
      <w:r w:rsidDel="00000000" w:rsidR="00000000" w:rsidRPr="00000000">
        <w:rPr>
          <w:rtl w:val="0"/>
        </w:rPr>
        <w:t xml:space="preserve"> Editorial: Ciudad Autónoma de Buenos Aires, Argentina - Fundar (Centro de investigación y diseño de políticas públicas).</w:t>
      </w:r>
    </w:p>
    <w:p w:rsidR="00000000" w:rsidDel="00000000" w:rsidP="00000000" w:rsidRDefault="00000000" w:rsidRPr="00000000" w14:paraId="0000001C">
      <w:pPr>
        <w:rPr/>
      </w:pPr>
      <w:r w:rsidDel="00000000" w:rsidR="00000000" w:rsidRPr="00000000">
        <w:rPr>
          <w:rtl w:val="0"/>
        </w:rPr>
        <w:t xml:space="preserve">Propósito del artículo: El texto analiza las condiciones macroeconómicas bajo las cuales la deuda pública argentina puede considerarse financieramente sostenible en la próxima década. Su propósito central es demostrar que, incluso logrando un esfuerzo fiscal enorme (manteniendo un superávit primario constante del 2% del PIB), el país no podrá hacer frente a sus altísimos vencimientos de capital e intereses sin desarmar las restricciones cambiarias y recuperar el acceso fluido al mercado internacional de crédito.</w:t>
      </w:r>
    </w:p>
    <w:p w:rsidR="00000000" w:rsidDel="00000000" w:rsidP="00000000" w:rsidRDefault="00000000" w:rsidRPr="00000000" w14:paraId="0000001D">
      <w:pPr>
        <w:rPr/>
      </w:pPr>
      <w:r w:rsidDel="00000000" w:rsidR="00000000" w:rsidRPr="00000000">
        <w:rPr>
          <w:rtl w:val="0"/>
        </w:rPr>
        <w:t xml:space="preserve">Campo disciplinar: Economía (específicamente en las ramas de Macroeconomía y Finanzas Públicas).</w:t>
      </w:r>
    </w:p>
    <w:p w:rsidR="00000000" w:rsidDel="00000000" w:rsidP="00000000" w:rsidRDefault="00000000" w:rsidRPr="00000000" w14:paraId="0000001E">
      <w:pPr>
        <w:rPr/>
      </w:pPr>
      <w:r w:rsidDel="00000000" w:rsidR="00000000" w:rsidRPr="00000000">
        <w:rPr>
          <w:rtl w:val="0"/>
        </w:rPr>
        <w:t xml:space="preserve">Contenidos de los apartados del artículo:</w:t>
      </w:r>
    </w:p>
    <w:p w:rsidR="00000000" w:rsidDel="00000000" w:rsidP="00000000" w:rsidRDefault="00000000" w:rsidRPr="00000000" w14:paraId="0000001F">
      <w:pPr>
        <w:rPr/>
      </w:pPr>
      <w:r w:rsidDel="00000000" w:rsidR="00000000" w:rsidRPr="00000000">
        <w:rPr>
          <w:rtl w:val="0"/>
        </w:rPr>
        <w:t xml:space="preserve">Introducción: Justifica la investigación argumentando que la alta prima de riesgo país bloquea el desarrollo de Argentina. Plantea como objetivo central evaluar la trayectoria de la deuda y proyectar las verdaderas necesidades brutas de financiamiento a mediano plazo.</w:t>
      </w:r>
    </w:p>
    <w:p w:rsidR="00000000" w:rsidDel="00000000" w:rsidP="00000000" w:rsidRDefault="00000000" w:rsidRPr="00000000" w14:paraId="00000020">
      <w:pPr>
        <w:rPr/>
      </w:pPr>
      <w:r w:rsidDel="00000000" w:rsidR="00000000" w:rsidRPr="00000000">
        <w:rPr>
          <w:rtl w:val="0"/>
        </w:rPr>
        <w:t xml:space="preserve">Desarrollo: Aborda conceptos principales como la composición bimonetaria de la deuda argentina y la concentración de acreedores (como el FMI y el propio Banco Central/ANSES). Explica de manera detallada la diferencia entre ser "solvente" (que el stock de deuda baje respecto al PIB) y tener "liquidez" (disponer de los dólares líquidos para pagar los vencimientos del año).</w:t>
      </w:r>
    </w:p>
    <w:p w:rsidR="00000000" w:rsidDel="00000000" w:rsidP="00000000" w:rsidRDefault="00000000" w:rsidRPr="00000000" w14:paraId="00000021">
      <w:pPr>
        <w:rPr/>
      </w:pPr>
      <w:r w:rsidDel="00000000" w:rsidR="00000000" w:rsidRPr="00000000">
        <w:rPr>
          <w:rtl w:val="0"/>
        </w:rPr>
        <w:t xml:space="preserve">Metodología: Utiliza dos herramientas cuantitativas. Primero, aplica una descomposición contable histórica para aislar qué factores hicieron crecer la deuda en el pasado (revelando el fuerte impacto de las devaluaciones). Segundo, construye un Análisis de Sostenibilidad de la Deuda (DSA), proyectando escenarios matemáticos para el período 2024-2034 modificando variables como el crecimiento económico, el superávit, las tasas de interés y el tipo de cambio real.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El análisis comparado de los artículos revisados permite identificar con claridad los principales avances recientes en el estudio de la sostenibilidad de la deuda pública, así como también ciertas limitaciones que aún persisten en la literatura. En primer lugar, los tres trabajos coinciden en abordar la deuda pública desde una perspectiva más compleja que la tradicional, superando el enfoque centrado exclusivamente en el ratio deuda/PBI. En este sentido, tanto el artículo de Rodríguez (2023) como el de Libman, De la Vega y Zack (2024) destacan la necesidad de incorporar múltiples variables macroeconómicas —como el crecimiento económico, el resultado fiscal, el tipo de cambio y las tasas de interés— para evaluar de manera más integral la sostenibilidad. Asimismo, se observa una fuerte presencia de herramientas cuantitativas y modelos de análisis, como las simulaciones macroeconómicas utilizadas por Cetrángolo et al. (1997) o los ejercicios de proyección y descomposición contable empleados por Fundar (2024), lo que evidencia un avance metodológico significativo en el abordaje del problema.</w:t>
      </w:r>
    </w:p>
    <w:p w:rsidR="00000000" w:rsidDel="00000000" w:rsidP="00000000" w:rsidRDefault="00000000" w:rsidRPr="00000000" w14:paraId="00000024">
      <w:pPr>
        <w:spacing w:after="240" w:before="240" w:lineRule="auto"/>
        <w:rPr/>
      </w:pPr>
      <w:r w:rsidDel="00000000" w:rsidR="00000000" w:rsidRPr="00000000">
        <w:rPr>
          <w:rtl w:val="0"/>
        </w:rPr>
        <w:t xml:space="preserve">Por otra parte, los trabajos analizados muestran una preocupación común por el contexto argentino y latinoamericano, destacando la relevancia de factores históricos y estructurales. En particular, se subraya el impacto de episodios como la crisis de 2001, el período de crecimiento posterior y las restricciones externas más recientes, así como también la importancia del acceso al financiamiento internacional y la vulnerabilidad frente a shocks externos. En este marco, el artículo de Libman et al. introduce una distinción clave entre solvencia y liquidez, aportando una dimensión analítica que permite comprender por qué un país puede ser solvente en el largo plazo pero enfrentar dificultades inmediatas para cumplir con sus obligaciones.</w:t>
      </w:r>
    </w:p>
    <w:p w:rsidR="00000000" w:rsidDel="00000000" w:rsidP="00000000" w:rsidRDefault="00000000" w:rsidRPr="00000000" w14:paraId="00000025">
      <w:pPr>
        <w:spacing w:after="240" w:before="240" w:lineRule="auto"/>
        <w:rPr/>
      </w:pPr>
      <w:r w:rsidDel="00000000" w:rsidR="00000000" w:rsidRPr="00000000">
        <w:rPr>
          <w:rtl w:val="0"/>
        </w:rPr>
        <w:t xml:space="preserve">Sin embargo, a pesar de estos avances, los textos también evidencian ciertos vacíos en la investigación. En general, se observa una escasa atención a las consecuencias sociales del endeudamiento, como su impacto en la distribución del ingreso, la pobreza o la calidad del gasto público. Asimismo, la dimensión política de las decisiones fiscales y de endeudamiento aparece poco desarrollada, lo que limita la comprensión del fenómeno en su totalidad. También se advierte una falta de integración entre los análisis técnicos y sus efectos concretos en la economía real, así como una limitada sistematización comparativa entre países de la región en períodos recientes. Del mismo modo, cuestiones como la composición de la deuda entre moneda local y extranjera, o los efectos distributivos de las políticas de ajuste, no han sido suficientemente profundizadas.</w:t>
      </w:r>
    </w:p>
    <w:p w:rsidR="00000000" w:rsidDel="00000000" w:rsidP="00000000" w:rsidRDefault="00000000" w:rsidRPr="00000000" w14:paraId="00000026">
      <w:pPr>
        <w:spacing w:after="240" w:before="240" w:lineRule="auto"/>
        <w:rPr/>
      </w:pPr>
      <w:r w:rsidDel="00000000" w:rsidR="00000000" w:rsidRPr="00000000">
        <w:rPr>
          <w:rtl w:val="0"/>
        </w:rPr>
        <w:t xml:space="preserve">En cuanto al aporte de estas lecturas al proceso de investigación, resulta evidente que han permitido precisar y enriquecer el enfoque del tema. En particular, contribuyeron a comprender que la sostenibilidad de la deuda pública no depende únicamente de su magnitud, sino de un conjunto de condiciones macroeconómicas y financieras interrelacionadas. Además, facilitaron la incorporación de conceptos clave como la diferencia entre solvencia y liquidez, así como entre déficit estructural y cíclico, y brindaron herramientas metodológicas concretas para el análisis, como el uso de indicadores alternativos, modelos de simulación y técnicas de descomposición de variables. En consecuencia, estos aportes permiten delimitar con mayor claridad el problema de investigación, orientándose hacia el estudio de las condiciones necesarias para garantizar la sostenibilidad de la deuda en Argentina, teniendo en cuenta tanto sus restricciones estructurales como su inserción en el contexto económico internacional.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c) La deuda pública argentina ha sido históricamente un factor central de su inestabilidad económica, marcada por ciclos de endeudamiento, crisis y defaults, como los ocurridos en 1890, 2001 y 2014. Estos episodios reflejan no solo problemas coyunturales, sino también limitaciones estructurales como la restricción externa, la volatilidad macroeconómica y la dificultad para sostener políticas fiscales consistentes. Sus consecuencias han sido recurrentes: pérdida de acceso al crédito, crisis cambiarias, inflación y deterioro social, lo que resalta la importancia de analizar la sostenibilidad y solvencia de la deuda.</w:t>
      </w:r>
    </w:p>
    <w:p w:rsidR="00000000" w:rsidDel="00000000" w:rsidP="00000000" w:rsidRDefault="00000000" w:rsidRPr="00000000" w14:paraId="00000029">
      <w:pPr>
        <w:spacing w:after="240" w:before="240" w:lineRule="auto"/>
        <w:rPr/>
      </w:pPr>
      <w:r w:rsidDel="00000000" w:rsidR="00000000" w:rsidRPr="00000000">
        <w:rPr>
          <w:rtl w:val="0"/>
        </w:rPr>
        <w:t xml:space="preserve">Los artículos analizados permiten abordar este problema desde distintas perspectivas complementarias. Rodríguez (2023) muestra que la sostenibilidad de la deuda no puede medirse sólo con el ratio deuda/PBI, proponiendo indicadores alternativos y evidenciando que, salvo entre 2003 y 2007, la deuda argentina fue mayormente insostenible. Por su parte, Cetrángolo et al. (1997) aportan un enfoque metodológico que distingue entre factores cíclicos y estructurales del déficit, destacando la vulnerabilidad fiscal ante cambios en el contexto económico. Finalmente, Libman, De la Vega y Zack (2024) introducen la diferencia entre solvencia y liquidez, señalando que, aun con disciplina fiscal, Argentina necesita acceso al financiamiento externo para cumplir con sus compromisos.</w:t>
      </w:r>
    </w:p>
    <w:p w:rsidR="00000000" w:rsidDel="00000000" w:rsidP="00000000" w:rsidRDefault="00000000" w:rsidRPr="00000000" w14:paraId="0000002A">
      <w:pPr>
        <w:spacing w:after="240" w:before="240" w:lineRule="auto"/>
        <w:rPr/>
      </w:pPr>
      <w:r w:rsidDel="00000000" w:rsidR="00000000" w:rsidRPr="00000000">
        <w:rPr>
          <w:rtl w:val="0"/>
        </w:rPr>
        <w:t xml:space="preserve">En conjunto, estos trabajos coinciden en que la sostenibilidad de la deuda debe analizarse de forma integral, considerando variables como el crecimiento, el resultado fiscal, el tipo de cambio y el acceso al crédito. Sin embargo, también evidencian vacíos, como la escasa atención a las consecuencias sociales y políticas del endeudamiento. En este sentido, las lecturas permiten precisar el tema de investigación, orientándose hacia el estudio de las condiciones necesarias para lograr una deuda sostenible en Argentina, teniendo en cuenta tanto sus restricciones estructurales como su contexto económico.</w:t>
      </w:r>
    </w:p>
    <w:p w:rsidR="00000000" w:rsidDel="00000000" w:rsidP="00000000" w:rsidRDefault="00000000" w:rsidRPr="00000000" w14:paraId="0000002B">
      <w:pPr>
        <w:rPr/>
      </w:pPr>
      <w:r w:rsidDel="00000000" w:rsidR="00000000" w:rsidRPr="00000000">
        <w:rPr>
          <w:rtl w:val="0"/>
        </w:rPr>
        <w:t xml:space="preserve">Actividad 2</w:t>
      </w:r>
    </w:p>
    <w:p w:rsidR="00000000" w:rsidDel="00000000" w:rsidP="00000000" w:rsidRDefault="00000000" w:rsidRPr="00000000" w14:paraId="0000002C">
      <w:pPr>
        <w:numPr>
          <w:ilvl w:val="0"/>
          <w:numId w:val="1"/>
        </w:numPr>
        <w:spacing w:line="360" w:lineRule="auto"/>
        <w:ind w:left="2160" w:hanging="360"/>
        <w:jc w:val="both"/>
        <w:rPr>
          <w:u w:val="none"/>
        </w:rPr>
      </w:pPr>
      <w:r w:rsidDel="00000000" w:rsidR="00000000" w:rsidRPr="00000000">
        <w:rPr>
          <w:sz w:val="14"/>
          <w:szCs w:val="14"/>
          <w:rtl w:val="0"/>
        </w:rPr>
        <w:t xml:space="preserve"> </w:t>
      </w:r>
      <w:r w:rsidDel="00000000" w:rsidR="00000000" w:rsidRPr="00000000">
        <w:rPr>
          <w:b w:val="1"/>
          <w:bCs w:val="1"/>
          <w:rtl w:val="0"/>
        </w:rPr>
        <w:t xml:space="preserve">Escritura y revisión crítica de antecedentes de la investigación con IA:</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lavajkqq2xta" w:id="0"/>
      <w:bookmarkEnd w:id="0"/>
      <w:r w:rsidDel="00000000" w:rsidR="00000000" w:rsidRPr="00000000">
        <w:rPr>
          <w:b w:val="1"/>
          <w:bCs w:val="1"/>
          <w:color w:val="000000"/>
          <w:sz w:val="26"/>
          <w:szCs w:val="26"/>
          <w:rtl w:val="0"/>
        </w:rPr>
        <w:t xml:space="preserve">Estado del Arte: Sostenibilidad Macrofiscal y su Impacto en el Entorno Productivo Argentino</w:t>
      </w:r>
    </w:p>
    <w:p w:rsidR="00000000" w:rsidDel="00000000" w:rsidP="00000000" w:rsidRDefault="00000000" w:rsidRPr="00000000" w14:paraId="0000002E">
      <w:pPr>
        <w:spacing w:after="240" w:before="240" w:lineRule="auto"/>
        <w:rPr/>
      </w:pPr>
      <w:r w:rsidDel="00000000" w:rsidR="00000000" w:rsidRPr="00000000">
        <w:rPr>
          <w:rtl w:val="0"/>
        </w:rPr>
        <w:t xml:space="preserve">La problemática de la sostenibilidad en la economía argentina presenta una naturaleza multidimensional que abarca desde la solvencia del Sector Público Nacional hasta la resiliencia de las unidades productivas ante shocks de deuda y ciclos de volatilidad. El estudio de la sostenibilidad fiscal no puede disociarse de la inestabilidad histórica que ha caracterizado al país, donde el desempeño de las cuentas públicas ha estado intrínsecamente ligado a crisis del sector externo y cambios radicales en los regímenes de política económica. Para una PYME, este entorno no es meramente un marco de referencia, sino un determinante crítico de su capacidad de planificación, inversión y supervivencia a largo plazo.</w:t>
      </w:r>
    </w:p>
    <w:p w:rsidR="00000000" w:rsidDel="00000000" w:rsidP="00000000" w:rsidRDefault="00000000" w:rsidRPr="00000000" w14:paraId="0000002F">
      <w:pPr>
        <w:spacing w:after="240" w:before="240" w:lineRule="auto"/>
        <w:rPr/>
      </w:pPr>
      <w:r w:rsidDel="00000000" w:rsidR="00000000" w:rsidRPr="00000000">
        <w:rPr>
          <w:rtl w:val="0"/>
        </w:rPr>
        <w:t xml:space="preserve">Históricamente, el análisis de la sostenibilidad fiscal en Argentina, particularmente en el período 1975-1996, revela una extrema inestabilidad con desequilibrios financieros promedio del 7% del Producto Interno Bruto (PIB). Durante estas décadas, la literatura identifica picos de déficit significativos que coinciden con crisis externas y aceleraciones inflacionarias. Un hallazgo relevante en los estudios de este período es la divergencia entre el déficit primario y el total, explicada por el creciente peso de los intereses de la deuda externa a partir de la crisis de 1982. En este contexto, el efecto Olivera-Tanzi ejerció un impacto devastador, donde la inflación erosionaba los recursos fiscales reales, forzando a las empresas a operar en un escenario de incertidumbre nominal que dificultaba cualquier estrategia de sostenibilidad financiera privada.</w:t>
      </w:r>
    </w:p>
    <w:p w:rsidR="00000000" w:rsidDel="00000000" w:rsidP="00000000" w:rsidRDefault="00000000" w:rsidRPr="00000000" w14:paraId="00000030">
      <w:pPr>
        <w:spacing w:after="240" w:before="240" w:lineRule="auto"/>
        <w:rPr/>
      </w:pPr>
      <w:r w:rsidDel="00000000" w:rsidR="00000000" w:rsidRPr="00000000">
        <w:rPr>
          <w:rtl w:val="0"/>
        </w:rPr>
        <w:t xml:space="preserve">Con el advenimiento del Plan de Convertibilidad en la década de los noventa, el enfoque del análisis fiscal se desplazó hacia la sensibilidad de las cuentas públicas en un escenario de baja inflación y tipo de cambio fijo. Durante la fase expansiva inicial (1991-1994), se observó una mejora sustancial en el desempeño fiscal impulsada por la recuperación del nivel de actividad y el fortalecimiento de la administración tributaria. No obstante, este equilibrio carecía de una estructura estable, ya que estuvo sujeto a reformas permanentes que buscaban reducir la intervención estatal. La literatura destaca que, bajo este régimen, la política fiscal se volvió altamente procíclica: mientras los ingresos eran sensibles al PIB, el gasto público —especialmente el vinculado a la coparticipación federal— tendía a expandirse en las fases de auge, limitando el margen de maniobra durante las recesiones. Para el sector de las PYMES, esta prociclicidad significó que, en momentos de caída del producto, el Estado no solo no podía ejercer un rol anticíclico, sino que a menudo profundizaba la restricción de liquidez mediante la presión tributaria o la reducción de incentivos.</w:t>
      </w:r>
    </w:p>
    <w:p w:rsidR="00000000" w:rsidDel="00000000" w:rsidP="00000000" w:rsidRDefault="00000000" w:rsidRPr="00000000" w14:paraId="00000031">
      <w:pPr>
        <w:spacing w:after="240" w:before="240" w:lineRule="auto"/>
        <w:rPr/>
      </w:pPr>
      <w:r w:rsidDel="00000000" w:rsidR="00000000" w:rsidRPr="00000000">
        <w:rPr>
          <w:rtl w:val="0"/>
        </w:rPr>
        <w:t xml:space="preserve">Un punto de discusión fundamental en la bibliografía es la definición técnica de sostenibilidad de la deuda pública. Se argumenta que una deuda es sostenible cuando el Estado puede cumplir con sus compromisos actuales y futuros sin recurrir a auxilios financieros extraordinarios ni incurrir en un incumplimiento (default). Sin embargo, esta definición teórica se enfrenta a la realidad de los "shocks de sostenibilidad", donde variables exógenas como el crecimiento económico, la tasa de interés internacional y el tipo de cambio real alteran drásticamente la capacidad de pago. La literatura contemporánea subraya que la sostenibilidad no es una condición estática, sino una trayectoria probabilística. En el caso argentino, la dependencia del financiamiento externo y la vulnerabilidad ante el "riesgo país" generan un efecto de desplazamiento (crowding-out), donde el elevado endeudamiento público absorbe el crédito disponible, elevando las tasas de interés para el sector privado y asfixiando las estrategias de inversión de las PYMES.</w:t>
      </w:r>
    </w:p>
    <w:p w:rsidR="00000000" w:rsidDel="00000000" w:rsidP="00000000" w:rsidRDefault="00000000" w:rsidRPr="00000000" w14:paraId="00000032">
      <w:pPr>
        <w:spacing w:after="240" w:before="240" w:lineRule="auto"/>
        <w:rPr/>
      </w:pPr>
      <w:r w:rsidDel="00000000" w:rsidR="00000000" w:rsidRPr="00000000">
        <w:rPr>
          <w:rtl w:val="0"/>
        </w:rPr>
        <w:t xml:space="preserve">Las divergencias en los enfoques analíticos surgen al evaluar el impacto de las reformas estructurales, como la transformación del sistema de previsión social en 1994. La transición hacia un sistema de capitalización privada implicó que el Estado perdiera aportantes mientras mantenía la totalidad de las prestaciones pasivas, elevando el déficit previsional estructural. Este tipo de desequilibrios, sumado a la rigidez a la baja del gasto público primario (que se mantuvo en un promedio del 16,9% del PIB desde 1982), traslada el peso del ajuste hacia el sector privado a través de cambios frecuentes en la normativa tributaria. Esta inestabilidad regulatoria es identificada como uno de los principales obstáculos para que las empresas de menor tamaño adopten modelos de sostenibilidad integral, ya que la urgencia financiera desplaza los objetivos de desarrollo de largo plazo.</w:t>
      </w:r>
    </w:p>
    <w:p w:rsidR="00000000" w:rsidDel="00000000" w:rsidP="00000000" w:rsidRDefault="00000000" w:rsidRPr="00000000" w14:paraId="00000033">
      <w:pPr>
        <w:spacing w:after="240" w:before="240" w:lineRule="auto"/>
        <w:rPr/>
      </w:pPr>
      <w:r w:rsidDel="00000000" w:rsidR="00000000" w:rsidRPr="00000000">
        <w:rPr>
          <w:rtl w:val="0"/>
        </w:rPr>
        <w:t xml:space="preserve">Asimismo, la relación entre el ciclo económico y la solvencia fiscal es asimétrica. Se demuestra que, si bien el ajuste por ciclo es relevante para los ingresos, la estructura fiscal argentina muestra una peligrosa sensibilidad ante escenarios de bajo crecimiento y alza de tasas. Las proyecciones hacia finales de los noventa ya advertían que un escenario de crecimiento moderado (2,3%) junto a un incremento marginal en las tasas internacionales tornaría insostenible la deuda. Esta fragilidad macroeconómica impacta directamente en la sostenibilidad de las PYMES, las cuales carecen de las coberturas financieras de las grandes firmas y quedan expuestas a las contracciones del consumo interno que siguen a los ajustes fiscales.</w:t>
      </w:r>
    </w:p>
    <w:p w:rsidR="00000000" w:rsidDel="00000000" w:rsidP="00000000" w:rsidRDefault="00000000" w:rsidRPr="00000000" w14:paraId="00000034">
      <w:pPr>
        <w:spacing w:after="240" w:before="240" w:lineRule="auto"/>
        <w:rPr/>
      </w:pPr>
      <w:r w:rsidDel="00000000" w:rsidR="00000000" w:rsidRPr="00000000">
        <w:rPr>
          <w:rtl w:val="0"/>
        </w:rPr>
        <w:t xml:space="preserve">Un aspecto menos explorado en la literatura general, pero presente en los análisis de gestión, es la necesidad de alinear la sostenibilidad macro con la micro. Mientras los grandes agregados económicos se centran en las relaciones deuda/PIB, la realidad de las empresas pequeñas se define por la sostenibilidad de sus márgenes operativos frente a una presión fiscal creciente. Los antecedentes revisados sugieren que la falta de flexibilidad institucional en el gasto público —donde una gran parte de las transferencias a provincias presenta rigideces nominales— limita la capacidad de implementar políticas de fomento productivo diferenciadas.</w:t>
      </w:r>
    </w:p>
    <w:p w:rsidR="00000000" w:rsidDel="00000000" w:rsidP="00000000" w:rsidRDefault="00000000" w:rsidRPr="00000000" w14:paraId="00000035">
      <w:pPr>
        <w:spacing w:after="240" w:before="240" w:lineRule="auto"/>
        <w:rPr/>
      </w:pPr>
      <w:r w:rsidDel="00000000" w:rsidR="00000000" w:rsidRPr="00000000">
        <w:rPr>
          <w:rtl w:val="0"/>
        </w:rPr>
        <w:t xml:space="preserve">En conclusión, la literatura analizada permite identificar una clara </w:t>
      </w:r>
      <w:r w:rsidDel="00000000" w:rsidR="00000000" w:rsidRPr="00000000">
        <w:rPr>
          <w:b w:val="1"/>
          <w:bCs w:val="1"/>
          <w:rtl w:val="0"/>
        </w:rPr>
        <w:t xml:space="preserve">vacancia o brecha de investigación</w:t>
      </w:r>
      <w:r w:rsidDel="00000000" w:rsidR="00000000" w:rsidRPr="00000000">
        <w:rPr>
          <w:rtl w:val="0"/>
        </w:rPr>
        <w:t xml:space="preserve"> que justifica este proyecto. Si bien existe una profusa documentación sobre los determinantes macroeconómicos de la sostenibilidad fiscal y la dinámica de la deuda pública en Argentina, hay una carencia de estudios que conecten estas restricciones de solvencia estatal con las estrategias de sostenibilidad específicas de las PYMES. La investigación actual tiende a tratar a las PYMES como receptoras pasivas de los shocks macroeconómicos, sin profundizar en cómo la inestabilidad de la trayectoria de deuda pública condiciona la adopción de prácticas sostenibles (sociales, ambientales y financieras) en estas organizaciones. No se ha analizado suficientemente cómo el "riesgo de insostenibilidad fiscal" altera la tasa de descuento privada y los horizontes de planificación de las empresas menores, impidiéndoles transitar hacia modelos de negocio de triple impacto. Por tanto, este proyecto busca cubrir dicho espacio, analizando la sostenibilidad desde una perspectiva integrada que vincule la solvencia del Estado con la viabilidad estratégica del tejido PyME nacional.</w:t>
      </w:r>
    </w:p>
    <w:p w:rsidR="00000000" w:rsidDel="00000000" w:rsidP="00000000" w:rsidRDefault="00000000" w:rsidRPr="00000000" w14:paraId="00000036">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line="360" w:lineRule="auto"/>
        <w:ind w:left="1440" w:hanging="360"/>
        <w:jc w:val="both"/>
        <w:rPr>
          <w:u w:val="none"/>
        </w:rPr>
      </w:pPr>
      <w:r w:rsidDel="00000000" w:rsidR="00000000" w:rsidRPr="00000000">
        <w:rPr>
          <w:color w:val="1f1f1f"/>
          <w:sz w:val="14"/>
          <w:szCs w:val="14"/>
          <w:rtl w:val="0"/>
        </w:rPr>
        <w:t xml:space="preserve">     </w:t>
      </w:r>
      <w:r w:rsidDel="00000000" w:rsidR="00000000" w:rsidRPr="00000000">
        <w:rPr>
          <w:i w:val="1"/>
          <w:iCs w:val="1"/>
          <w:color w:val="1f1f1f"/>
          <w:rtl w:val="0"/>
        </w:rPr>
        <w:t xml:space="preserve">Evaluar</w:t>
      </w:r>
      <w:r w:rsidDel="00000000" w:rsidR="00000000" w:rsidRPr="00000000">
        <w:rPr>
          <w:color w:val="1f1f1f"/>
          <w:rtl w:val="0"/>
        </w:rPr>
        <w:t xml:space="preserve"> críticamente los resultados obtenidos en la IA: </w:t>
      </w:r>
      <w:r w:rsidDel="00000000" w:rsidR="00000000" w:rsidRPr="00000000">
        <w:rPr>
          <w:rtl w:val="0"/>
        </w:rPr>
        <w:t xml:space="preserve">es imprescindible revisar el contenido generado. </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w8ezwez7qc" w:id="1"/>
      <w:bookmarkEnd w:id="1"/>
      <w:r w:rsidDel="00000000" w:rsidR="00000000" w:rsidRPr="00000000">
        <w:rPr>
          <w:b w:val="1"/>
          <w:bCs w:val="1"/>
          <w:color w:val="000000"/>
          <w:sz w:val="26"/>
          <w:szCs w:val="26"/>
          <w:rtl w:val="0"/>
        </w:rPr>
        <w:t xml:space="preserve">1. ¿El texto corresponde a lo esperado en los antecedentes de un proyecto de investigación?</w:t>
      </w:r>
    </w:p>
    <w:p w:rsidR="00000000" w:rsidDel="00000000" w:rsidP="00000000" w:rsidRDefault="00000000" w:rsidRPr="00000000" w14:paraId="00000038">
      <w:pPr>
        <w:spacing w:after="240" w:before="240" w:lineRule="auto"/>
        <w:rPr/>
      </w:pPr>
      <w:r w:rsidDel="00000000" w:rsidR="00000000" w:rsidRPr="00000000">
        <w:rPr>
          <w:rtl w:val="0"/>
        </w:rPr>
        <w:t xml:space="preserve">Tiene una estructura que se puede reconocer: contexto histórico, desarrollo conceptual y vacancia. Pero comparándolo con los modelos de la cátedra, falta lo más básico, que es citar autores concretos. En todo el texto no aparece un solo nombre ni una sola obra referenciada. Un estado del arte requiere mostrar qué dijeron investigadores específicos y cómo se relacionan sus ideas. Sin eso, el texto queda como un ensayo de opinión más que como un relevamiento bibliográfico.</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cgcmsnbpsgl" w:id="2"/>
      <w:bookmarkEnd w:id="2"/>
      <w:r w:rsidDel="00000000" w:rsidR="00000000" w:rsidRPr="00000000">
        <w:rPr>
          <w:b w:val="1"/>
          <w:bCs w:val="1"/>
          <w:color w:val="000000"/>
          <w:sz w:val="26"/>
          <w:szCs w:val="26"/>
          <w:rtl w:val="0"/>
        </w:rPr>
        <w:t xml:space="preserve">2. ¿El texto refleja fielmente las ideas de los artículos científicos adjuntados?</w:t>
      </w:r>
    </w:p>
    <w:p w:rsidR="00000000" w:rsidDel="00000000" w:rsidP="00000000" w:rsidRDefault="00000000" w:rsidRPr="00000000" w14:paraId="0000003A">
      <w:pPr>
        <w:spacing w:after="240" w:before="240" w:lineRule="auto"/>
        <w:rPr/>
      </w:pPr>
      <w:r w:rsidDel="00000000" w:rsidR="00000000" w:rsidRPr="00000000">
        <w:rPr>
          <w:rtl w:val="0"/>
        </w:rPr>
        <w:t xml:space="preserve">Es el punto más preocupante. Aparecen datos muy precisos, como porcentajes del PIB, sin indicar de dónde provienen. No es posible saber si esos números están tomados de los artículos adjuntados o si la IA los generó sin respaldo real, lo cual es un riesgo frecuente. Las referencias al efecto Olivera-Tanzi y a la reforma previsional de 1994 son pertinentes, pero al no estar citadas no se puede evaluar si se interpretan correctamente.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4t92fy3l37h" w:id="3"/>
      <w:bookmarkEnd w:id="3"/>
      <w:r w:rsidDel="00000000" w:rsidR="00000000" w:rsidRPr="00000000">
        <w:rPr>
          <w:b w:val="1"/>
          <w:bCs w:val="1"/>
          <w:color w:val="000000"/>
          <w:sz w:val="26"/>
          <w:szCs w:val="26"/>
          <w:rtl w:val="0"/>
        </w:rPr>
        <w:t xml:space="preserve">3. ¿Hay afirmaciones sin respaldo o demasiado generales? ¿Son reiterativos los argumentos?</w:t>
      </w:r>
    </w:p>
    <w:p w:rsidR="00000000" w:rsidDel="00000000" w:rsidP="00000000" w:rsidRDefault="00000000" w:rsidRPr="00000000" w14:paraId="0000003C">
      <w:pPr>
        <w:spacing w:after="240" w:before="240" w:lineRule="auto"/>
        <w:rPr/>
      </w:pPr>
      <w:r w:rsidDel="00000000" w:rsidR="00000000" w:rsidRPr="00000000">
        <w:rPr>
          <w:rtl w:val="0"/>
        </w:rPr>
        <w:t xml:space="preserve">Sí en ambos casos. Varias afirmaciones se presentan como hechos establecidos sin indicar quién los sostiene ni en qué evidencia se basan. Además, el argumento central sobre el impacto de la inestabilidad macro en las PYMES se repite en casi todos los párrafos con distintas palabras pero sin agregar profundidad. El texto se extiende sin avanzar.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1472xeymo84" w:id="4"/>
      <w:bookmarkEnd w:id="4"/>
      <w:r w:rsidDel="00000000" w:rsidR="00000000" w:rsidRPr="00000000">
        <w:rPr>
          <w:b w:val="1"/>
          <w:bCs w:val="1"/>
          <w:color w:val="000000"/>
          <w:sz w:val="26"/>
          <w:szCs w:val="26"/>
          <w:rtl w:val="0"/>
        </w:rPr>
        <w:t xml:space="preserve">4. ¿Se identifica claramente la vacancia de investigación?</w:t>
      </w:r>
    </w:p>
    <w:p w:rsidR="00000000" w:rsidDel="00000000" w:rsidP="00000000" w:rsidRDefault="00000000" w:rsidRPr="00000000" w14:paraId="0000003E">
      <w:pPr>
        <w:spacing w:after="240" w:before="240" w:lineRule="auto"/>
        <w:rPr/>
      </w:pPr>
      <w:r w:rsidDel="00000000" w:rsidR="00000000" w:rsidRPr="00000000">
        <w:rPr>
          <w:rtl w:val="0"/>
        </w:rPr>
        <w:t xml:space="preserve">Se menciona pero no se demuestra. Decir que algo no ha sido suficientemente analizado requiere mostrar qué trabajos se revisaron y qué dejaron sin abordar. Eso acá no está. Además, la vacancia mezcla varias dimensiones a la vez sin aclarar cuál es el foco del proyecto, lo que la hace imprecisa.</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7vc8039wxnv" w:id="5"/>
      <w:bookmarkEnd w:id="5"/>
      <w:r w:rsidDel="00000000" w:rsidR="00000000" w:rsidRPr="00000000">
        <w:rPr>
          <w:b w:val="1"/>
          <w:bCs w:val="1"/>
          <w:color w:val="000000"/>
          <w:sz w:val="26"/>
          <w:szCs w:val="26"/>
          <w:rtl w:val="0"/>
        </w:rPr>
        <w:t xml:space="preserve">5. ¿Se evita el uso de frases vagas o poco académicas?</w:t>
      </w:r>
    </w:p>
    <w:p w:rsidR="00000000" w:rsidDel="00000000" w:rsidP="00000000" w:rsidRDefault="00000000" w:rsidRPr="00000000" w14:paraId="00000040">
      <w:pPr>
        <w:spacing w:after="240" w:before="240" w:lineRule="auto"/>
        <w:rPr/>
      </w:pPr>
      <w:r w:rsidDel="00000000" w:rsidR="00000000" w:rsidRPr="00000000">
        <w:rPr>
          <w:rtl w:val="0"/>
        </w:rPr>
        <w:t xml:space="preserve">No siempre. Hay expresiones metafóricas y términos propios del discurso político que no corresponden al registro académico esperado en este tipo de texto.</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v55k7qljgij" w:id="6"/>
      <w:bookmarkEnd w:id="6"/>
      <w:r w:rsidDel="00000000" w:rsidR="00000000" w:rsidRPr="00000000">
        <w:rPr>
          <w:b w:val="1"/>
          <w:bCs w:val="1"/>
          <w:color w:val="000000"/>
          <w:sz w:val="26"/>
          <w:szCs w:val="26"/>
          <w:rtl w:val="0"/>
        </w:rPr>
        <w:t xml:space="preserve">6. ¿Hay un uso correcto de conectores argumentativos?</w:t>
      </w:r>
    </w:p>
    <w:p w:rsidR="00000000" w:rsidDel="00000000" w:rsidP="00000000" w:rsidRDefault="00000000" w:rsidRPr="00000000" w14:paraId="00000042">
      <w:pPr>
        <w:spacing w:after="240" w:before="240" w:lineRule="auto"/>
        <w:rPr/>
      </w:pPr>
      <w:r w:rsidDel="00000000" w:rsidR="00000000" w:rsidRPr="00000000">
        <w:rPr>
          <w:rtl w:val="0"/>
        </w:rPr>
        <w:t xml:space="preserve">Gramaticalmente están bien usados, pero en algunos casos crean una lógica aparente que no se sostiene. El conector conclusivo del párrafo final, por ejemplo, da por demostrada una vacancia que en realidad solo fue enunciada.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deuda pública tesoro</w:t>
      </w:r>
    </w:p>
    <w:p w:rsidR="00000000" w:rsidDel="00000000" w:rsidP="00000000" w:rsidRDefault="00000000" w:rsidRPr="00000000" w14:paraId="0000004B">
      <w:pPr>
        <w:rPr/>
      </w:pPr>
      <w:hyperlink r:id="rId6">
        <w:r w:rsidDel="00000000" w:rsidR="00000000" w:rsidRPr="00000000">
          <w:rPr>
            <w:color w:val="1155cc"/>
            <w:u w:val="single"/>
            <w:rtl w:val="0"/>
          </w:rPr>
          <w:t xml:space="preserve">https://www.argentina.gob.ar/economia/finanzas/deuda-publica?utm_source=chatgpt.com</w:t>
        </w:r>
      </w:hyperlink>
      <w:r w:rsidDel="00000000" w:rsidR="00000000" w:rsidRPr="00000000">
        <w:rPr>
          <w:rtl w:val="0"/>
        </w:rPr>
      </w:r>
    </w:p>
    <w:p w:rsidR="00000000" w:rsidDel="00000000" w:rsidP="00000000" w:rsidRDefault="00000000" w:rsidRPr="00000000" w14:paraId="0000004C">
      <w:pPr>
        <w:pStyle w:val="Heading1"/>
        <w:keepNext w:val="0"/>
        <w:keepLines w:val="0"/>
        <w:shd w:fill="ffffff" w:val="clear"/>
        <w:spacing w:after="320" w:before="240" w:line="264" w:lineRule="auto"/>
        <w:rPr>
          <w:sz w:val="22"/>
          <w:szCs w:val="22"/>
        </w:rPr>
      </w:pPr>
      <w:bookmarkStart w:colFirst="0" w:colLast="0" w:name="_yt7y4pnegzwb" w:id="7"/>
      <w:bookmarkEnd w:id="7"/>
      <w:r w:rsidDel="00000000" w:rsidR="00000000" w:rsidRPr="00000000">
        <w:rPr>
          <w:rFonts w:ascii="Lora" w:cs="Lora" w:eastAsia="Lora" w:hAnsi="Lora"/>
          <w:b w:val="1"/>
          <w:bCs w:val="1"/>
          <w:color w:val="141414"/>
          <w:sz w:val="22"/>
          <w:szCs w:val="22"/>
          <w:rtl w:val="0"/>
        </w:rPr>
        <w:t xml:space="preserve">Datos trimestrales de la deuda tesoro</w:t>
      </w:r>
      <w:r w:rsidDel="00000000" w:rsidR="00000000" w:rsidRPr="00000000">
        <w:rPr>
          <w:rtl w:val="0"/>
        </w:rPr>
      </w:r>
    </w:p>
    <w:p w:rsidR="00000000" w:rsidDel="00000000" w:rsidP="00000000" w:rsidRDefault="00000000" w:rsidRPr="00000000" w14:paraId="0000004D">
      <w:pPr>
        <w:rPr/>
      </w:pPr>
      <w:hyperlink r:id="rId7">
        <w:r w:rsidDel="00000000" w:rsidR="00000000" w:rsidRPr="00000000">
          <w:rPr>
            <w:color w:val="1155cc"/>
            <w:u w:val="single"/>
            <w:rtl w:val="0"/>
          </w:rPr>
          <w:t xml:space="preserve">https://www.argentina.gob.ar/economia/finanzas/datos-trimestrales-de-la-deuda?utm_source=chatgpt.com</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deuda bruta tesoro</w:t>
      </w:r>
    </w:p>
    <w:p w:rsidR="00000000" w:rsidDel="00000000" w:rsidP="00000000" w:rsidRDefault="00000000" w:rsidRPr="00000000" w14:paraId="0000004F">
      <w:pPr>
        <w:rPr/>
      </w:pPr>
      <w:hyperlink r:id="rId8">
        <w:r w:rsidDel="00000000" w:rsidR="00000000" w:rsidRPr="00000000">
          <w:rPr>
            <w:color w:val="1155cc"/>
            <w:u w:val="single"/>
            <w:rtl w:val="0"/>
          </w:rPr>
          <w:t xml:space="preserve">https://www.argentina.gob.ar/economia/finanzas/graficos-deuda/evolucion-de-la-deuda-bruta</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bcra</w:t>
      </w:r>
    </w:p>
    <w:p w:rsidR="00000000" w:rsidDel="00000000" w:rsidP="00000000" w:rsidRDefault="00000000" w:rsidRPr="00000000" w14:paraId="00000052">
      <w:pPr>
        <w:rPr/>
      </w:pPr>
      <w:r w:rsidDel="00000000" w:rsidR="00000000" w:rsidRPr="00000000">
        <w:rPr>
          <w:rtl w:val="0"/>
        </w:rPr>
        <w:t xml:space="preserve">agregados monetarios lelicks</w:t>
      </w:r>
    </w:p>
    <w:p w:rsidR="00000000" w:rsidDel="00000000" w:rsidP="00000000" w:rsidRDefault="00000000" w:rsidRPr="00000000" w14:paraId="00000053">
      <w:pPr>
        <w:rPr/>
      </w:pPr>
      <w:hyperlink r:id="rId9">
        <w:r w:rsidDel="00000000" w:rsidR="00000000" w:rsidRPr="00000000">
          <w:rPr>
            <w:color w:val="1155cc"/>
            <w:u w:val="single"/>
            <w:rtl w:val="0"/>
          </w:rPr>
          <w:t xml:space="preserve">https://www.bcra.gob.ar/estadisticas-indicadores/</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deuda externa </w:t>
      </w:r>
    </w:p>
    <w:p w:rsidR="00000000" w:rsidDel="00000000" w:rsidP="00000000" w:rsidRDefault="00000000" w:rsidRPr="00000000" w14:paraId="00000056">
      <w:pPr>
        <w:rPr/>
      </w:pPr>
      <w:hyperlink r:id="rId10">
        <w:r w:rsidDel="00000000" w:rsidR="00000000" w:rsidRPr="00000000">
          <w:rPr>
            <w:color w:val="1155cc"/>
            <w:u w:val="single"/>
            <w:rtl w:val="0"/>
          </w:rPr>
          <w:t xml:space="preserve">https://www.bcra.gob.ar/publicaciones/informe-de-sobre-deuda-externa-privada-tercer-trimestre-de-2025/</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oficina de presupuesto del congreso</w:t>
      </w:r>
    </w:p>
    <w:p w:rsidR="00000000" w:rsidDel="00000000" w:rsidP="00000000" w:rsidRDefault="00000000" w:rsidRPr="00000000" w14:paraId="00000059">
      <w:pPr>
        <w:rPr/>
      </w:pPr>
      <w:hyperlink r:id="rId11">
        <w:r w:rsidDel="00000000" w:rsidR="00000000" w:rsidRPr="00000000">
          <w:rPr>
            <w:color w:val="1155cc"/>
            <w:u w:val="single"/>
            <w:rtl w:val="0"/>
          </w:rPr>
          <w:t xml:space="preserve">https://opc.gob.ar/operaciones-de-deuda-publica/operaciones-de-deuda-publica-enero-2026/</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sostenibilidad de la deuda</w:t>
      </w:r>
    </w:p>
    <w:p w:rsidR="00000000" w:rsidDel="00000000" w:rsidP="00000000" w:rsidRDefault="00000000" w:rsidRPr="00000000" w14:paraId="0000005C">
      <w:pPr>
        <w:rPr/>
      </w:pPr>
      <w:hyperlink r:id="rId12">
        <w:r w:rsidDel="00000000" w:rsidR="00000000" w:rsidRPr="00000000">
          <w:rPr>
            <w:color w:val="1155cc"/>
            <w:u w:val="single"/>
            <w:rtl w:val="0"/>
          </w:rPr>
          <w:t xml:space="preserve">https://www.fin-izdat.com/journal/fc/detail.php?ID=76574</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jueves texto con información sobre el tema </w:t>
      </w:r>
    </w:p>
    <w:p w:rsidR="00000000" w:rsidDel="00000000" w:rsidP="00000000" w:rsidRDefault="00000000" w:rsidRPr="00000000" w14:paraId="0000005F">
      <w:pPr>
        <w:rPr/>
      </w:pPr>
      <w:r w:rsidDel="00000000" w:rsidR="00000000" w:rsidRPr="00000000">
        <w:rPr>
          <w:rtl w:val="0"/>
        </w:rPr>
        <w:t xml:space="preserve">que se sabe sobre el tema </w:t>
      </w:r>
    </w:p>
    <w:p w:rsidR="00000000" w:rsidDel="00000000" w:rsidP="00000000" w:rsidRDefault="00000000" w:rsidRPr="00000000" w14:paraId="00000060">
      <w:pPr>
        <w:rPr/>
      </w:pPr>
      <w:r w:rsidDel="00000000" w:rsidR="00000000" w:rsidRPr="00000000">
        <w:rPr>
          <w:rtl w:val="0"/>
        </w:rPr>
        <w:t xml:space="preserve">qué tipos de datos, de donde salieron en ese paper</w:t>
      </w:r>
    </w:p>
    <w:p w:rsidR="00000000" w:rsidDel="00000000" w:rsidP="00000000" w:rsidRDefault="00000000" w:rsidRPr="00000000" w14:paraId="00000061">
      <w:pPr>
        <w:rPr/>
      </w:pPr>
      <w:r w:rsidDel="00000000" w:rsidR="00000000" w:rsidRPr="00000000">
        <w:rPr>
          <w:rtl w:val="0"/>
        </w:rPr>
        <w:t xml:space="preserve">com se llego a eso</w:t>
      </w:r>
    </w:p>
    <w:p w:rsidR="00000000" w:rsidDel="00000000" w:rsidP="00000000" w:rsidRDefault="00000000" w:rsidRPr="00000000" w14:paraId="00000062">
      <w:pPr>
        <w:rPr/>
      </w:pPr>
      <w:r w:rsidDel="00000000" w:rsidR="00000000" w:rsidRPr="00000000">
        <w:rPr>
          <w:rtl w:val="0"/>
        </w:rPr>
        <w:t xml:space="preserve">un artículo cada uno como un diálogo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48"/>
          <w:szCs w:val="48"/>
        </w:rPr>
      </w:pPr>
      <w:r w:rsidDel="00000000" w:rsidR="00000000" w:rsidRPr="00000000">
        <w:rPr>
          <w:b w:val="1"/>
          <w:bCs w:val="1"/>
          <w:sz w:val="48"/>
          <w:szCs w:val="48"/>
          <w:rtl w:val="0"/>
        </w:rPr>
        <w:t xml:space="preserve">Cierre</w:t>
      </w:r>
    </w:p>
    <w:p w:rsidR="00000000" w:rsidDel="00000000" w:rsidP="00000000" w:rsidRDefault="00000000" w:rsidRPr="00000000" w14:paraId="00000065">
      <w:pPr>
        <w:rPr/>
      </w:pPr>
      <w:r w:rsidDel="00000000" w:rsidR="00000000" w:rsidRPr="00000000">
        <w:rPr>
          <w:rtl w:val="0"/>
        </w:rPr>
        <w:t xml:space="preserve">Luego, como actividad de cierre de la clase práctica de hoy, compartan la experiencia de dialogar con la IA, en qué medida obtuvieron información para mejorar su trabajo y en qué medida pudieron distinguir aspectos que no venían al caso</w:t>
      </w:r>
    </w:p>
    <w:p w:rsidR="00000000" w:rsidDel="00000000" w:rsidP="00000000" w:rsidRDefault="00000000" w:rsidRPr="00000000" w14:paraId="00000066">
      <w:pPr>
        <w:rPr/>
      </w:pPr>
      <w:r w:rsidDel="00000000" w:rsidR="00000000" w:rsidRPr="00000000">
        <w:rPr>
          <w:rtl w:val="0"/>
        </w:rPr>
        <w:t xml:space="preserve">Por último, nuestra experiencia utilizando la IA fue gratificante, obtuvimos información y la pudimos sintetizar de una manera </w:t>
      </w:r>
      <w:r w:rsidDel="00000000" w:rsidR="00000000" w:rsidRPr="00000000">
        <w:rPr>
          <w:rtl w:val="0"/>
        </w:rPr>
        <w:t xml:space="preserve">gratificante</w:t>
      </w:r>
      <w:r w:rsidDel="00000000" w:rsidR="00000000" w:rsidRPr="00000000">
        <w:rPr>
          <w:rtl w:val="0"/>
        </w:rPr>
        <w:t xml:space="preserve"> y eficiente, evaluando de manera crítica sus respuestas, utilizando nuestro criterio para perfeccionar y mediante iteraciones mejorar las respuestas dadas por la misma.</w:t>
      </w:r>
      <w:r w:rsidDel="00000000" w:rsidR="00000000" w:rsidRPr="00000000">
        <w:rPr>
          <w:b w:val="1"/>
          <w:bCs w:val="1"/>
          <w:sz w:val="48"/>
          <w:szCs w:val="48"/>
          <w:rtl w:val="0"/>
        </w:rPr>
        <w:br w:type="textWrapping"/>
      </w:r>
      <w:r w:rsidDel="00000000" w:rsidR="00000000" w:rsidRPr="00000000">
        <w:rPr>
          <w:rtl w:val="0"/>
        </w:rPr>
        <w:br w:type="textWrapping"/>
        <w:t xml:space="preserve">Entrevista realizada a Pablo Frigolé</w:t>
        <w:br w:type="textWrapping"/>
        <w:br w:type="textWrapping"/>
        <w:t xml:space="preserve">1) ¿Qué tal le parece el tema para un caso de investigación?</w:t>
        <w:br w:type="textWrapping"/>
        <w:br w:type="textWrapping"/>
        <w:t xml:space="preserve">-Muy interesante debido a la necesidad de tener una visión clara de hacia dónde va la economía en los próximos años y las consecuencias que podemos enfrentar dadas las decisiones tomadas en el presente.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¿Considera que es adecuado para el tiempo de cursado que tenemos (menos de 3 meses)?</w:t>
        <w:br w:type="textWrapping"/>
        <w:t xml:space="preserve">-Hay demasiadas fuentes a considerar de forma accesible, es un tema muy complejo si nos adentramos demasiado en la investigación del mismo, pero si le damos una visión simplista podemos mostrar resultados enriquecedores, sin llegar a realizar una tesis de grado con el nivel de dificultad que implica. </w:t>
        <w:br w:type="textWrapp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¿En cuanto a relevancia, considera que el trabajo cobra relevancia dada la dificultad del mismo? </w:t>
        <w:br w:type="textWrapping"/>
        <w:t xml:space="preserve">-Es interesante, siempre mostrando la información de manera simple sin profundizar a niveles de tesis de grados.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 ¿Usted podría ser nuestro tutor en este tema de investigación?</w:t>
        <w:br w:type="textWrapping"/>
        <w:t xml:space="preserve">- Posiblemente, es decir, no nos dio ni una respuesta afirmativa ni negativa. Nos iba a primero ayudar compartiendonos bibliografía y fuentes que el dispone.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5) ¿Qué secciones del trabajo considera que deberían tener mayor peso o profundidad dado el tema?</w:t>
        <w:br w:type="textWrapping"/>
        <w:t xml:space="preserve">-En cuanto a investigación nos recomendó basarnos en Jp Morgan y en el modelo de Barrow-Gordon para el estudio del tema. </w:t>
        <w:br w:type="textWrapping"/>
      </w:r>
    </w:p>
    <w:p w:rsidR="00000000" w:rsidDel="00000000" w:rsidP="00000000" w:rsidRDefault="00000000" w:rsidRPr="00000000" w14:paraId="0000006F">
      <w:pPr>
        <w:rPr/>
      </w:pPr>
      <w:r w:rsidDel="00000000" w:rsidR="00000000" w:rsidRPr="00000000">
        <w:rPr>
          <w:rtl w:val="0"/>
        </w:rPr>
        <w:t xml:space="preserve">6) ¿Hay algún error común que note en investigaciones similares que deba evitar desde ahora?</w:t>
        <w:br w:type="textWrapping"/>
        <w:t xml:space="preserve">-No mencionó un tema en específico pero sí reiteró que no nos recomienda profundizar a nivel tesis de grado, si no darle un análisis simple pero no menos importante y enriquecedor del tema en cuestión.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7) ¿Cuál es el avance que espera ver para nuestra próxima reunión?</w:t>
        <w:br w:type="textWrapping"/>
        <w:t xml:space="preserve">-Primero nos va a compartir unos artículos y nos mencionó que los datos los podemos encontrar en el ministerio de economía.</w:t>
        <w:br w:type="textWrapping"/>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8) ¿Algún tipo de bibliografía que nos recomiende?</w:t>
        <w:br w:type="textWrapping"/>
        <w:br w:type="textWrapping"/>
        <w:t xml:space="preserve">-Responde que nos va a compartir bibliografía pero cuando se desocupara.</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pc.gob.ar/operaciones-de-deuda-publica/operaciones-de-deuda-publica-enero-2026/" TargetMode="External"/><Relationship Id="rId10" Type="http://schemas.openxmlformats.org/officeDocument/2006/relationships/hyperlink" Target="https://www.bcra.gob.ar/publicaciones/informe-de-sobre-deuda-externa-privada-tercer-trimestre-de-2025/" TargetMode="External"/><Relationship Id="rId12" Type="http://schemas.openxmlformats.org/officeDocument/2006/relationships/hyperlink" Target="https://www.fin-izdat.com/journal/fc/detail.php?ID=76574" TargetMode="External"/><Relationship Id="rId9" Type="http://schemas.openxmlformats.org/officeDocument/2006/relationships/hyperlink" Target="https://www.bcra.gob.ar/estadisticas-indicadores/" TargetMode="External"/><Relationship Id="rId5" Type="http://schemas.openxmlformats.org/officeDocument/2006/relationships/styles" Target="styles.xml"/><Relationship Id="rId6" Type="http://schemas.openxmlformats.org/officeDocument/2006/relationships/hyperlink" Target="https://www.argentina.gob.ar/economia/finanzas/deuda-publica?utm_source=chatgpt.com" TargetMode="External"/><Relationship Id="rId7" Type="http://schemas.openxmlformats.org/officeDocument/2006/relationships/hyperlink" Target="https://www.argentina.gob.ar/economia/finanzas/datos-trimestrales-de-la-deuda?utm_source=chatgpt.com" TargetMode="External"/><Relationship Id="rId8" Type="http://schemas.openxmlformats.org/officeDocument/2006/relationships/hyperlink" Target="https://www.argentina.gob.ar/economia/finanzas/graficos-deuda/evolucion-de-la-deuda-bru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