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hacia el final del horizonte de proyección,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4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33"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33"/>
    <w:bookmarkStart w:id="34"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34"/>
    <w:bookmarkStart w:id="36"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35"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35"/>
    <w:bookmarkEnd w:id="36"/>
    <w:bookmarkStart w:id="37"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37"/>
    <w:bookmarkStart w:id="38"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elige cuatro rezagos, un año completo de datos trimestrales, pero ese modelo tiene una raíz de módulo 1,02, por lo que se usan tres rezagos (raíz máxima de 0,96). Con la deuda bruta, los cuatro rezagos del AIC ya son estables. La autocorrelación residual se informa como diagnóstico.</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w:t>
      </w:r>
      <w:r>
        <w:t xml:space="preserve"> </w:t>
      </w:r>
      <w:r>
        <w:t xml:space="preserve">muestran volatilidad cambiante en el tiempo (heterocedasticidad condicional; ver Capítulo 6).</w:t>
      </w:r>
      <w:r>
        <w:t xml:space="preserve"> </w:t>
      </w:r>
      <w:r>
        <w:t xml:space="preserve">Por eso los intervalos se calculan con un</w:t>
      </w:r>
      <w:r>
        <w:t xml:space="preserve"> </w:t>
      </w:r>
      <w:r>
        <w:rPr>
          <w:i/>
          <w:iCs/>
        </w:rPr>
        <w:t xml:space="preserve">bootstrap</w:t>
      </w:r>
      <w:r>
        <w:t xml:space="preserve"> </w:t>
      </w:r>
      <w:r>
        <w:t xml:space="preserve">robusto a esa heterocedasticidad (Gonçalves y</w:t>
      </w:r>
      <w:r>
        <w:t xml:space="preserve"> </w:t>
      </w:r>
      <w:r>
        <w:t xml:space="preserve">Kilian, 2004), con semilla fija para que sean reproducibles.</w:t>
      </w:r>
    </w:p>
    <w:bookmarkEnd w:id="38"/>
    <w:bookmarkStart w:id="39"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w:t>
      </w:r>
    </w:p>
    <w:bookmarkEnd w:id="39"/>
    <w:bookmarkStart w:id="40"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w:t>
            </w:r>
          </w:p>
        </w:tc>
        <w:tc>
          <w:tcPr/>
          <w:p>
            <w:pPr>
              <w:pStyle w:val="Compact"/>
            </w:pPr>
            <w:r>
              <w:rPr>
                <w:rFonts w:ascii="Calibri" w:hAnsi="Calibri"/>
                <w:sz w:val="20"/>
              </w:rPr>
              <w:t xml:space="preserve">El límite inferior del intervalo de 90% supera el 3% del FMI (contraste unilateral al 5%).</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40"/>
    <w:bookmarkEnd w:id="41"/>
    <w:bookmarkStart w:id="42" w:name="referencias"/>
    <w:p>
      <w:pPr>
        <w:pStyle w:val="Heading1"/>
      </w:pPr>
      <w:r>
        <w:t xml:space="preserve">Referencias</w:t>
      </w:r>
    </w:p>
    <w:p>
      <w:pPr>
        <w:pStyle w:val="Compact"/>
        <w:numPr>
          <w:ilvl w:val="0"/>
          <w:numId w:val="1005"/>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05"/>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05"/>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05"/>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5"/>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05"/>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5"/>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05"/>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05"/>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05"/>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05"/>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05"/>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05"/>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05"/>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5"/>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05"/>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05"/>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05"/>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05"/>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5"/>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05"/>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05"/>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5"/>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5"/>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05"/>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05"/>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5"/>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05"/>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05"/>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05"/>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05"/>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05"/>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05"/>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05"/>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05"/>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05"/>
        </w:numPr>
      </w:pPr>
      <w:r>
        <w:t xml:space="preserve">Ley 27.541 de Solidaridad Social y Reactivación Productiva en el Marco de la Emergencia Pública (2019). Boletín Oficial de la República Argentina, 23 de diciembre de 2019.</w:t>
      </w:r>
    </w:p>
    <w:p>
      <w:pPr>
        <w:pStyle w:val="Compact"/>
        <w:numPr>
          <w:ilvl w:val="0"/>
          <w:numId w:val="1005"/>
        </w:numPr>
      </w:pPr>
      <w:r>
        <w:t xml:space="preserve">Ley 27.612 de Fortalecimiento de la Sostenibilidad de la Deuda Pública (2021). Boletín Oficial de la República Argentina, 3 de marzo de 2021.</w:t>
      </w:r>
    </w:p>
    <w:p>
      <w:pPr>
        <w:pStyle w:val="Compact"/>
        <w:numPr>
          <w:ilvl w:val="0"/>
          <w:numId w:val="1005"/>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05"/>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05"/>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05"/>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05"/>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05"/>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05"/>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5"/>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05"/>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5"/>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5"/>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05"/>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05"/>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05"/>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5"/>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5"/>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05"/>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05"/>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05"/>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05"/>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42"/>
    <w:bookmarkStart w:id="47" w:name="X94fa00cbba88d80644c76c995e4abd03512405e"/>
    <w:p>
      <w:pPr>
        <w:pStyle w:val="Heading1"/>
      </w:pPr>
      <w:r>
        <w:t xml:space="preserve">Notas para el grupo (no forman parte del texto de la tesis)</w:t>
      </w:r>
    </w:p>
    <w:bookmarkStart w:id="43"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43"/>
    <w:bookmarkStart w:id="44" w:name="X6e923efd645ab780f33626d97e87b3009ff5b88"/>
    <w:p>
      <w:pPr>
        <w:pStyle w:val="Heading2"/>
      </w:pPr>
      <w:r>
        <w:t xml:space="preserve">Nota 2.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44"/>
    <w:bookmarkStart w:id="45"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06"/>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6"/>
        </w:numPr>
      </w:pPr>
      <w:r>
        <w:rPr>
          <w:b/>
          <w:bCs/>
        </w:rPr>
        <w:t xml:space="preserve">Citas corregidas:</w:t>
      </w:r>
    </w:p>
    <w:p>
      <w:pPr>
        <w:pStyle w:val="Compact"/>
        <w:numPr>
          <w:ilvl w:val="1"/>
          <w:numId w:val="1007"/>
        </w:numPr>
      </w:pPr>
      <w:r>
        <w:t xml:space="preserve">Reinhart et al. (2003) se usa ahora para la intolerancia a la deuda.</w:t>
      </w:r>
    </w:p>
    <w:p>
      <w:pPr>
        <w:pStyle w:val="Compact"/>
        <w:numPr>
          <w:ilvl w:val="1"/>
          <w:numId w:val="1007"/>
        </w:numPr>
      </w:pPr>
      <w:r>
        <w:t xml:space="preserve">Mendoza y Oviedo (2007), para la incertidumbre y el límite de deuda.</w:t>
      </w:r>
    </w:p>
    <w:p>
      <w:pPr>
        <w:pStyle w:val="Compact"/>
        <w:numPr>
          <w:ilvl w:val="1"/>
          <w:numId w:val="1007"/>
        </w:numPr>
      </w:pPr>
      <w:r>
        <w:t xml:space="preserve">La fatiga fiscal pasa a Ghosh et al. (2013).</w:t>
      </w:r>
    </w:p>
    <w:p>
      <w:pPr>
        <w:pStyle w:val="Compact"/>
        <w:numPr>
          <w:ilvl w:val="1"/>
          <w:numId w:val="1007"/>
        </w:numPr>
      </w:pPr>
      <w:r>
        <w:t xml:space="preserve">Ando et al. queda con año 2025.</w:t>
      </w:r>
    </w:p>
    <w:p>
      <w:pPr>
        <w:pStyle w:val="Compact"/>
        <w:numPr>
          <w:ilvl w:val="1"/>
          <w:numId w:val="1007"/>
        </w:numPr>
      </w:pPr>
      <w:r>
        <w:t xml:space="preserve">Se sacan Garud y la tesis propia.</w:t>
      </w:r>
    </w:p>
    <w:p>
      <w:pPr>
        <w:pStyle w:val="Compact"/>
        <w:numPr>
          <w:ilvl w:val="0"/>
          <w:numId w:val="1006"/>
        </w:numPr>
      </w:pPr>
      <w:r>
        <w:rPr>
          <w:b/>
          <w:bCs/>
        </w:rPr>
        <w:t xml:space="preserve">Canal cuasifiscal del shock de la FED:</w:t>
      </w:r>
      <w:r>
        <w:t xml:space="preserve"> </w:t>
      </w:r>
      <w:r>
        <w:t xml:space="preserve">se redacta en pasado.</w:t>
      </w:r>
    </w:p>
    <w:p>
      <w:pPr>
        <w:pStyle w:val="Compact"/>
        <w:numPr>
          <w:ilvl w:val="0"/>
          <w:numId w:val="1006"/>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06"/>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08"/>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08"/>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08"/>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09"/>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09"/>
        </w:numPr>
      </w:pPr>
      <w:r>
        <w:rPr>
          <w:b/>
          <w:bCs/>
        </w:rPr>
        <w:t xml:space="preserve">Párrafo cortado:</w:t>
      </w:r>
      <w:r>
        <w:t xml:space="preserve"> </w:t>
      </w:r>
      <w:r>
        <w:t xml:space="preserve">el párrafo de Santiago sobre la subordinación del BCRA, que estaba cortado, se completó y quedó marcado para verificar.</w:t>
      </w:r>
    </w:p>
    <w:bookmarkEnd w:id="45"/>
    <w:bookmarkStart w:id="46" w:name="nota-4.-pendientes"/>
    <w:p>
      <w:pPr>
        <w:pStyle w:val="Heading2"/>
      </w:pPr>
      <w:r>
        <w:t xml:space="preserve">Nota 4. Pendientes</w:t>
      </w:r>
    </w:p>
    <w:p>
      <w:pPr>
        <w:pStyle w:val="Compact"/>
        <w:numPr>
          <w:ilvl w:val="0"/>
          <w:numId w:val="1010"/>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10"/>
        </w:numPr>
      </w:pPr>
      <w:r>
        <w:t xml:space="preserve">Klemm et al. (2014) y Adler y Magud (2014) salieron del texto: no se pudo leer el capítulo de Klemm et al., y en Adler y Magud no está definido el índice que se les atribuía.</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2026-10-11T15:13:11Z</dcterms:created>
  <dcterms:modified xsi:type="dcterms:W3CDTF">2026-10-11T15:13:11Z</dcterms:modified>
</cp:coreProperties>
</file>

<file path=docProps/custom.xml><?xml version="1.0" encoding="utf-8"?>
<Properties xmlns="http://schemas.openxmlformats.org/officeDocument/2006/custom-properties" xmlns:vt="http://schemas.openxmlformats.org/officeDocument/2006/docPropsVTypes"/>
</file>