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Ventana única: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(2030), el horizonte de la métrica del FMI,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3% del FMI se mide a cinco años; 2035 es el final del horizonte de la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ventana única,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H1a respaldada. H1b respaldada a cinco años (11,8% contra 3%); a diez años, 6,0% con el límite inferior en el umbral. H2 respaldada para un ciclo como el de 2022-2023, no para un shock de medio punto.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 (11,1 billones de pesos en diciembre de 2024, según el BCRA)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serie de pasivos del BCRA no las incluye. Si tampoco están en la deuda del Tesoro que usamos, faltan en la consolidada esos trimestres, unos 2 puntos del PIB a fines de 2024. No afectan el punto de partida de diciembre de 2025, porque para entonces estaban en cero.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Revisar en los informes trimestrales de la Secretaría de Finanzas si las LEFI se cuentan como deuda bruta de la Administración Central. Si no, sumarlas a los pasivos consolidados de esos trimestres y reestimar.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Robustez de H1a a la identificación.</w:t>
      </w:r>
      <w:r>
        <w:t xml:space="preserve"> </w:t>
      </w:r>
      <w:r>
        <w:t xml:space="preserve">Con la identificación principal (Blanchard y Perotti para el shock fiscal), los shocks no fiscales superan al fiscal en el 99% de las réplicas, con un intervalo de 90% de [17,5; 93,0]. Con una identificación de Cholesky que ordena el shock fiscal primero, se le atribuye a lo fiscal toda la covarianza contemporánea con las demás variables; es el ordenamiento más favorable a lo fiscal. Con ese ordenamiento, la participación fiscal sube a 33%, la cambiaria y de riesgo queda en 59%, y lo no fiscal supera a lo fiscal en el 78% de las réplicas. Pero el intervalo de la diferencia, [-43; 87], incluye el cero. H1b y H2 no cambian. Hay que decidir cómo se presenta: la propuesta es informarlo en la sección de robustez y en las limitaciones, y decir que H1a depende de identificar el shock fiscal con la elasticidad de Blanchard y Perotti, que es la que justifica la sección 4.4. No se escribió todavía en la tesis.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Confirmar en el reglamento de tesis de la FCE si hace falta un resumen en inglés y una extensión máxima.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2026-10-11T21:29:35Z</dcterms:created>
  <dcterms:modified xsi:type="dcterms:W3CDTF">2026-10-11T21:29:35Z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