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que suma la del Sector Público No Financiero y la del Banco Central, en el horizonte 2026-2035, a partir de sus determinantes macroeconómicos históricos (1996-2025): el crecimiento, el tipo de cambio real, el riesgo país y el resultado primario.</w:t>
      </w:r>
    </w:p>
    <w:p>
      <w:pPr>
        <w:pStyle w:val="BodyText"/>
      </w:pPr>
      <w:r>
        <w:rPr>
          <w:b/>
          <w:bCs/>
        </w:rPr>
        <w:t xml:space="preserve">Metodología.</w:t>
      </w:r>
      <w:r>
        <w:t xml:space="preserve"> </w:t>
      </w:r>
      <w:r>
        <w:t xml:space="preserve">Se estima un modelo de vectores autorregresivos estructural con variables exógenas (SVARX) sobre datos trimestrales, con la tasa de política de la Reserva Federal y la volatilidad financiera global como variables externas. Los shocks fiscales se identifican con el método de Blanchard y Perotti (2002), y la deuda consolidada neta se construye según el criterio del FMI (2021). Con el modelo se simulan 120.000 trayectorias de la deuda alrededor del escenario base del FMI (2025) y se mide la probabilidad de que la deuda no se estabilice, la métrica central del marco de sostenibilidad del FMI.</w:t>
      </w:r>
    </w:p>
    <w:p>
      <w:pPr>
        <w:pStyle w:val="BodyText"/>
      </w:pPr>
      <w:r>
        <w:rPr>
          <w:b/>
          <w:bCs/>
        </w:rPr>
        <w:t xml:space="preserve">Resultados.</w:t>
      </w:r>
      <w:r>
        <w:t xml:space="preserve"> </w:t>
      </w:r>
      <w:r>
        <w:t xml:space="preserve">La política fiscal respondió a la deuda en el período (reacción de 0,05 por punto de deuda), pero los shocks cambiarios y de riesgo explican cerca de 60% de la incertidumbre sobre la deuda en 2035, y los fiscales, menos de 20%. La probabilidad de que la deuda no se estabilice a cinco años es de 11,8%, con un intervalo de 90% de 8,0% a 15,8%, frente a alrededor de 3% en el análisis del FMI. A diez años baja a 6,0%. Un endurecimiento de la Reserva Federal como el de 2022-2023 eleva la deuda esperada en 7 puntos del PIB hacia 2035, sobre todo por el mayor costo de refinanciar la deuda en dólares.</w:t>
      </w:r>
    </w:p>
    <w:p>
      <w:pPr>
        <w:pStyle w:val="BodyText"/>
      </w:pPr>
      <w:r>
        <w:rPr>
          <w:b/>
          <w:bCs/>
        </w:rPr>
        <w:t xml:space="preserve">Conclusión.</w:t>
      </w:r>
      <w:r>
        <w:t xml:space="preserve"> </w:t>
      </w:r>
      <w:r>
        <w:t xml:space="preserve">El superávit primario es necesario pero no alcanza para estabilizar la deuda. Con el mismo escenario base, representar la incertidumbre con la dinámica histórica de la economía argentina da un diagnóstico de sostenibilidad más exigente que el del FMI en los primeros cinco años.</w:t>
      </w:r>
    </w:p>
    <w:p>
      <w:pPr>
        <w:pStyle w:val="BodyText"/>
      </w:pPr>
      <w:r>
        <w:rPr>
          <w:b/>
          <w:bCs/>
        </w:rPr>
        <w:t xml:space="preserve">Palabras clave:</w:t>
      </w:r>
      <w:r>
        <w:t xml:space="preserve"> </w:t>
      </w:r>
      <w:r>
        <w:t xml:space="preserve">deuda pública, sostenibilidad fiscal, SVAR, gráfico de abanico, Argentina.</w:t>
      </w:r>
    </w:p>
    <w:p>
      <w:pPr>
        <w:pStyle w:val="BodyText"/>
      </w:pPr>
      <w:r>
        <w:rPr>
          <w:b/>
          <w:bCs/>
        </w:rPr>
        <w:t xml:space="preserve">Clasificación JEL:</w:t>
      </w:r>
      <w:r>
        <w:t xml:space="preserve"> </w:t>
      </w:r>
      <w:r>
        <w:t xml:space="preserve">E62, F34, H63.</w:t>
      </w:r>
    </w:p>
    <w:bookmarkEnd w:id="9"/>
    <w:bookmarkStart w:id="20" w:name="introducción"/>
    <w:p>
      <w:pPr>
        <w:pStyle w:val="Heading1"/>
      </w:pPr>
      <w:r>
        <w:t xml:space="preserve">1. Introducción</w:t>
      </w:r>
    </w:p>
    <w:bookmarkStart w:id="11"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El precio de colocación fue de 91 por cada 100 nominales, de modo que el Tesoro recaudó unos USD 910 millones (Chequeado, 2025). En 2026 el Tesoro siguió financiándose con bonos en dólares bajo ley local y no emitió bajo legislación de Nueva York: en septiembre,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1"/>
    <w:bookmarkStart w:id="12"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2"/>
    <w:bookmarkStart w:id="13"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3"/>
    <w:bookmarkStart w:id="14"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4"/>
    <w:bookmarkStart w:id="15"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medida a cinco años (2030, el mismo horizonte de la métrica del FMI) y a diez años (2035, el final del horizonte de proyección) y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 shock se mide de dos maneras: un desvío estándar de la variación trimestral de la tasa (convención de la literatura de VAR) y una repetición del ciclo de subas de 2022-2023.</w:t>
      </w:r>
    </w:p>
    <w:bookmarkEnd w:id="15"/>
    <w:bookmarkStart w:id="17"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6"/>
      </w:r>
      <w:r>
        <w:t xml:space="preserve"> </w:t>
      </w:r>
      <w:r>
        <w:t xml:space="preserve">y en las métricas que utiliza el FMI para evaluar el riesgo soberano.</w:t>
      </w:r>
    </w:p>
    <w:bookmarkEnd w:id="17"/>
    <w:bookmarkStart w:id="18"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8"/>
    <w:bookmarkStart w:id="19"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9"/>
    <w:bookmarkEnd w:id="20"/>
    <w:bookmarkStart w:id="33"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1"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1"/>
    <w:bookmarkStart w:id="23"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2"/>
      </w:r>
      <w:r>
        <w:t xml:space="preserve">.</w:t>
      </w:r>
    </w:p>
    <w:bookmarkEnd w:id="23"/>
    <w:bookmarkStart w:id="24"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4"/>
    <w:bookmarkStart w:id="25"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5"/>
    <w:bookmarkStart w:id="28"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6"/>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7"/>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8"/>
    <w:bookmarkStart w:id="29"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9"/>
    <w:bookmarkStart w:id="30"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30"/>
    <w:bookmarkStart w:id="31"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1"/>
    <w:bookmarkStart w:id="32"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remunerados del BCRA se hayan reducido a niveles mínimos. Los pases pasivos se suspendieron en julio de 2024 y su stock pasó al Tesoro como Letras Fiscales de Liquidez (LEFI), que el BCRA dejó de ofrecer en julio de 2025 (BCRA, 2025). A fin de 2025 el stock 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2"/>
    <w:bookmarkEnd w:id="33"/>
    <w:bookmarkStart w:id="46"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4"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4"/>
    <w:bookmarkStart w:id="39" w:name="Xa279cf3229c29106283bb4d1e58e9229cedcf6a"/>
    <w:p>
      <w:pPr>
        <w:pStyle w:val="Heading2"/>
      </w:pPr>
      <w:r>
        <w:t xml:space="preserve">3.2 Solvencia intertemporal, la regla de Bohn y la identidad de la deuda</w:t>
      </w:r>
    </w:p>
    <w:bookmarkStart w:id="35"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5"/>
    <w:bookmarkStart w:id="36"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6"/>
    <w:bookmarkStart w:id="37"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de no cointegración, como ocurre en la muestra de la tesis, no permite concluir que la política sea insostenible, y por eso el sistema se estima en niveles sin imponer relaciones de cointegración.</w:t>
      </w:r>
    </w:p>
    <w:bookmarkEnd w:id="37"/>
    <w:bookmarkStart w:id="38"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8"/>
    <w:bookmarkEnd w:id="39"/>
    <w:bookmarkStart w:id="40"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0"/>
    <w:bookmarkStart w:id="41"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1"/>
    <w:bookmarkStart w:id="42"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 spreads 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cumplen un papel estabilizador tanto ante los shocks de incertidumbre global, donde la repatriación de activos compensa en buena medida la salida de no residentes, como ante los de la tasa larga de Estados Unidos, donde la compensación es mucho más limitada. Esto justifica incluir a la vez la tasa de la FED y el VIX, que no se confunden entre sí.</w:t>
      </w:r>
    </w:p>
    <w:bookmarkEnd w:id="42"/>
    <w:bookmarkStart w:id="43"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3"/>
    <w:bookmarkStart w:id="44"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4"/>
    <w:bookmarkStart w:id="45"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5"/>
    <w:bookmarkEnd w:id="46"/>
    <w:bookmarkStart w:id="55"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7"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7"/>
    <w:bookmarkStart w:id="48"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8"/>
    <w:bookmarkStart w:id="50"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9"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9"/>
    <w:bookmarkEnd w:id="50"/>
    <w:bookmarkStart w:id="51"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1"/>
    <w:bookmarkStart w:id="52"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Ventana única.</w:t>
      </w:r>
      <w:r>
        <w:t xml:space="preserve"> </w:t>
      </w:r>
      <w:r>
        <w:t xml:space="preserve">Todas las series cubren 1996-2025 y todas las especificaciones se estiman sobre la misma muestra efectiva, 1998T2-2025T4 (111 trimestres). Los primeros trimestres no se pierden por falta de datos: se usan como condiciones iniciales de los rezagos (la variación de la tasa de la FED con dos rezagos y hasta seis rezagos del VAR). Reservar el mismo número de observaciones para cualquier orden del VAR es lo que permite comparar los criterios de información entre órdenes (Lütkepohl, 2005, sec. 4.3) y hace que la deuda neta, la neta en libros y la bruta se estimen sobre exactamente los mismos trimestres. La simulación usa esa misma muestra para remuestrear los shocks, y la variante con shocks como los del FMI usa los años 1997-2025 de las mismas series.</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alcanza su mínimo en seis rezagos, el máximo considerado, pero todos los órdenes desde cuatro son inestables (raíz máxima entre 1,02 y 1,03), por lo que se usan tres (raíz máxima de 0,96). Los criterios de Hannan-Quinn y de Schwarz eligen órdenes menores (dos y uno), de modo que tres rezagos quedan dentro del rango que sugieren los tres criterios. Con la deuda bruta, el mayor orden estable es cuatro (raíz máxima de 0,99). La prueba de Portmanteau detecta autocorrelación residual leve en los modelos estables (p entre 0,02 y 0,04), que se informa como limitación.</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 la volatilidad de las variables cambia entre subperíodos. Por eso los intervalos se calculan con un</w:t>
      </w:r>
      <w:r>
        <w:t xml:space="preserve"> </w:t>
      </w:r>
      <w:r>
        <w:rPr>
          <w:i/>
          <w:iCs/>
        </w:rPr>
        <w:t xml:space="preserve">bootstrap</w:t>
      </w:r>
      <w:r>
        <w:t xml:space="preserve"> </w:t>
      </w:r>
      <w:r>
        <w:t xml:space="preserve">salvaje de diseño recursivo, que es válido con heterocedasticidad condicional de forma desconocida y también sin ella (Gonçalves y Kilian, 2004), con semilla fija para que sean reproducibles. Los diagnósticos del modelo estimado se presentan en el Capítulo 6.</w:t>
      </w:r>
    </w:p>
    <w:bookmarkEnd w:id="52"/>
    <w:bookmarkStart w:id="53"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FMI (2025): crecimiento, resultado primario, tasa</w:t>
      </w:r>
      <w:r>
        <w:t xml:space="preserve"> </w:t>
      </w:r>
      <w:r>
        <w:t xml:space="preserve">efectiva y ajuste stock-flujo. Así la comparación con su 3% de no estabilización es directa.</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 No se traslada de inmediato a toda la deuda: cada año se refinancia la fracción λ = 13/64,1 ≈ 0,20, que es el cociente entre las necesidades brutas de financiamiento y la deuda del escenario base del FMI (2025, anexo II).</w:t>
      </w:r>
    </w:p>
    <w:p>
      <w:pPr>
        <w:pStyle w:val="Compact"/>
        <w:numPr>
          <w:ilvl w:val="0"/>
          <w:numId w:val="1004"/>
        </w:numPr>
      </w:pPr>
      <w:r>
        <w:rPr>
          <w:b/>
          <w:bCs/>
        </w:rPr>
        <w:t xml:space="preserve">Canal de tasas domésticas (variante).</w:t>
      </w:r>
      <w:r>
        <w:t xml:space="preserve"> </w:t>
      </w:r>
      <w:r>
        <w:t xml:space="preserve">En la especificación principal, el EMBI+ encarece solo la deuda en moneda extranjera. En la variante, 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 la convertibilidad, el control de tasas posterior a 2002 y la indexación por CER cambian el significado de cualquier tasa nominal en pesos entre subperíodos.</w:t>
      </w:r>
    </w:p>
    <w:p>
      <w:pPr>
        <w:pStyle w:val="Compact"/>
        <w:numPr>
          <w:ilvl w:val="0"/>
          <w:numId w:val="1004"/>
        </w:numPr>
      </w:pPr>
      <w:r>
        <w:rPr>
          <w:b/>
          <w:bCs/>
        </w:rPr>
        <w:t xml:space="preserve">Shocks como los del FMI (variante).</w:t>
      </w:r>
      <w:r>
        <w:t xml:space="preserve"> </w:t>
      </w:r>
      <w:r>
        <w:t xml:space="preserve">Para saber cuánto del resultado depende de la forma de generar los shocks, se repite la simulación con el procedimiento del abanico del FMI (FMI, 2021, anexo VI; FMI y ESM, 2023): se calculan los desvíos respecto de la media histórica de los cuatro impulsores anuales de la deuda (tasa real efectiva, crecimiento real, depreciación real y resultado primario, 1997-2025), se los remuestrea como vectores, para conservar la correlación entre impulsores, en bloques de dos años consecutivos, para conservar parte de la persistencia, y se los suma al escenario base. La identidad, el punto de partida y la métrica son los mismos. La tasa real efectiva es el cociente entre los intereses pagados (resultado primario menos resultado financiero del Sector Público Nacional, MECON) y la deuda bruta del año anterior, deflactado por el deflactor del PIB.</w:t>
      </w:r>
    </w:p>
    <w:p>
      <w:pPr>
        <w:pStyle w:val="Compact"/>
        <w:numPr>
          <w:ilvl w:val="0"/>
          <w:numId w:val="1004"/>
        </w:numPr>
      </w:pPr>
      <w:r>
        <w:rPr>
          <w:b/>
          <w:bCs/>
        </w:rPr>
        <w:t xml:space="preserve">Por qué la especificación principal es el SVARX.</w:t>
      </w:r>
      <w:r>
        <w:t xml:space="preserve"> </w:t>
      </w:r>
      <w:r>
        <w:t xml:space="preserve">La elección se fija antes de ver los resultados y no según cuál da una probabilidad mayor. El procedimiento del FMI genera shocks en forma reducida: no distingue un shock fiscal de uno cambiario ni aísla la tasa de la FED. Por eso no puede contrastar H1a, que compara bloques de shocks, ni H2, que requiere un shock externo identificado. El SVARX sí puede, y además incorpora la respuesta de la política fiscal a la deuda (Bohn, 1998). La variante del FMI se informa como comparación metodológica.</w:t>
      </w:r>
    </w:p>
    <w:bookmarkEnd w:id="53"/>
    <w:bookmarkStart w:id="54"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a cinco años (2030) y a diez años (2035)</w:t>
            </w:r>
          </w:p>
        </w:tc>
        <w:tc>
          <w:tcPr/>
          <w:p>
            <w:pPr>
              <w:pStyle w:val="Compact"/>
            </w:pPr>
            <w:r>
              <w:rPr>
                <w:rFonts w:ascii="Calibri" w:hAnsi="Calibri"/>
                <w:sz w:val="20"/>
              </w:rPr>
              <w:t xml:space="preserve">El límite inferior del intervalo de 90% supera el 3% del FMI (contraste unilateral al 5%). El contraste directo es el de 2030, porque el 3% del FMI se mide a cinco años; el de 2035 indica si el resultado se sostiene hasta el final del horizonte.</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4"/>
    <w:bookmarkEnd w:id="55"/>
    <w:bookmarkStart w:id="94" w:name="datos"/>
    <w:p>
      <w:pPr>
        <w:pStyle w:val="Heading1"/>
      </w:pPr>
      <w:r>
        <w:t xml:space="preserve">5. Datos</w:t>
      </w:r>
    </w:p>
    <w:p>
      <w:pPr>
        <w:pStyle w:val="FirstParagraph"/>
      </w:pPr>
      <w:r>
        <w:t xml:space="preserve">Este capítulo documenta cada serie del modelo: qué mide, de dónde sale, qué transformaciones se le aplicaron y por qué. La muestra es trimestral, 1996T1-2025T4 (120 observaciones). La muestra efectiva de estimación es 1996T4-2025T4 (117 observaciones), porque el crecimiento pierde la primera observación y los dos rezagos de la tasa de la Fed consumen las siguientes. Todas las cifras que aparecen aquí se recalcularon desde los archivos del repositorio citados en cada sección. Cuando una serie tiene una limitación, se declara junto con la dirección probable de su sesgo.</w:t>
      </w:r>
    </w:p>
    <w:bookmarkStart w:id="56" w:name="resumen-de-las-series"/>
    <w:p>
      <w:pPr>
        <w:pStyle w:val="Heading2"/>
      </w:pPr>
      <w:r>
        <w:t xml:space="preserve">5.1 Resumen de las series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 del modelo</w:t>
            </w:r>
          </w:p>
        </w:tc>
        <w:tc>
          <w:tcPr/>
          <w:p>
            <w:pPr>
              <w:pStyle w:val="Compact"/>
            </w:pPr>
            <w:r>
              <w:rPr>
                <w:rFonts w:ascii="Calibri" w:hAnsi="Calibri"/>
                <w:sz w:val="20"/>
              </w:rPr>
              <w:t xml:space="preserve">Rol (Capítulo 4)</w:t>
            </w:r>
          </w:p>
        </w:tc>
        <w:tc>
          <w:tcPr/>
          <w:p>
            <w:pPr>
              <w:pStyle w:val="Compact"/>
            </w:pPr>
            <w:r>
              <w:rPr>
                <w:rFonts w:ascii="Calibri" w:hAnsi="Calibri"/>
                <w:sz w:val="20"/>
              </w:rPr>
              <w:t xml:space="preserve">Archivo</w:t>
            </w:r>
          </w:p>
        </w:tc>
        <w:tc>
          <w:tcPr/>
          <w:p>
            <w:pPr>
              <w:pStyle w:val="Compact"/>
            </w:pPr>
            <w:r>
              <w:rPr>
                <w:rFonts w:ascii="Calibri" w:hAnsi="Calibri"/>
                <w:sz w:val="20"/>
              </w:rPr>
              <w:t xml:space="preserve">Fuente primaria</w:t>
            </w:r>
          </w:p>
        </w:tc>
        <w:tc>
          <w:tcPr/>
          <w:p>
            <w:pPr>
              <w:pStyle w:val="Compact"/>
            </w:pPr>
            <w:r>
              <w:rPr>
                <w:rFonts w:ascii="Calibri" w:hAnsi="Calibri"/>
                <w:sz w:val="20"/>
              </w:rPr>
              <w:t xml:space="preserve">Cobertura real</w:t>
            </w:r>
          </w:p>
        </w:tc>
      </w:tr>
      <w:tr>
        <w:tc>
          <w:tcPr/>
          <w:p>
            <w:pPr>
              <w:pStyle w:val="Compact"/>
            </w:pPr>
            <w:r>
              <w:rPr>
                <w:rFonts w:ascii="Calibri" w:hAnsi="Calibri"/>
                <w:sz w:val="20"/>
              </w:rPr>
              <w:t xml:space="preserve">Deuda consolidada neta, tenencia del BCRA a valor nominal, variante piso (% PIB)</w:t>
            </w:r>
          </w:p>
        </w:tc>
        <w:tc>
          <w:tcPr/>
          <w:p>
            <w:pPr>
              <w:pStyle w:val="Compact"/>
            </w:pPr>
            <w:r>
              <w:rPr>
                <w:rFonts w:ascii="Calibri" w:hAnsi="Calibri"/>
                <w:sz w:val="20"/>
              </w:rPr>
              <w:t xml:space="preserve">Rezagada en las ecuaciones</w:t>
            </w:r>
          </w:p>
        </w:tc>
        <w:tc>
          <w:tcPr/>
          <w:p>
            <w:pPr>
              <w:pStyle w:val="Compact"/>
            </w:pPr>
            <w:r>
              <w:rPr>
                <w:rStyle w:val="VerbatimChar"/>
                <w:rFonts w:ascii="Calibri" w:hAnsi="Calibri"/>
                <w:sz w:val="20"/>
              </w:rPr>
              <w:t xml:space="preserve">datos/procesados/deuda_consolidada_neta_nominal_1996_2025.csv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deuda_consolidada_neta_nominal_piso_pib</w:t>
            </w:r>
            <w:r>
              <w:rPr>
                <w:rFonts w:ascii="Calibri" w:hAnsi="Calibri"/>
                <w:sz w:val="20"/>
              </w:rPr>
              <w:t xml:space="preserve">)</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1996T1-2025T4, sin FGS; nominal en 80 de 120 trimestres (ver 5.3.4)</w:t>
            </w:r>
          </w:p>
        </w:tc>
      </w:tr>
      <w:tr>
        <w:tc>
          <w:tcPr/>
          <w:p>
            <w:pPr>
              <w:pStyle w:val="Compact"/>
            </w:pPr>
            <w:r>
              <w:rPr>
                <w:rFonts w:ascii="Calibri" w:hAnsi="Calibri"/>
                <w:sz w:val="20"/>
              </w:rPr>
              <w:t xml:space="preserve">Deuda neta a valor de libros y deuda federal bruta (% PIB)</w:t>
            </w:r>
          </w:p>
        </w:tc>
        <w:tc>
          <w:tcPr/>
          <w:p>
            <w:pPr>
              <w:pStyle w:val="Compact"/>
            </w:pPr>
            <w:r>
              <w:rPr>
                <w:rFonts w:ascii="Calibri" w:hAnsi="Calibri"/>
                <w:sz w:val="20"/>
              </w:rPr>
              <w:t xml:space="preserve">Series de robustez y componente</w:t>
            </w:r>
          </w:p>
        </w:tc>
        <w:tc>
          <w:tcPr/>
          <w:p>
            <w:pPr>
              <w:pStyle w:val="Compact"/>
            </w:pPr>
            <w:r>
              <w:rPr>
                <w:rStyle w:val="VerbatimChar"/>
                <w:rFonts w:ascii="Calibri" w:hAnsi="Calibri"/>
                <w:sz w:val="20"/>
              </w:rPr>
              <w:t xml:space="preserve">datos/procesados/deuda_consolidada_neta_1996_2025.csv</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datos/procesados/deuda_consolidada_1996_2025.csv</w:t>
            </w:r>
          </w:p>
        </w:tc>
        <w:tc>
          <w:tcPr/>
          <w:p>
            <w:pPr>
              <w:pStyle w:val="Compact"/>
            </w:pPr>
            <w:r>
              <w:rPr>
                <w:rFonts w:ascii="Calibri" w:hAnsi="Calibri"/>
                <w:sz w:val="20"/>
              </w:rPr>
              <w:t xml:space="preserve">MECON, Informe de Deuda 31/12/2025</w:t>
            </w:r>
          </w:p>
        </w:tc>
        <w:tc>
          <w:tcPr/>
          <w:p>
            <w:pPr>
              <w:pStyle w:val="Compact"/>
            </w:pPr>
            <w:r>
              <w:rPr>
                <w:rFonts w:ascii="Calibri" w:hAnsi="Calibri"/>
                <w:sz w:val="20"/>
              </w:rPr>
              <w:t xml:space="preserve">1996T1-2025T4 (6 trimestres interpolados)</w:t>
            </w:r>
          </w:p>
        </w:tc>
      </w:tr>
      <w:tr>
        <w:tc>
          <w:tcPr/>
          <w:p>
            <w:pPr>
              <w:pStyle w:val="Compact"/>
            </w:pPr>
            <w:r>
              <w:rPr>
                <w:rFonts w:ascii="Calibri" w:hAnsi="Calibri"/>
                <w:sz w:val="20"/>
              </w:rPr>
              <w:t xml:space="preserve">Pasivos remunerados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w:t>
            </w:r>
          </w:p>
        </w:tc>
        <w:tc>
          <w:tcPr/>
          <w:p>
            <w:pPr>
              <w:pStyle w:val="Compact"/>
            </w:pPr>
            <w:r>
              <w:rPr>
                <w:rFonts w:ascii="Calibri" w:hAnsi="Calibri"/>
                <w:sz w:val="20"/>
              </w:rPr>
              <w:t xml:space="preserve">1996T1-2025T4 (sin swap del PBoC)</w:t>
            </w:r>
          </w:p>
        </w:tc>
      </w:tr>
      <w:tr>
        <w:tc>
          <w:tcPr/>
          <w:p>
            <w:pPr>
              <w:pStyle w:val="Compact"/>
            </w:pPr>
            <w:r>
              <w:rPr>
                <w:rFonts w:ascii="Calibri" w:hAnsi="Calibri"/>
                <w:sz w:val="20"/>
              </w:rPr>
              <w:t xml:space="preserve">Deuda del Tesoro en poder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BCRA, Balance histórico</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 id 1264</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Resultado primario (% PIB, flujo trimestral anualizado)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datos/procesados/resultado_primario_1996_2025.csv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pb_pib_trim</w:t>
            </w:r>
            <w:r>
              <w:rPr>
                <w:rFonts w:ascii="Calibri" w:hAnsi="Calibri"/>
                <w:sz w:val="20"/>
              </w:rPr>
              <w:t xml:space="preserve">)</w:t>
            </w:r>
          </w:p>
        </w:tc>
        <w:tc>
          <w:tcPr/>
          <w:p>
            <w:pPr>
              <w:pStyle w:val="Compact"/>
            </w:pPr>
            <w:r>
              <w:rPr>
                <w:rFonts w:ascii="Calibri" w:hAnsi="Calibri"/>
                <w:sz w:val="20"/>
              </w:rPr>
              <w:t xml:space="preserve">MECON, Secretaría de Hacienda, esquema Ahorro-Inversión-Financiamiento (datos.gob.ar, dataset 379)</w:t>
            </w:r>
          </w:p>
        </w:tc>
        <w:tc>
          <w:tcPr/>
          <w:p>
            <w:pPr>
              <w:pStyle w:val="Compact"/>
            </w:pPr>
            <w:r>
              <w:rPr>
                <w:rFonts w:ascii="Calibri" w:hAnsi="Calibri"/>
                <w:sz w:val="20"/>
              </w:rPr>
              <w:t xml:space="preserve">1996T1-2025T4, mensual, sin desagregación</w:t>
            </w:r>
          </w:p>
        </w:tc>
      </w:tr>
      <w:tr>
        <w:tc>
          <w:tcPr/>
          <w:p>
            <w:pPr>
              <w:pStyle w:val="Compact"/>
            </w:pPr>
            <w:r>
              <w:rPr>
                <w:rFonts w:ascii="Calibri" w:hAnsi="Calibri"/>
                <w:sz w:val="20"/>
              </w:rPr>
              <w:t xml:space="preserve">PIB real y crecimiento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datos/procesados/pib_real_empalme_indec_1996_2003.csv</w:t>
            </w:r>
            <w:r>
              <w:rPr>
                <w:rFonts w:ascii="Calibri" w:hAnsi="Calibri"/>
                <w:sz w:val="20"/>
              </w:rPr>
              <w:t xml:space="preserve"> </w:t>
            </w:r>
            <w:r>
              <w:rPr>
                <w:rFonts w:ascii="Calibri" w:hAnsi="Calibri"/>
                <w:sz w:val="20"/>
              </w:rPr>
              <w:t xml:space="preserve">y</w:t>
            </w:r>
            <w:r>
              <w:rPr>
                <w:rFonts w:ascii="Calibri" w:hAnsi="Calibri"/>
                <w:sz w:val="20"/>
              </w:rPr>
              <w:t xml:space="preserve"> </w:t>
            </w:r>
            <w:r>
              <w:rPr>
                <w:rStyle w:val="VerbatimChar"/>
                <w:rFonts w:ascii="Calibri" w:hAnsi="Calibri"/>
                <w:sz w:val="20"/>
              </w:rPr>
              <w:t xml:space="preserve">datos/dataset_consolidado_1996_2025.csv</w:t>
            </w:r>
          </w:p>
        </w:tc>
        <w:tc>
          <w:tcPr/>
          <w:p>
            <w:pPr>
              <w:pStyle w:val="Compact"/>
            </w:pPr>
            <w:r>
              <w:rPr>
                <w:rFonts w:ascii="Calibri" w:hAnsi="Calibri"/>
                <w:sz w:val="20"/>
              </w:rPr>
              <w:t xml:space="preserve">INDEC, Oferta y Demanda Globales</w:t>
            </w:r>
          </w:p>
        </w:tc>
        <w:tc>
          <w:tcPr/>
          <w:p>
            <w:pPr>
              <w:pStyle w:val="Compact"/>
            </w:pPr>
            <w:r>
              <w:rPr>
                <w:rFonts w:ascii="Calibri" w:hAnsi="Calibri"/>
                <w:sz w:val="20"/>
              </w:rPr>
              <w:t xml:space="preserve">1996-2003 base 1993 empalmada a base 2004; 2004-2025 directo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JP Morgan vía Ámbito; spread Brady</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BCRA,</w:t>
            </w:r>
            <w:r>
              <w:rPr>
                <w:rFonts w:ascii="Calibri" w:hAnsi="Calibri"/>
                <w:sz w:val="20"/>
              </w:rPr>
              <w:t xml:space="preserve"> </w:t>
            </w:r>
            <w:r>
              <w:rPr>
                <w:rStyle w:val="VerbatimChar"/>
                <w:rFonts w:ascii="Calibri" w:hAnsi="Calibri"/>
                <w:sz w:val="20"/>
              </w:rPr>
              <w:t xml:space="preserve">ITCRMSerie.xlsx</w:t>
            </w:r>
          </w:p>
        </w:tc>
        <w:tc>
          <w:tcPr/>
          <w:p>
            <w:pPr>
              <w:pStyle w:val="Compact"/>
            </w:pPr>
            <w:r>
              <w:rPr>
                <w:rFonts w:ascii="Calibri" w:hAnsi="Calibri"/>
                <w:sz w:val="20"/>
              </w:rPr>
              <w:t xml:space="preserve">1997T1-2025T4; 1996 retropolado</w:t>
            </w:r>
          </w:p>
        </w:tc>
      </w:tr>
      <w:tr>
        <w:tc>
          <w:tcPr/>
          <w:p>
            <w:pPr>
              <w:pStyle w:val="Compact"/>
            </w:pPr>
            <w:r>
              <w:rPr>
                <w:rFonts w:ascii="Calibri" w:hAnsi="Calibri"/>
                <w:sz w:val="20"/>
              </w:rPr>
              <w:t xml:space="preserve">Tasa de la Fed (con tasa sombra)</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datos/procesados/tasa_fed_trimestral_1996_2025.csv</w:t>
            </w:r>
          </w:p>
        </w:tc>
        <w:tc>
          <w:tcPr/>
          <w:p>
            <w:pPr>
              <w:pStyle w:val="Compact"/>
            </w:pPr>
            <w:r>
              <w:rPr>
                <w:rFonts w:ascii="Calibri" w:hAnsi="Calibri"/>
                <w:sz w:val="20"/>
              </w:rPr>
              <w:t xml:space="preserve">FRED y Atlanta Fed</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datos/procesados/instrumentos_1996_2025.csv</w:t>
            </w:r>
          </w:p>
        </w:tc>
        <w:tc>
          <w:tcPr/>
          <w:p>
            <w:pPr>
              <w:pStyle w:val="Compact"/>
            </w:pPr>
            <w:r>
              <w:rPr>
                <w:rFonts w:ascii="Calibri" w:hAnsi="Calibri"/>
                <w:sz w:val="20"/>
              </w:rPr>
              <w:t xml:space="preserve">Yahoo Finance, ^VIX</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PIB nominal de cuatro trimestres</w:t>
            </w:r>
          </w:p>
        </w:tc>
        <w:tc>
          <w:tcPr/>
          <w:p>
            <w:pPr>
              <w:pStyle w:val="Compact"/>
            </w:pPr>
            <w:r>
              <w:rPr>
                <w:rFonts w:ascii="Calibri" w:hAnsi="Calibri"/>
                <w:sz w:val="20"/>
              </w:rPr>
              <w:t xml:space="preserve">Denominador</w:t>
            </w:r>
          </w:p>
        </w:tc>
        <w:tc>
          <w:tcPr/>
          <w:p>
            <w:pPr>
              <w:pStyle w:val="Compact"/>
            </w:pPr>
            <w:r>
              <w:rPr>
                <w:rStyle w:val="VerbatimChar"/>
                <w:rFonts w:ascii="Calibri" w:hAnsi="Calibri"/>
                <w:sz w:val="20"/>
              </w:rPr>
              <w:t xml:space="preserve">deuda_consolidada_1996_2025.csv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pib_4t_mm</w:t>
            </w:r>
            <w:r>
              <w:rPr>
                <w:rFonts w:ascii="Calibri" w:hAnsi="Calibri"/>
                <w:sz w:val="20"/>
              </w:rPr>
              <w:t xml:space="preserve">)</w:t>
            </w:r>
          </w:p>
        </w:tc>
        <w:tc>
          <w:tcPr/>
          <w:p>
            <w:pPr>
              <w:pStyle w:val="Compact"/>
            </w:pPr>
            <w:r>
              <w:rPr>
                <w:rFonts w:ascii="Calibri" w:hAnsi="Calibri"/>
                <w:sz w:val="20"/>
              </w:rPr>
              <w:t xml:space="preserve">INDEC</w:t>
            </w:r>
          </w:p>
        </w:tc>
        <w:tc>
          <w:tcPr/>
          <w:p>
            <w:pPr>
              <w:pStyle w:val="Compact"/>
            </w:pPr>
            <w:r>
              <w:rPr>
                <w:rFonts w:ascii="Calibri" w:hAnsi="Calibri"/>
                <w:sz w:val="20"/>
              </w:rPr>
              <w:t xml:space="preserve">1996T1-2025T4 (32 trimestres empalmados)</w:t>
            </w:r>
          </w:p>
        </w:tc>
      </w:tr>
    </w:tbl>
    <w:p>
      <w:pPr>
        <w:pStyle w:val="BodyText"/>
      </w:pPr>
      <w:r>
        <w:t xml:space="preserve">Un cambio metodológico respecto de versiones anteriores: ninguna serie fiscal ni de deuda sale ya de un diccionario escrito a mano. La deuda es el cociente entre stocks en pesos tomados de los informes del MECON y el PIB nominal. El resultado primario se lee de las planillas mensuales de Hacienda y el PIB real de 1996-2003 se empalma con las series publicadas por INDEC. Todas las construcciones son trazables a archivos y reproducibles con los scripts de</w:t>
      </w:r>
      <w:r>
        <w:t xml:space="preserve"> </w:t>
      </w:r>
      <w:r>
        <w:rPr>
          <w:rStyle w:val="VerbatimChar"/>
        </w:rPr>
        <w:t xml:space="preserve">codigo/ingesta_datos/</w:t>
      </w:r>
      <w:r>
        <w:t xml:space="preserve">.</w:t>
      </w:r>
    </w:p>
    <w:bookmarkEnd w:id="56"/>
    <w:bookmarkStart w:id="57" w:name="X9551ff4f8fe6138b2157a69a2c063d63865295b"/>
    <w:p>
      <w:pPr>
        <w:pStyle w:val="Heading2"/>
      </w:pPr>
      <w:r>
        <w:t xml:space="preserve">5.2 Denominador: PIB nominal de los últimos cuatro trimestres</w:t>
      </w:r>
    </w:p>
    <w:p>
      <w:pPr>
        <w:pStyle w:val="FirstParagraph"/>
      </w:pPr>
      <w:r>
        <w:t xml:space="preserve">Un stock de fin de período es una variable de fin de período y el PIB es un flujo anual. Dividir el stock por el PIB de un solo trimestre anualizado mezcla estacionalidad y, con inflación alta, infla el denominador. El denominador elegido es la suma de los últimos cuatro flujos trimestrales del PIB nominal (</w:t>
      </w:r>
      <w:r>
        <w:rPr>
          <w:rStyle w:val="VerbatimChar"/>
        </w:rPr>
        <w:t xml:space="preserve">pib_4t_mm</w:t>
      </w:r>
      <w:r>
        <w:t xml:space="preserve">, millones de pesos corrientes). En el cuarto trimestre coincide con la convención del FMI, que divide por el PIB del año (FMI, 2025, Annex II, Table 2, nota 1).</w:t>
      </w:r>
    </w:p>
    <w:p>
      <w:pPr>
        <w:pStyle w:val="Compact"/>
        <w:numPr>
          <w:ilvl w:val="0"/>
          <w:numId w:val="1005"/>
        </w:numPr>
      </w:pPr>
      <w:r>
        <w:rPr>
          <w:b/>
          <w:bCs/>
        </w:rPr>
        <w:t xml:space="preserve">Fuente.</w:t>
      </w:r>
      <w:r>
        <w:t xml:space="preserve"> </w:t>
      </w:r>
      <w:r>
        <w:t xml:space="preserve">INDEC, PIB a precios de comprador corrientes. Para 2004T1-2025T4, serie 4.4_OGP_2004_T_17 de datos.gob.ar (88 trimestres). Para 1996T1-2003T4, serie 2.4_OGP_1993_T_17 (base 1993), empalmada con un coeficiente de enlace de 1,0837. Ese coeficiente es la razón entre las medias de 2004 en base 2004 y en base 1993 (32 trimestres, marcados</w:t>
      </w:r>
      <w:r>
        <w:t xml:space="preserve"> </w:t>
      </w:r>
      <w:r>
        <w:rPr>
          <w:rStyle w:val="VerbatimChar"/>
        </w:rPr>
        <w:t xml:space="preserve">base1993_empalmada</w:t>
      </w:r>
      <w:r>
        <w:t xml:space="preserve"> </w:t>
      </w:r>
      <w:r>
        <w:t xml:space="preserve">en</w:t>
      </w:r>
      <w:r>
        <w:t xml:space="preserve"> </w:t>
      </w:r>
      <w:r>
        <w:rPr>
          <w:rStyle w:val="VerbatimChar"/>
        </w:rPr>
        <w:t xml:space="preserve">pib_origen</w:t>
      </w:r>
      <w:r>
        <w:t xml:space="preserve">).</w:t>
      </w:r>
    </w:p>
    <w:p>
      <w:pPr>
        <w:pStyle w:val="Compact"/>
        <w:numPr>
          <w:ilvl w:val="0"/>
          <w:numId w:val="1005"/>
        </w:numPr>
      </w:pPr>
      <w:r>
        <w:rPr>
          <w:b/>
          <w:bCs/>
        </w:rPr>
        <w:t xml:space="preserve">Límite.</w:t>
      </w:r>
      <w:r>
        <w:t xml:space="preserve"> </w:t>
      </w:r>
      <w:r>
        <w:t xml:space="preserve">La razón entre bases no es constante a lo largo de 2004 (varía entre 1,07 y 1,12 por trimestre) y se aleja más en años posteriores. El nivel del PIB nominal anterior a 2004 tiene, por lo tanto, una incertidumbre que se traslada a todos los ratios de ese tramo.</w:t>
      </w:r>
    </w:p>
    <w:p>
      <w:pPr>
        <w:pStyle w:val="Compact"/>
        <w:numPr>
          <w:ilvl w:val="0"/>
          <w:numId w:val="1005"/>
        </w:numPr>
      </w:pPr>
      <w:r>
        <w:rPr>
          <w:b/>
          <w:bCs/>
        </w:rPr>
        <w:t xml:space="preserve">Costo conocido.</w:t>
      </w:r>
      <w:r>
        <w:t xml:space="preserve"> </w:t>
      </w:r>
      <w:r>
        <w:t xml:space="preserve">Con inflación de tres dígitos (2023-2024), el PIB de cuatro trimestres rezaga al PIB corriente de fin de período. El ratio se sobreestima en la aceleración y se subestima en la desinflación. El diagnóstico previo, con el PIB del cuarto trimestre anualizado, daba 9,05 % para los pasivos del BCRA en 2023 contra 13,3 % con el denominador adoptado, y el FMI informa 18,4 % para un concepto más amplio. Se declara en la columna</w:t>
      </w:r>
      <w:r>
        <w:t xml:space="preserve"> </w:t>
      </w:r>
      <w:r>
        <w:rPr>
          <w:rStyle w:val="VerbatimChar"/>
        </w:rPr>
        <w:t xml:space="preserve">denominador_tipo</w:t>
      </w:r>
      <w:r>
        <w:t xml:space="preserve">.</w:t>
      </w:r>
    </w:p>
    <w:bookmarkEnd w:id="57"/>
    <w:bookmarkStart w:id="67" w:name="deuda-consolidada-neta-y-sus-componentes"/>
    <w:p>
      <w:pPr>
        <w:pStyle w:val="Heading2"/>
      </w:pPr>
      <w:r>
        <w:t xml:space="preserve">5.3 Deuda consolidada neta y sus componentes</w:t>
      </w:r>
    </w:p>
    <w:bookmarkStart w:id="58" w:name="definición"/>
    <w:p>
      <w:pPr>
        <w:pStyle w:val="Heading3"/>
      </w:pPr>
      <w:r>
        <w:t xml:space="preserve">5.3.1 Definición</w:t>
      </w:r>
    </w:p>
    <w:p>
      <w:pPr>
        <w:pStyle w:val="FirstParagraph"/>
      </w:pPr>
      <w:r>
        <w:t xml:space="preserve">Se sigue la definición de consolidación con el banco central del FMI (2021, Annex II, nota 2, p. 72 del archivo local; también nota 23, p. 28). Consolidar implica restar los créditos del banco central contra el gobierno y sumar los pasivos de deuda del banco central, sin moneda ni depósitos de residentes. En símbolos:</w:t>
      </w:r>
    </w:p>
    <w:p>
      <w:pPr>
        <w:pStyle w:val="BodyText"/>
      </w:pPr>
      <w:r>
        <w:t xml:space="preserve">D_neta = B − T_BCRA − T_FGS + L_BCRA − DEP, todo dividido por el PIB de cuatro trimestres.</w:t>
      </w:r>
    </w:p>
    <w:p>
      <w:pPr>
        <w:pStyle w:val="BodyText"/>
      </w:pPr>
      <w:r>
        <w:t xml:space="preserve">Aquí B es la deuda bruta federal, T_BCRA la deuda del Tesoro en poder del BCRA, T_FGS la deuda del Tesoro en poder del FGS-ANSES, L_BCRA los pasivos remunerados del BCRA y DEP los depósitos del Tesoro en el BCRA. En la serie estimada, T_FGS no está disponible (sección 5.9).</w:t>
      </w:r>
    </w:p>
    <w:bookmarkEnd w:id="58"/>
    <w:bookmarkStart w:id="59" w:name="deuda-federal-bruta-b"/>
    <w:p>
      <w:pPr>
        <w:pStyle w:val="Heading3"/>
      </w:pPr>
      <w:r>
        <w:t xml:space="preserve">5.3.2 Deuda federal bruta (B)</w:t>
      </w:r>
    </w:p>
    <w:p>
      <w:pPr>
        <w:pStyle w:val="Compact"/>
        <w:numPr>
          <w:ilvl w:val="0"/>
          <w:numId w:val="1006"/>
        </w:numPr>
      </w:pPr>
      <w:r>
        <w:rPr>
          <w:b/>
          <w:bCs/>
        </w:rPr>
        <w:t xml:space="preserve">Fuente.</w:t>
      </w:r>
      <w:r>
        <w:t xml:space="preserve"> </w:t>
      </w:r>
      <w:r>
        <w:t xml:space="preserve">MECON, Secretaría de Finanzas,</w:t>
      </w:r>
      <w:r>
        <w:t xml:space="preserve"> </w:t>
      </w:r>
      <w:r>
        <w:rPr>
          <w:i/>
          <w:iCs/>
        </w:rPr>
        <w:t xml:space="preserve">Informe de Deuda Pública al 31/12/2025</w:t>
      </w:r>
      <w:r>
        <w:t xml:space="preserve">, hoja A.4.5 (deuda bruta de la Administración Central en miles de millones de dólares, trimestral desde 1998T1). Se multiplica por el tipo de cambio de fin de trimestre de la hoja A.2.4. Control del tipo de cambio: 808,45 al 31/12/2023, igual al cociente USD/ARS de la hoja A.1.1 del informe de 2023. Archivos en</w:t>
      </w:r>
      <w:r>
        <w:t xml:space="preserve"> </w:t>
      </w:r>
      <w:r>
        <w:rPr>
          <w:rStyle w:val="VerbatimChar"/>
        </w:rPr>
        <w:t xml:space="preserve">datos/crudos/mecon_deuda/</w:t>
      </w:r>
      <w:r>
        <w:t xml:space="preserve">.</w:t>
      </w:r>
    </w:p>
    <w:p>
      <w:pPr>
        <w:pStyle w:val="Compact"/>
        <w:numPr>
          <w:ilvl w:val="0"/>
          <w:numId w:val="1006"/>
        </w:numPr>
      </w:pPr>
      <w:r>
        <w:rPr>
          <w:b/>
          <w:bCs/>
        </w:rPr>
        <w:t xml:space="preserve">Convertibilidad.</w:t>
      </w:r>
      <w:r>
        <w:t xml:space="preserve"> </w:t>
      </w:r>
      <w:r>
        <w:t xml:space="preserve">Para 1996T1-2001T4 (24 trimestres) el tipo de cambio es 1, por la paridad legal de la Ley 23.928 (</w:t>
      </w:r>
      <w:r>
        <w:rPr>
          <w:rStyle w:val="VerbatimChar"/>
        </w:rPr>
        <w:t xml:space="preserve">tc_origen = paridad_legal_ley_23928</w:t>
      </w:r>
      <w:r>
        <w:t xml:space="preserve">). Los otros 96 trimestres usan la hoja A.2.4.</w:t>
      </w:r>
    </w:p>
    <w:p>
      <w:pPr>
        <w:pStyle w:val="Compact"/>
        <w:numPr>
          <w:ilvl w:val="0"/>
          <w:numId w:val="1006"/>
        </w:numPr>
      </w:pPr>
      <w:r>
        <w:rPr>
          <w:b/>
          <w:bCs/>
        </w:rPr>
        <w:t xml:space="preserve">Interpolación.</w:t>
      </w:r>
      <w:r>
        <w:t xml:space="preserve"> </w:t>
      </w:r>
      <w:r>
        <w:t xml:space="preserve">En 1996-1997 el informe solo trae el cierre de diciembre. Los seis trimestres no diciembre se interpolan linealmente en dólares (</w:t>
      </w:r>
      <w:r>
        <w:rPr>
          <w:rStyle w:val="VerbatimChar"/>
        </w:rPr>
        <w:t xml:space="preserve">spnf_origen = interpolado_lineal_usd</w:t>
      </w:r>
      <w:r>
        <w:t xml:space="preserve">, bandera</w:t>
      </w:r>
      <w:r>
        <w:t xml:space="preserve"> </w:t>
      </w:r>
      <w:r>
        <w:rPr>
          <w:rStyle w:val="VerbatimChar"/>
        </w:rPr>
        <w:t xml:space="preserve">flag_bruta_interpolada</w:t>
      </w:r>
      <w:r>
        <w:t xml:space="preserve">). Los otros 114 son datos trimestrales del informe. Se interpola porque la alternativa, eliminar seis trimestres, deja agujeros en un VAR de frecuencia trimestral.</w:t>
      </w:r>
    </w:p>
    <w:p>
      <w:pPr>
        <w:pStyle w:val="Compact"/>
        <w:numPr>
          <w:ilvl w:val="0"/>
          <w:numId w:val="1006"/>
        </w:numPr>
      </w:pPr>
      <w:r>
        <w:rPr>
          <w:b/>
          <w:bCs/>
        </w:rPr>
        <w:t xml:space="preserve">Perímetro.</w:t>
      </w:r>
      <w:r>
        <w:t xml:space="preserve"> </w:t>
      </w:r>
      <w:r>
        <w:t xml:space="preserve">Es la deuda bruta de la Administración Central. Excluye la deuda elegible pendiente de reestructuración e incluye tenencias del BCRA, del FGS y de otros organismos públicos.</w:t>
      </w:r>
    </w:p>
    <w:p>
      <w:pPr>
        <w:pStyle w:val="Compact"/>
        <w:numPr>
          <w:ilvl w:val="0"/>
          <w:numId w:val="1006"/>
        </w:numPr>
      </w:pPr>
      <w:r>
        <w:rPr>
          <w:b/>
          <w:bCs/>
        </w:rPr>
        <w:t xml:space="preserve">Corrección de una fecha.</w:t>
      </w:r>
      <w:r>
        <w:t xml:space="preserve"> </w:t>
      </w:r>
      <w:r>
        <w:t xml:space="preserve">La hoja A.2.4 trae una fila con fecha 2022-03-31 duplicada, que corresponde a 2002-03-31 (intercalada con un CER de 1,0481). El script la reasigna solo si detecta la duplicación.</w:t>
      </w:r>
    </w:p>
    <w:bookmarkEnd w:id="59"/>
    <w:bookmarkStart w:id="60" w:name="pasivos-remunerados-del-bcra-l_bcra"/>
    <w:p>
      <w:pPr>
        <w:pStyle w:val="Heading3"/>
      </w:pPr>
      <w:r>
        <w:t xml:space="preserve">5.3.3 Pasivos remunerados del BCRA (L_BCRA)</w:t>
      </w:r>
    </w:p>
    <w:p>
      <w:pPr>
        <w:pStyle w:val="Compact"/>
        <w:numPr>
          <w:ilvl w:val="0"/>
          <w:numId w:val="1007"/>
        </w:numPr>
      </w:pPr>
      <w:r>
        <w:rPr>
          <w:b/>
          <w:bCs/>
        </w:rPr>
        <w:t xml:space="preserve">Moneda local.</w:t>
      </w:r>
      <w:r>
        <w:t xml:space="preserve"> </w:t>
      </w:r>
      <w:r>
        <w:t xml:space="preserve">API del BCRA, Estadísticas Monetarias v4.0 (</w:t>
      </w:r>
      <w:r>
        <w:rPr>
          <w:rStyle w:val="VerbatimChar"/>
        </w:rPr>
        <w:t xml:space="preserve">https://api.bcra.gob.ar/estadisticas/v4.0/monetarias</w:t>
      </w:r>
      <w:r>
        <w:t xml:space="preserve">): id 1258 (LEBAC y NOBAC), id 1260 (LELIQ y NOTALIQ), id 1261 (posición neta de pases). La API no devuelve datos de 1258 antes de 2002-03 ni de 1260 antes de 2018-01. En esos tramos el valor es cero y queda una bandera (</w:t>
      </w:r>
      <w:r>
        <w:rPr>
          <w:rStyle w:val="VerbatimChar"/>
        </w:rPr>
        <w:t xml:space="preserve">lebac_nobac_sin_serie</w:t>
      </w:r>
      <w:r>
        <w:t xml:space="preserve">,</w:t>
      </w:r>
      <w:r>
        <w:t xml:space="preserve"> </w:t>
      </w:r>
      <w:r>
        <w:rPr>
          <w:rStyle w:val="VerbatimChar"/>
        </w:rPr>
        <w:t xml:space="preserve">leliq_notaliq_sin_serie</w:t>
      </w:r>
      <w:r>
        <w:t xml:space="preserve">). El cero refleja que el instrumento no existía en la fecha de inicio de la serie, no un dato imputado.</w:t>
      </w:r>
    </w:p>
    <w:p>
      <w:pPr>
        <w:pStyle w:val="Compact"/>
        <w:numPr>
          <w:ilvl w:val="0"/>
          <w:numId w:val="1007"/>
        </w:numPr>
      </w:pPr>
      <w:r>
        <w:rPr>
          <w:b/>
          <w:bCs/>
        </w:rPr>
        <w:t xml:space="preserve">Pases en neto.</w:t>
      </w:r>
      <w:r>
        <w:t xml:space="preserve"> </w:t>
      </w:r>
      <w:r>
        <w:t xml:space="preserve">El id 1261 es pases pasivos menos pases activos y puede ser negativo. Ocurre en 15 trimestres (2001T2-2004T1 y 2024T3-2025T1, bandera</w:t>
      </w:r>
      <w:r>
        <w:t xml:space="preserve"> </w:t>
      </w:r>
      <w:r>
        <w:rPr>
          <w:rStyle w:val="VerbatimChar"/>
        </w:rPr>
        <w:t xml:space="preserve">flag_pases_neto_negativo</w:t>
      </w:r>
      <w:r>
        <w:t xml:space="preserve">). En esos trimestres el BCRA fue acreedor neto y el total reduce la deuda. El FMI informa 0,0 para 2024. Es un desvío declarado.</w:t>
      </w:r>
    </w:p>
    <w:p>
      <w:pPr>
        <w:pStyle w:val="Compact"/>
        <w:numPr>
          <w:ilvl w:val="0"/>
          <w:numId w:val="1007"/>
        </w:numPr>
      </w:pPr>
      <w:r>
        <w:rPr>
          <w:b/>
          <w:bCs/>
        </w:rPr>
        <w:t xml:space="preserve">Moneda extranjera.</w:t>
      </w:r>
      <w:r>
        <w:t xml:space="preserve"> </w:t>
      </w:r>
      <w:r>
        <w:t xml:space="preserve">Id 1259 (LEBAC, LEDIV y BOPREAL en moneda extranjera, valuados en pesos). En 2023-12 y 2024-12 coincide con el id 158 (USD) por el tipo de cambio. Antes de 2002-03 el instrumento no existe y se imputa cero con bandera (24 trimestres,</w:t>
      </w:r>
      <w:r>
        <w:t xml:space="preserve"> </w:t>
      </w:r>
      <w:r>
        <w:rPr>
          <w:rStyle w:val="VerbatimChar"/>
        </w:rPr>
        <w:t xml:space="preserve">flag_letras_fx_sin_serie</w:t>
      </w:r>
      <w:r>
        <w:t xml:space="preserve">).</w:t>
      </w:r>
    </w:p>
    <w:p>
      <w:pPr>
        <w:pStyle w:val="Compact"/>
        <w:numPr>
          <w:ilvl w:val="0"/>
          <w:numId w:val="1007"/>
        </w:numPr>
      </w:pPr>
      <w:r>
        <w:rPr>
          <w:b/>
          <w:bCs/>
        </w:rPr>
        <w:t xml:space="preserve">Swap con el Banco Popular de China (PBoC).</w:t>
      </w:r>
      <w:r>
        <w:t xml:space="preserve"> </w:t>
      </w:r>
      <w:r>
        <w:t xml:space="preserve">No existe una serie pública en la API ni en</w:t>
      </w:r>
      <w:r>
        <w:t xml:space="preserve"> </w:t>
      </w:r>
      <w:r>
        <w:rPr>
          <w:rStyle w:val="VerbatimChar"/>
        </w:rPr>
        <w:t xml:space="preserve">series.xlsm</w:t>
      </w:r>
      <w:r>
        <w:t xml:space="preserve"> </w:t>
      </w:r>
      <w:r>
        <w:t xml:space="preserve">de la que se pueda leer el saldo activado. Queda omitido desde 2020 (bandera</w:t>
      </w:r>
      <w:r>
        <w:t xml:space="preserve"> </w:t>
      </w:r>
      <w:r>
        <w:rPr>
          <w:rStyle w:val="VerbatimChar"/>
        </w:rPr>
        <w:t xml:space="preserve">flag_swap_pboc_faltante</w:t>
      </w:r>
      <w:r>
        <w:t xml:space="preserve">, 24 trimestres). Su omisión subestima L_BCRA y, por lo tanto, subestima la deuda neta (sesgo en dirección contraria al del FGS).</w:t>
      </w:r>
    </w:p>
    <w:bookmarkEnd w:id="60"/>
    <w:bookmarkStart w:id="61" w:name="X806e085bc5f2b5a11b5366608dccbae17ae6ac4"/>
    <w:p>
      <w:pPr>
        <w:pStyle w:val="Heading3"/>
      </w:pPr>
      <w:r>
        <w:t xml:space="preserve">5.3.4 Deuda del Tesoro en poder del BCRA (T_BCRA): valor contable y valor nominal</w:t>
      </w:r>
    </w:p>
    <w:p>
      <w:pPr>
        <w:pStyle w:val="FirstParagraph"/>
      </w:pPr>
      <w:r>
        <w:rPr>
          <w:b/>
          <w:bCs/>
        </w:rPr>
        <w:t xml:space="preserve">Valor contable.</w:t>
      </w:r>
      <w:r>
        <w:t xml:space="preserve"> </w:t>
      </w:r>
      <w:r>
        <w:t xml:space="preserve">Fuente: BCRA,</w:t>
      </w:r>
      <w:r>
        <w:t xml:space="preserve"> </w:t>
      </w:r>
      <w:r>
        <w:rPr>
          <w:i/>
          <w:iCs/>
        </w:rPr>
        <w:t xml:space="preserve">Balance del Banco Central</w:t>
      </w:r>
      <w:r>
        <w:t xml:space="preserve"> </w:t>
      </w:r>
      <w:r>
        <w:t xml:space="preserve">histórico (</w:t>
      </w:r>
      <w:r>
        <w:rPr>
          <w:rStyle w:val="VerbatimChar"/>
        </w:rPr>
        <w:t xml:space="preserve">https://www.bcra.gob.ar/Pdfs/PublicacionesEstadisticas/balbcrhis.xls</w:t>
      </w:r>
      <w:r>
        <w:t xml:space="preserve">), hoja B.C.R.A., columna</w:t>
      </w:r>
      <w:r>
        <w:t xml:space="preserve"> </w:t>
      </w:r>
      <w:r>
        <w:t xml:space="preserve">“Sector oficial, Total”</w:t>
      </w:r>
      <w:r>
        <w:t xml:space="preserve">. Incluye adelantos transitorios y títulos públicos en pesos, y Letras Intransferibles y títulos en moneda extranjera. Se toma el cierre de trimestre del dato mensual y se verifica que el total sea igual a la suma de sus dos partes. Es la valuación contable del BCRA, que se aparta del nominal desde diciembre de 2019 (ajuste de las Letras Intransferibles) y desde mayo de 2024 (costo amortizado).</w:t>
      </w:r>
    </w:p>
    <w:p>
      <w:pPr>
        <w:pStyle w:val="BodyText"/>
      </w:pPr>
      <w:r>
        <w:rPr>
          <w:b/>
          <w:bCs/>
        </w:rPr>
        <w:t xml:space="preserve">Por qué el nominal.</w:t>
      </w:r>
      <w:r>
        <w:t xml:space="preserve"> </w:t>
      </w:r>
      <w:r>
        <w:t xml:space="preserve">La deuda bruta del MECON está a valor nominal. Si de ella se restan tenencias valuadas de otro modo, el neteo mezcla criterios y el resultado no mide ninguna deuda definida. Por eso la serie principal sustituye, en la tenencia del BCRA, el componente en moneda extranjera del balance por el stock nominal de las Letras Intransferibles que publica el MECON.</w:t>
      </w:r>
    </w:p>
    <w:p>
      <w:pPr>
        <w:pStyle w:val="Compact"/>
        <w:numPr>
          <w:ilvl w:val="0"/>
          <w:numId w:val="1008"/>
        </w:numPr>
      </w:pPr>
      <w:r>
        <w:rPr>
          <w:b/>
          <w:bCs/>
        </w:rPr>
        <w:t xml:space="preserve">Fuente.</w:t>
      </w:r>
      <w:r>
        <w:t xml:space="preserve"> </w:t>
      </w:r>
      <w:r>
        <w:t xml:space="preserve">MECON, Secretaría de Finanzas,</w:t>
      </w:r>
      <w:r>
        <w:t xml:space="preserve"> </w:t>
      </w:r>
      <w:r>
        <w:rPr>
          <w:i/>
          <w:iCs/>
        </w:rPr>
        <w:t xml:space="preserve">Estado de la Deuda Pública</w:t>
      </w:r>
      <w:r>
        <w:t xml:space="preserve">: hojas A.1.9, A.1.10 o A.1.11 según el año, bloque</w:t>
      </w:r>
      <w:r>
        <w:t xml:space="preserve"> </w:t>
      </w:r>
      <w:r>
        <w:t xml:space="preserve">“Letras adquiridas por el BCRA”</w:t>
      </w:r>
      <w:r>
        <w:t xml:space="preserve"> </w:t>
      </w:r>
      <w:r>
        <w:t xml:space="preserve">(miles de dólares), y hoja A.12.3 para 2007-2010. Se suma instrumento por instrumento y el script reproduce los totales del bloque (69.286 millones de dólares en 2024). Se convierte con el tipo de cambio de la serie de deuda. Resumen por ancla en</w:t>
      </w:r>
      <w:r>
        <w:t xml:space="preserve"> </w:t>
      </w:r>
      <w:r>
        <w:rPr>
          <w:rStyle w:val="VerbatimChar"/>
        </w:rPr>
        <w:t xml:space="preserve">datos/procesados/letras_intransferibles_bcra_nominal_anclas.csv</w:t>
      </w:r>
      <w:r>
        <w:t xml:space="preserve">.</w:t>
      </w:r>
    </w:p>
    <w:p>
      <w:pPr>
        <w:pStyle w:val="Compact"/>
        <w:numPr>
          <w:ilvl w:val="0"/>
          <w:numId w:val="1008"/>
        </w:numPr>
      </w:pPr>
      <w:r>
        <w:rPr>
          <w:b/>
          <w:bCs/>
        </w:rPr>
        <w:t xml:space="preserve">Cobertura.</w:t>
      </w:r>
      <w:r>
        <w:t xml:space="preserve"> </w:t>
      </w:r>
      <w:r>
        <w:t xml:space="preserve">Hay planillas de cierre de año para 2007-2009 y 2013-2025, y de marzo de 2010. No hay planillas de 2010-12, 2011-12 ni 2012-12. Las Letras empiezan el 3 de enero de 2006, de modo que hasta 2005T4 no hay dato nominal (40 trimestres) y se conserva el valor contable. Hay dato nominal en 80 de 120 trimestres: 17 con ancla oficial, 32 reconstruidos con las fechas de emisión (las letras son de pago único, por lo que si ningún instrumento cambia entre dos anclas el stock se arma con la fecha de emisión), 7 reconstruidos hacia atrás (2006T1-2007T3) y 24 interpolados linealmente entre anclas con canjes o cambios de monto. Las columnas</w:t>
      </w:r>
      <w:r>
        <w:t xml:space="preserve"> </w:t>
      </w:r>
      <w:r>
        <w:rPr>
          <w:rStyle w:val="VerbatimChar"/>
        </w:rPr>
        <w:t xml:space="preserve">nominal_metodo</w:t>
      </w:r>
      <w:r>
        <w:t xml:space="preserve"> </w:t>
      </w:r>
      <w:r>
        <w:t xml:space="preserve">y</w:t>
      </w:r>
      <w:r>
        <w:t xml:space="preserve"> </w:t>
      </w:r>
      <w:r>
        <w:rPr>
          <w:rStyle w:val="VerbatimChar"/>
        </w:rPr>
        <w:t xml:space="preserve">flag_nominal_interpolado</w:t>
      </w:r>
      <w:r>
        <w:t xml:space="preserve"> </w:t>
      </w:r>
      <w:r>
        <w:t xml:space="preserve">lo registran. La interpolación es una aproximación declarada, no un dato.</w:t>
      </w:r>
    </w:p>
    <w:p>
      <w:pPr>
        <w:pStyle w:val="Compact"/>
        <w:numPr>
          <w:ilvl w:val="0"/>
          <w:numId w:val="1008"/>
        </w:numPr>
      </w:pPr>
      <w:r>
        <w:rPr>
          <w:b/>
          <w:bCs/>
        </w:rPr>
        <w:t xml:space="preserve">Variante piso.</w:t>
      </w:r>
      <w:r>
        <w:t xml:space="preserve"> </w:t>
      </w:r>
      <w:r>
        <w:t xml:space="preserve">El componente en moneda extranjera del balance no es igual a las Letras: contiene otros créditos en dólares (hasta 2017 y en 2019-2023 el valor de libros supera al nominal). La sustitución estricta empeoraría 2023 (128,2 contra 119,0). Por eso la serie principal es la variante piso: la tenencia nunca baja del valor de libros, y solo se suma el faltante donde el nominal en pesos supera al componente en moneda extranjera del balance. La variante estricta (</w:t>
      </w:r>
      <w:r>
        <w:rPr>
          <w:rStyle w:val="VerbatimChar"/>
        </w:rPr>
        <w:t xml:space="preserve">deuda_consolidada_neta_nominal_pib</w:t>
      </w:r>
      <w:r>
        <w:t xml:space="preserve">) y la de libros (</w:t>
      </w:r>
      <w:r>
        <w:rPr>
          <w:rStyle w:val="VerbatimChar"/>
        </w:rPr>
        <w:t xml:space="preserve">deuda_consolidada_neta_pib</w:t>
      </w:r>
      <w:r>
        <w:t xml:space="preserve">) quedan como series de robustez, junto con la deuda bruta.</w:t>
      </w:r>
    </w:p>
    <w:bookmarkEnd w:id="61"/>
    <w:bookmarkStart w:id="62" w:name="depósitos-del-tesoro-en-el-bcra-dep"/>
    <w:p>
      <w:pPr>
        <w:pStyle w:val="Heading3"/>
      </w:pPr>
      <w:r>
        <w:t xml:space="preserve">5.3.5 Depósitos del Tesoro en el BCRA (DEP)</w:t>
      </w:r>
    </w:p>
    <w:p>
      <w:pPr>
        <w:pStyle w:val="FirstParagraph"/>
      </w:pPr>
      <w:r>
        <w:t xml:space="preserve">API del BCRA v4.0, id 1264,</w:t>
      </w:r>
      <w:r>
        <w:t xml:space="preserve"> </w:t>
      </w:r>
      <w:r>
        <w:t xml:space="preserve">“Depósitos del gobierno en el BCRA”</w:t>
      </w:r>
      <w:r>
        <w:t xml:space="preserve">. Es coherente con la columna</w:t>
      </w:r>
      <w:r>
        <w:t xml:space="preserve"> </w:t>
      </w:r>
      <w:r>
        <w:t xml:space="preserve">“Sector oficial, Depósitos”</w:t>
      </w:r>
      <w:r>
        <w:t xml:space="preserve"> </w:t>
      </w:r>
      <w:r>
        <w:t xml:space="preserve">del Balance (1.002.754 millones de pesos en 2023-12). Cobertura completa, sin interpolaciones. Se incluyen los depósitos en moneda extranjera a la valuación del BCRA.</w:t>
      </w:r>
    </w:p>
    <w:bookmarkEnd w:id="62"/>
    <w:bookmarkStart w:id="66" w:name="identidad-verificada"/>
    <w:p>
      <w:pPr>
        <w:pStyle w:val="Heading3"/>
      </w:pPr>
      <w:r>
        <w:t xml:space="preserve">5.3.6 Identidad verificada</w:t>
      </w:r>
    </w:p>
    <w:p>
      <w:pPr>
        <w:pStyle w:val="FirstParagraph"/>
      </w:pPr>
      <w:r>
        <w:t xml:space="preserve">Con los datos del CSV,</w:t>
      </w:r>
      <w:r>
        <w:t xml:space="preserve"> </w:t>
      </w:r>
      <w:r>
        <w:rPr>
          <w:rStyle w:val="VerbatimChar"/>
        </w:rPr>
        <w:t xml:space="preserve">bruta − tenencia BCRA + pasivos BCRA − depósitos = deuda neta</w:t>
      </w:r>
      <w:r>
        <w:t xml:space="preserve"> </w:t>
      </w:r>
      <w:r>
        <w:t xml:space="preserve">se cumple al cuarto decimal en 2023 (119,03) y en 2024 (61,11 con la tenencia nominal piso; 68,31 con valor de libros). La identidad que el FMI usa en el Cuadro 2 (línea 6 = 2 + 4 − 5) también se cumple con sus cifras: 92,9 + 18,4 − 0,5 = 110,8 y 51,4 + 2,2 − 2,1 = 51,5.</w:t>
      </w:r>
    </w:p>
    <w:p>
      <w:pPr>
        <w:pStyle w:val="BodyText"/>
      </w:pPr>
      <w:r>
        <w:t xml:space="preserve">La Figura 5.1 muestra las tres series de deuda consolidada y los dos valores de control del FMI. Las tres se mueven juntas; la distancia entre la bruta y las netas es la deuda del Tesoro en poder del BCRA neta de sus pasivos.</w:t>
      </w:r>
    </w:p>
    <w:p>
      <w:pPr>
        <w:pStyle w:val="CaptionedFigure"/>
      </w:pPr>
      <w:r>
        <w:drawing>
          <wp:inline>
            <wp:extent cx="5334000" cy="2743200"/>
            <wp:effectExtent b="0" l="0" r="0" t="0"/>
            <wp:docPr descr="Figura 5.1. Deuda pública consolidada, 1996-2025 (% del PIB de los últimos cuatro trimestres). Los puntos son la deuda consolidada neta del FMI (2025, anexo II, cuadro 2) a diciembre de 2023 y de 2024." title="" id="64" name="Picture"/>
            <a:graphic>
              <a:graphicData uri="http://schemas.openxmlformats.org/drawingml/2006/picture">
                <pic:pic>
                  <pic:nvPicPr>
                    <pic:cNvPr descr="../tesis/figuras/fig5_1_deuda_consolidada_1996_2025.png" id="65" name="Picture"/>
                    <pic:cNvPicPr>
                      <a:picLocks noChangeArrowheads="1" noChangeAspect="1"/>
                    </pic:cNvPicPr>
                  </pic:nvPicPr>
                  <pic:blipFill>
                    <a:blip r:embed="rId6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pública consolidada, 1996-2025 (% del PIB de los últimos cuatro trimestres). Los puntos son la deuda consolidada neta del FMI (2025, anexo II, cuadro 2) a diciembre de 2023 y de 2024.</w:t>
      </w:r>
    </w:p>
    <w:bookmarkEnd w:id="66"/>
    <w:bookmarkEnd w:id="67"/>
    <w:bookmarkStart w:id="68" w:name="resultado-primario"/>
    <w:p>
      <w:pPr>
        <w:pStyle w:val="Heading2"/>
      </w:pPr>
      <w:r>
        <w:t xml:space="preserve">5.4 Resultado primario</w:t>
      </w:r>
    </w:p>
    <w:p>
      <w:pPr>
        <w:pStyle w:val="Compact"/>
        <w:numPr>
          <w:ilvl w:val="0"/>
          <w:numId w:val="1009"/>
        </w:numPr>
      </w:pPr>
      <w:r>
        <w:rPr>
          <w:b/>
          <w:bCs/>
        </w:rPr>
        <w:t xml:space="preserve">Fuente.</w:t>
      </w:r>
      <w:r>
        <w:t xml:space="preserve"> </w:t>
      </w:r>
      <w:r>
        <w:t xml:space="preserve">MECON, Secretaría de Hacienda, Subsecretaría de Programación Macroeconómica,</w:t>
      </w:r>
      <w:r>
        <w:t xml:space="preserve"> </w:t>
      </w:r>
      <w:r>
        <w:t xml:space="preserve">“Esquema Ahorro-Inversión-Financiamiento. Sector Público Nacional. Base Caja”</w:t>
      </w:r>
      <w:r>
        <w:t xml:space="preserve"> </w:t>
      </w:r>
      <w:r>
        <w:t xml:space="preserve">(datos.gob.ar, dataset 379). Es una serie mensual desde 1993, en pesos corrientes, publicada en tres tramos metodológicos (1993-2006, 2007-2014 y desde 2015). Los archivos crudos están en</w:t>
      </w:r>
      <w:r>
        <w:t xml:space="preserve"> </w:t>
      </w:r>
      <w:r>
        <w:rPr>
          <w:rStyle w:val="VerbatimChar"/>
        </w:rPr>
        <w:t xml:space="preserve">datos/crudos/resultado_primario/</w:t>
      </w:r>
      <w:r>
        <w:t xml:space="preserve"> </w:t>
      </w:r>
      <w:r>
        <w:t xml:space="preserve">y el script es</w:t>
      </w:r>
      <w:r>
        <w:t xml:space="preserve"> </w:t>
      </w:r>
      <w:r>
        <w:rPr>
          <w:rStyle w:val="VerbatimChar"/>
        </w:rPr>
        <w:t xml:space="preserve">construir_resultado_primario_1996_2025.py</w:t>
      </w:r>
      <w:r>
        <w:t xml:space="preserve">. Como hay dato mensual para todo el período,</w:t>
      </w:r>
      <w:r>
        <w:t xml:space="preserve"> </w:t>
      </w:r>
      <w:r>
        <w:rPr>
          <w:b/>
          <w:bCs/>
        </w:rPr>
        <w:t xml:space="preserve">no se desagrega con Denton ni se aplica coeficiente de enlace</w:t>
      </w:r>
      <w:r>
        <w:t xml:space="preserve">: cada trimestre es la suma de sus tres meses, y se exige que estén los tres (no hay trimestres faltantes).</w:t>
      </w:r>
    </w:p>
    <w:p>
      <w:pPr>
        <w:pStyle w:val="Compact"/>
        <w:numPr>
          <w:ilvl w:val="0"/>
          <w:numId w:val="1009"/>
        </w:numPr>
      </w:pPr>
      <w:r>
        <w:rPr>
          <w:b/>
          <w:bCs/>
        </w:rPr>
        <w:t xml:space="preserve">Rentas de la propiedad.</w:t>
      </w:r>
      <w:r>
        <w:t xml:space="preserve"> </w:t>
      </w:r>
      <w:r>
        <w:t xml:space="preserve">La serie principal incluye las rentas de la propiedad, que es la definición de titular del MECON. Esas rentas agregan las utilidades del BCRA, las rentas del FGS y los intereses cobrados por organismos públicos, y la API no desglosa la transferencia del BCRA. Se calcula además una variante sin rentas (</w:t>
      </w:r>
      <w:r>
        <w:rPr>
          <w:rStyle w:val="VerbatimChar"/>
        </w:rPr>
        <w:t xml:space="preserve">pb_pib_sin_rentas</w:t>
      </w:r>
      <w:r>
        <w:t xml:space="preserve">), conservadora porque excluye más que el FMI. Las rentas totales fueron de 0,3 a 0,7 puntos del PIB en 1996-2008, de 1,3 a 2,6 en 2009-2014 y de 0,3 a 1,3 en 2015-2025.</w:t>
      </w:r>
    </w:p>
    <w:p>
      <w:pPr>
        <w:pStyle w:val="Compact"/>
        <w:numPr>
          <w:ilvl w:val="0"/>
          <w:numId w:val="1009"/>
        </w:numPr>
      </w:pPr>
      <w:r>
        <w:rPr>
          <w:b/>
          <w:bCs/>
        </w:rPr>
        <w:t xml:space="preserve">Medida que entra al modelo.</w:t>
      </w:r>
      <w:r>
        <w:t xml:space="preserve"> </w:t>
      </w:r>
      <w:r>
        <w:rPr>
          <w:rStyle w:val="VerbatimChar"/>
        </w:rPr>
        <w:t xml:space="preserve">pb_pib_trim</w:t>
      </w:r>
      <w:r>
        <w:t xml:space="preserve"> </w:t>
      </w:r>
      <w:r>
        <w:t xml:space="preserve">= 100 × 4 × (resultado primario del trimestre) /</w:t>
      </w:r>
      <w:r>
        <w:t xml:space="preserve"> </w:t>
      </w:r>
      <w:r>
        <w:rPr>
          <w:rStyle w:val="VerbatimChar"/>
        </w:rPr>
        <w:t xml:space="preserve">pib_4t_mm</w:t>
      </w:r>
      <w:r>
        <w:t xml:space="preserve">: el flujo trimestral anualizado sobre el PIB nominal de cuatro trimestres. No se usa la suma móvil de cuatro trimestres (</w:t>
      </w:r>
      <w:r>
        <w:rPr>
          <w:rStyle w:val="VerbatimChar"/>
        </w:rPr>
        <w:t xml:space="preserve">pb_pib</w:t>
      </w:r>
      <w:r>
        <w:t xml:space="preserve">) porque, al superponer ventanas, induce una autocorrelación artificial de tipo MA(3): su autocorrelación de orden 1 es 0,965, contra 0,649 de</w:t>
      </w:r>
      <w:r>
        <w:t xml:space="preserve"> </w:t>
      </w:r>
      <w:r>
        <w:rPr>
          <w:rStyle w:val="VerbatimChar"/>
        </w:rPr>
        <w:t xml:space="preserve">pb_pib_trim</w:t>
      </w:r>
      <w:r>
        <w:t xml:space="preserve">. La contrapartida es que el flujo trimestral conserva estacionalidad (autocorrelación de orden 4 de 0,629), que el sistema absorbe con tres dummies trimestrales (Q1 a Q3). La suma móvil</w:t>
      </w:r>
      <w:r>
        <w:t xml:space="preserve"> </w:t>
      </w:r>
      <w:r>
        <w:rPr>
          <w:rStyle w:val="VerbatimChar"/>
        </w:rPr>
        <w:t xml:space="preserve">pb_pib</w:t>
      </w:r>
      <w:r>
        <w:t xml:space="preserve"> </w:t>
      </w:r>
      <w:r>
        <w:t xml:space="preserve">se mantiene como medida comparable en base anual, y es la que se contrasta con el FMI en 5.8.</w:t>
      </w:r>
    </w:p>
    <w:p>
      <w:pPr>
        <w:pStyle w:val="Compact"/>
        <w:numPr>
          <w:ilvl w:val="0"/>
          <w:numId w:val="1009"/>
        </w:numPr>
      </w:pPr>
      <w:r>
        <w:rPr>
          <w:b/>
          <w:bCs/>
        </w:rPr>
        <w:t xml:space="preserve">Quiebres de metodología.</w:t>
      </w:r>
      <w:r>
        <w:t xml:space="preserve"> </w:t>
      </w:r>
      <w:r>
        <w:t xml:space="preserve">Los empalmes de 2006/2007 y 2014/2015 no tienen período de solapamiento en la API. En las filas de empalme no se observa un salto anómalo (2006T4: 3,24 y 2007T1: 3,12; 2014T4: −0,84 y 2015T1: −1,63), pero no hay una prueba formal. El CSV trae la columna</w:t>
      </w:r>
      <w:r>
        <w:t xml:space="preserve"> </w:t>
      </w:r>
      <w:r>
        <w:rPr>
          <w:rStyle w:val="VerbatimChar"/>
        </w:rPr>
        <w:t xml:space="preserve">metodologia</w:t>
      </w:r>
      <w:r>
        <w:t xml:space="preserve"> </w:t>
      </w:r>
      <w:r>
        <w:t xml:space="preserve">(44, 32 y 44 trimestres por tramo). Entre 1993 y 2006 las privatizaciones no figuran en el primario.</w:t>
      </w:r>
    </w:p>
    <w:p>
      <w:pPr>
        <w:pStyle w:val="Compact"/>
        <w:numPr>
          <w:ilvl w:val="0"/>
          <w:numId w:val="1009"/>
        </w:numPr>
      </w:pPr>
      <w:r>
        <w:rPr>
          <w:b/>
          <w:bCs/>
        </w:rPr>
        <w:t xml:space="preserve">Perímetro.</w:t>
      </w:r>
      <w:r>
        <w:t xml:space="preserve"> </w:t>
      </w:r>
      <w:r>
        <w:t xml:space="preserve">Es el sector público nacional consolidado (administración nacional, organismos descentralizados, seguridad social, fondos fiduciarios y empresas), más amplio que el gobierno federal del FMI. El control cruzado contra el IMIG (desde 2016) da diferencia nula, pero IMIG y esquema AIF son la misma compilación, de modo que no es un control independiente.</w:t>
      </w:r>
    </w:p>
    <w:p>
      <w:pPr>
        <w:pStyle w:val="Compact"/>
        <w:numPr>
          <w:ilvl w:val="0"/>
          <w:numId w:val="1009"/>
        </w:numPr>
      </w:pPr>
      <w:r>
        <w:rPr>
          <w:b/>
          <w:bCs/>
        </w:rPr>
        <w:t xml:space="preserve">Comparación con la serie anterior.</w:t>
      </w:r>
      <w:r>
        <w:t xml:space="preserve"> </w:t>
      </w:r>
      <w:r>
        <w:t xml:space="preserve">Contra la tabla escrita a mano (2004-2025) y el Denton del Compendio (1996-2003), la correlación es 0,89 en 2004-2025 y 0,33 en 1996-2003, con errores absolutos medios de 1,29 y 1,16 puntos. La serie anterior de 1996-2003 era una interpolación de datos anuales y no sirve como referencia de nivel.</w:t>
      </w:r>
    </w:p>
    <w:bookmarkEnd w:id="68"/>
    <w:bookmarkStart w:id="69" w:name="pib-real-y-crecimiento"/>
    <w:p>
      <w:pPr>
        <w:pStyle w:val="Heading2"/>
      </w:pPr>
      <w:r>
        <w:t xml:space="preserve">5.5 PIB real y crecimiento</w:t>
      </w:r>
    </w:p>
    <w:p>
      <w:pPr>
        <w:pStyle w:val="Compact"/>
        <w:numPr>
          <w:ilvl w:val="0"/>
          <w:numId w:val="1010"/>
        </w:numPr>
      </w:pPr>
      <w:r>
        <w:rPr>
          <w:b/>
          <w:bCs/>
        </w:rPr>
        <w:t xml:space="preserve">Fuente 2004T1-2025T4.</w:t>
      </w:r>
      <w:r>
        <w:t xml:space="preserve"> </w:t>
      </w:r>
      <w:r>
        <w:t xml:space="preserve">INDEC, PIB a precios constantes de 2004 (serie 4.2_OGP_2004_T_17, Oferta y Demanda Globales, datos.gob.ar), en la misma unidad que</w:t>
      </w:r>
      <w:r>
        <w:t xml:space="preserve"> </w:t>
      </w:r>
      <w:r>
        <w:rPr>
          <w:rStyle w:val="VerbatimChar"/>
        </w:rPr>
        <w:t xml:space="preserve">PIB_real</w:t>
      </w:r>
      <w:r>
        <w:t xml:space="preserve"> </w:t>
      </w:r>
      <w:r>
        <w:t xml:space="preserve">de la base.</w:t>
      </w:r>
    </w:p>
    <w:p>
      <w:pPr>
        <w:pStyle w:val="Compact"/>
        <w:numPr>
          <w:ilvl w:val="0"/>
          <w:numId w:val="1010"/>
        </w:numPr>
      </w:pPr>
      <w:r>
        <w:rPr>
          <w:b/>
          <w:bCs/>
        </w:rPr>
        <w:t xml:space="preserve">Fuente 1996T1-2003T4.</w:t>
      </w:r>
      <w:r>
        <w:t xml:space="preserve"> </w:t>
      </w:r>
      <w:r>
        <w:t xml:space="preserve">INDEC, base 1993 (serie 2.2_OGP_1993_T_17, millones de pesos de 1993), empalmada a la base 2004 con un coeficiente de enlace k = 1,751, la media de 2004 de la razón entre ambas bases. Script</w:t>
      </w:r>
      <w:r>
        <w:t xml:space="preserve"> </w:t>
      </w:r>
      <w:r>
        <w:rPr>
          <w:rStyle w:val="VerbatimChar"/>
        </w:rPr>
        <w:t xml:space="preserve">construir_pib_real_empalme_indec_1996_2003.py</w:t>
      </w:r>
      <w:r>
        <w:t xml:space="preserve">; salida</w:t>
      </w:r>
      <w:r>
        <w:t xml:space="preserve"> </w:t>
      </w:r>
      <w:r>
        <w:rPr>
          <w:rStyle w:val="VerbatimChar"/>
        </w:rPr>
        <w:t xml:space="preserve">datos/procesados/pib_real_empalme_indec_1996_2003.csv</w:t>
      </w:r>
      <w:r>
        <w:t xml:space="preserve">. Reemplaza al empalme anterior, que encadenaba tasas anuales tipeadas y las desagregaba con Denton.</w:t>
      </w:r>
    </w:p>
    <w:p>
      <w:pPr>
        <w:pStyle w:val="Compact"/>
        <w:numPr>
          <w:ilvl w:val="0"/>
          <w:numId w:val="1010"/>
        </w:numPr>
      </w:pPr>
      <w:r>
        <w:rPr>
          <w:b/>
          <w:bCs/>
        </w:rPr>
        <w:t xml:space="preserve">Límite del enlace.</w:t>
      </w:r>
      <w:r>
        <w:t xml:space="preserve"> </w:t>
      </w:r>
      <w:r>
        <w:t xml:space="preserve">La razón entre bases varía entre 1,46 y 1,85 en el solapamiento 2004-2013 por las distintas ponderaciones de precios, de modo que el nivel anterior a 2004 depende de haber elegido 2004 como año de enlace. Las tasas de crecimiento anteriores a 2004, que son lo que entra al modelo, no dependen de esa elección.</w:t>
      </w:r>
    </w:p>
    <w:p>
      <w:pPr>
        <w:pStyle w:val="Compact"/>
        <w:numPr>
          <w:ilvl w:val="0"/>
          <w:numId w:val="1010"/>
        </w:numPr>
      </w:pPr>
      <w:r>
        <w:rPr>
          <w:b/>
          <w:bCs/>
        </w:rPr>
        <w:t xml:space="preserve">Estacionalidad.</w:t>
      </w:r>
      <w:r>
        <w:t xml:space="preserve"> </w:t>
      </w:r>
      <w:r>
        <w:t xml:space="preserve">La serie conserva la estacionalidad de INDEC, que ya no está suavizada. Por ese motivo el nivel trimestral de 1996-2003 difiere de la versión anterior en hasta 9,8 % (2002T1) y 3,5 % en promedio. El sistema la absorbe con las dummies trimestrales, igual que en el resultado primario. Las tasas anuales de la versión anterior eran correctas salvo en 2000 (−0,5 % contra −0,79 %).</w:t>
      </w:r>
    </w:p>
    <w:p>
      <w:pPr>
        <w:pStyle w:val="Compact"/>
        <w:numPr>
          <w:ilvl w:val="0"/>
          <w:numId w:val="1010"/>
        </w:numPr>
      </w:pPr>
      <w:r>
        <w:rPr>
          <w:b/>
          <w:bCs/>
        </w:rPr>
        <w:t xml:space="preserve">Transformación.</w:t>
      </w:r>
      <w:r>
        <w:t xml:space="preserve"> </w:t>
      </w:r>
      <w:r>
        <w:t xml:space="preserve">El crecimiento que entra al sistema es</w:t>
      </w:r>
      <w:r>
        <w:t xml:space="preserve"> </w:t>
      </w:r>
      <w:r>
        <w:rPr>
          <w:rStyle w:val="VerbatimChar"/>
        </w:rPr>
        <w:t xml:space="preserve">crec = 100 × Δln(PIB real)</w:t>
      </w:r>
      <w:r>
        <w:t xml:space="preserve">, trimestral, que aparece en la identidad de la deuda (Capítulo 4, sección 4.2). Pierde la primera observación, así que tiene 119 datos. El salto entre 2003T4 y 2004T1 (−2,1 %) es el efecto estacional del cambio de trimestre y no un artefacto del empalme.</w:t>
      </w:r>
    </w:p>
    <w:bookmarkEnd w:id="69"/>
    <w:bookmarkStart w:id="80" w:name="variables-financieras"/>
    <w:p>
      <w:pPr>
        <w:pStyle w:val="Heading2"/>
      </w:pPr>
      <w:r>
        <w:t xml:space="preserve">5.6 Variables financieras</w:t>
      </w:r>
    </w:p>
    <w:bookmarkStart w:id="70" w:name="embi-riesgo-soberano"/>
    <w:p>
      <w:pPr>
        <w:pStyle w:val="Heading3"/>
      </w:pPr>
      <w:r>
        <w:t xml:space="preserve">5.6.1 EMBI+ (riesgo soberano)</w:t>
      </w:r>
    </w:p>
    <w:p>
      <w:pPr>
        <w:pStyle w:val="Compact"/>
        <w:numPr>
          <w:ilvl w:val="0"/>
          <w:numId w:val="1011"/>
        </w:numPr>
      </w:pPr>
      <w:r>
        <w:rPr>
          <w:b/>
          <w:bCs/>
        </w:rPr>
        <w:t xml:space="preserve">Definición.</w:t>
      </w:r>
      <w:r>
        <w:t xml:space="preserve"> </w:t>
      </w:r>
      <w:r>
        <w:t xml:space="preserve">Diferencial de rendimiento de los bonos soberanos argentinos en dólares sobre los bonos del Tesoro de Estados Unidos, en puntos básicos, promedio trimestral.</w:t>
      </w:r>
    </w:p>
    <w:p>
      <w:pPr>
        <w:pStyle w:val="Compact"/>
        <w:numPr>
          <w:ilvl w:val="0"/>
          <w:numId w:val="1011"/>
        </w:numPr>
      </w:pPr>
      <w:r>
        <w:rPr>
          <w:b/>
          <w:bCs/>
        </w:rPr>
        <w:t xml:space="preserve">1999T1-2025T4.</w:t>
      </w:r>
      <w:r>
        <w:t xml:space="preserve"> </w:t>
      </w:r>
      <w:r>
        <w:t xml:space="preserve">Serie diaria de riesgo país de Ámbito Financiero (</w:t>
      </w:r>
      <w:r>
        <w:rPr>
          <w:rStyle w:val="VerbatimChar"/>
        </w:rPr>
        <w:t xml:space="preserve">https://mercados.ambito.com//riesgopais/historico/...</w:t>
      </w:r>
      <w:r>
        <w:t xml:space="preserve">), que reproduce el EMBI+ y el EMBI Global de J.P. Morgan. Archivo</w:t>
      </w:r>
      <w:r>
        <w:t xml:space="preserve"> </w:t>
      </w:r>
      <w:r>
        <w:rPr>
          <w:rStyle w:val="VerbatimChar"/>
        </w:rPr>
        <w:t xml:space="preserve">datos/embi_real_ambito_1999_2025.csv</w:t>
      </w:r>
      <w:r>
        <w:t xml:space="preserve">. Se promedia por trimestre.</w:t>
      </w:r>
    </w:p>
    <w:p>
      <w:pPr>
        <w:pStyle w:val="Compact"/>
        <w:numPr>
          <w:ilvl w:val="0"/>
          <w:numId w:val="1011"/>
        </w:numPr>
      </w:pPr>
      <w:r>
        <w:rPr>
          <w:b/>
          <w:bCs/>
        </w:rPr>
        <w:t xml:space="preserve">1996T1-1998T4.</w:t>
      </w:r>
      <w:r>
        <w:t xml:space="preserve"> </w:t>
      </w:r>
      <w:r>
        <w:t xml:space="preserve">Se empalma el</w:t>
      </w:r>
      <w:r>
        <w:t xml:space="preserve"> </w:t>
      </w:r>
      <w:r>
        <w:rPr>
          <w:i/>
          <w:iCs/>
        </w:rPr>
        <w:t xml:space="preserve">stripped spread</w:t>
      </w:r>
      <w:r>
        <w:t xml:space="preserve"> </w:t>
      </w:r>
      <w:r>
        <w:t xml:space="preserve">de los bonos Brady (1994-1997) con el EMBI+ oficial desde 1998. En el punto de unión se aplica una corrección proporcional de sesgo, k = 540,0/620,0 = 0,8710 (media de 1998T1 del EMBI+ sobre media de 1997T4 del spread Brady), para evitar una discontinuidad espuria de nivel. Es una corrección multiplicativa y preserva la estructura de varianza condicional. El empalme está en</w:t>
      </w:r>
      <w:r>
        <w:t xml:space="preserve"> </w:t>
      </w:r>
      <w:r>
        <w:rPr>
          <w:rStyle w:val="VerbatimChar"/>
        </w:rPr>
        <w:t xml:space="preserve">fase22_construccion_spread_1983_2025.py</w:t>
      </w:r>
      <w:r>
        <w:t xml:space="preserve"> </w:t>
      </w:r>
      <w:r>
        <w:t xml:space="preserve">y la serie resultante en</w:t>
      </w:r>
      <w:r>
        <w:t xml:space="preserve"> </w:t>
      </w:r>
      <w:r>
        <w:rPr>
          <w:rStyle w:val="VerbatimChar"/>
        </w:rPr>
        <w:t xml:space="preserve">datos/procesados/spread_soberano_historico_1983_2025.csv</w:t>
      </w:r>
      <w:r>
        <w:t xml:space="preserve"> </w:t>
      </w:r>
      <w:r>
        <w:t xml:space="preserve">(columna</w:t>
      </w:r>
      <w:r>
        <w:t xml:space="preserve"> </w:t>
      </w:r>
      <w:r>
        <w:rPr>
          <w:rStyle w:val="VerbatimChar"/>
        </w:rPr>
        <w:t xml:space="preserve">Spread_Empalmado_pb</w:t>
      </w:r>
      <w:r>
        <w:t xml:space="preserve">). Desde 1999T1 es idéntica punto a punto a la serie de Ámbito.</w:t>
      </w:r>
    </w:p>
    <w:p>
      <w:pPr>
        <w:pStyle w:val="Compact"/>
        <w:numPr>
          <w:ilvl w:val="0"/>
          <w:numId w:val="1011"/>
        </w:numPr>
      </w:pPr>
      <w:r>
        <w:rPr>
          <w:b/>
          <w:bCs/>
        </w:rPr>
        <w:t xml:space="preserve">Limitación.</w:t>
      </w:r>
      <w:r>
        <w:t xml:space="preserve"> </w:t>
      </w:r>
      <w:r>
        <w:t xml:space="preserve">El spread Brady no es exactamente el EMBI+ (distinto universo de instrumentos). El factor k ajusta el nivel pero no el comportamiento de corto plazo. Son 12 de 120 trimestres.</w:t>
      </w:r>
    </w:p>
    <w:bookmarkEnd w:id="70"/>
    <w:bookmarkStart w:id="71" w:name="tipo-de-cambio-real-multilateral-tcrm"/>
    <w:p>
      <w:pPr>
        <w:pStyle w:val="Heading3"/>
      </w:pPr>
      <w:r>
        <w:t xml:space="preserve">5.6.2 Tipo de cambio real multilateral (TCRM)</w:t>
      </w:r>
    </w:p>
    <w:p>
      <w:pPr>
        <w:pStyle w:val="Compact"/>
        <w:numPr>
          <w:ilvl w:val="0"/>
          <w:numId w:val="1012"/>
        </w:numPr>
      </w:pPr>
      <w:r>
        <w:rPr>
          <w:b/>
          <w:bCs/>
        </w:rPr>
        <w:t xml:space="preserve">Fuente.</w:t>
      </w:r>
      <w:r>
        <w:t xml:space="preserve"> </w:t>
      </w:r>
      <w:r>
        <w:t xml:space="preserve">BCRA, Índice de Tipo de Cambio Real Multilateral (</w:t>
      </w:r>
      <w:r>
        <w:rPr>
          <w:rStyle w:val="VerbatimChar"/>
        </w:rPr>
        <w:t xml:space="preserve">datos/crudos/ITCRMSerie.xlsx</w:t>
      </w:r>
      <w:r>
        <w:t xml:space="preserve">, hoja de promedios mensuales, base 17-12-2015 = 100).</w:t>
      </w:r>
    </w:p>
    <w:p>
      <w:pPr>
        <w:pStyle w:val="Compact"/>
        <w:numPr>
          <w:ilvl w:val="0"/>
          <w:numId w:val="1012"/>
        </w:numPr>
      </w:pPr>
      <w:r>
        <w:rPr>
          <w:b/>
          <w:bCs/>
        </w:rPr>
        <w:t xml:space="preserve">Transformación.</w:t>
      </w:r>
      <w:r>
        <w:t xml:space="preserve"> </w:t>
      </w:r>
      <w:r>
        <w:t xml:space="preserve">Se divide el índice mensual por su valor de diciembre de 2001 (69,213) y se promedia por trimestre. La serie queda con diciembre de 2001 = 1. Recalculado desde el archivo crudo, el resultado coincide con</w:t>
      </w:r>
      <w:r>
        <w:t xml:space="preserve"> </w:t>
      </w:r>
      <w:r>
        <w:rPr>
          <w:rStyle w:val="VerbatimChar"/>
        </w:rPr>
        <w:t xml:space="preserve">tcrm_real_bcra_1997_2025.csv</w:t>
      </w:r>
      <w:r>
        <w:t xml:space="preserve"> </w:t>
      </w:r>
      <w:r>
        <w:t xml:space="preserve">con una diferencia máxima de 4,4 × 10⁻¹⁶. Esa base se elige porque deja el índice en torno de 1 y no altera su dinámica.</w:t>
      </w:r>
    </w:p>
    <w:p>
      <w:pPr>
        <w:pStyle w:val="Compact"/>
        <w:numPr>
          <w:ilvl w:val="0"/>
          <w:numId w:val="1012"/>
        </w:numPr>
      </w:pPr>
      <w:r>
        <w:rPr>
          <w:b/>
          <w:bCs/>
        </w:rPr>
        <w:t xml:space="preserve">Cobertura.</w:t>
      </w:r>
      <w:r>
        <w:t xml:space="preserve"> </w:t>
      </w:r>
      <w:r>
        <w:t xml:space="preserve">El BCRA publica el índice desde enero de 1997. Los cuatro trimestres de 1996 (3,3 % de la muestra) se retropolan con una regresión de ln(TCRM) sobre una tendencia lineal en 1997T1-1999T4 (12 observaciones), proyectada hacia atrás, y se marcan con</w:t>
      </w:r>
      <w:r>
        <w:t xml:space="preserve"> </w:t>
      </w:r>
      <w:r>
        <w:rPr>
          <w:rStyle w:val="VerbatimChar"/>
        </w:rPr>
        <w:t xml:space="preserve">es_interpolado_tcrm = 1</w:t>
      </w:r>
      <w:r>
        <w:t xml:space="preserve">. Es la única variable del sistema en que una proyección reemplaza a una fuente primaria. La alternativa, perder un año de muestra, se considera peor que una aproximación declarada. Los resultados centrales se verifican reestimando desde 1997 (Capítulo 6).</w:t>
      </w:r>
    </w:p>
    <w:bookmarkEnd w:id="71"/>
    <w:bookmarkStart w:id="72" w:name="X2485cc34e02ab40b24c6d05171fb843d12e02c8"/>
    <w:p>
      <w:pPr>
        <w:pStyle w:val="Heading3"/>
      </w:pPr>
      <w:r>
        <w:t xml:space="preserve">5.6.3 Tasa de política de la Fed, con tasa sombra de Wu y Xia</w:t>
      </w:r>
    </w:p>
    <w:p>
      <w:pPr>
        <w:pStyle w:val="Compact"/>
        <w:numPr>
          <w:ilvl w:val="0"/>
          <w:numId w:val="1013"/>
        </w:numPr>
      </w:pPr>
      <w:r>
        <w:rPr>
          <w:b/>
          <w:bCs/>
        </w:rPr>
        <w:t xml:space="preserve">Fuentes.</w:t>
      </w:r>
      <w:r>
        <w:t xml:space="preserve"> </w:t>
      </w:r>
      <w:r>
        <w:t xml:space="preserve">FEDFUNDS (tasa efectiva de fondos federales, mensual), FRED (</w:t>
      </w:r>
      <w:r>
        <w:rPr>
          <w:rStyle w:val="VerbatimChar"/>
        </w:rPr>
        <w:t xml:space="preserve">https://fred.stlouisfed.org/series/FEDFUNDS</w:t>
      </w:r>
      <w:r>
        <w:t xml:space="preserve">). Tasa sombra de Wu y Xia (2016), mensual, Federal Reserve Bank of Atlanta (</w:t>
      </w:r>
      <w:r>
        <w:rPr>
          <w:rStyle w:val="VerbatimChar"/>
        </w:rPr>
        <w:t xml:space="preserve">https://www.atlantafed.org/cqer/research/wu-xia-shadow-federal-funds-rate</w:t>
      </w:r>
      <w:r>
        <w:t xml:space="preserve">). Copias en</w:t>
      </w:r>
      <w:r>
        <w:t xml:space="preserve"> </w:t>
      </w:r>
      <w:r>
        <w:rPr>
          <w:rStyle w:val="VerbatimChar"/>
        </w:rPr>
        <w:t xml:space="preserve">datos/crudos/tasa_fed/</w:t>
      </w:r>
      <w:r>
        <w:t xml:space="preserve">; script</w:t>
      </w:r>
      <w:r>
        <w:t xml:space="preserve"> </w:t>
      </w:r>
      <w:r>
        <w:rPr>
          <w:rStyle w:val="VerbatimChar"/>
        </w:rPr>
        <w:t xml:space="preserve">ingesta_tasa_fed_1996_2025.py</w:t>
      </w:r>
      <w:r>
        <w:t xml:space="preserve">; salida</w:t>
      </w:r>
      <w:r>
        <w:t xml:space="preserve"> </w:t>
      </w:r>
      <w:r>
        <w:rPr>
          <w:rStyle w:val="VerbatimChar"/>
        </w:rPr>
        <w:t xml:space="preserve">tasa_fed_trimestral_1996_2025.csv</w:t>
      </w:r>
      <w:r>
        <w:t xml:space="preserve">.</w:t>
      </w:r>
    </w:p>
    <w:p>
      <w:pPr>
        <w:pStyle w:val="Compact"/>
        <w:numPr>
          <w:ilvl w:val="0"/>
          <w:numId w:val="1013"/>
        </w:numPr>
      </w:pPr>
      <w:r>
        <w:rPr>
          <w:b/>
          <w:bCs/>
        </w:rPr>
        <w:t xml:space="preserve">Construcción.</w:t>
      </w:r>
      <w:r>
        <w:t xml:space="preserve"> </w:t>
      </w:r>
      <w:r>
        <w:t xml:space="preserve">Cada serie mensual se promedia por trimestre. La variable</w:t>
      </w:r>
      <w:r>
        <w:t xml:space="preserve"> </w:t>
      </w:r>
      <w:r>
        <w:rPr>
          <w:rStyle w:val="VerbatimChar"/>
        </w:rPr>
        <w:t xml:space="preserve">tasa_politica_fed</w:t>
      </w:r>
      <w:r>
        <w:t xml:space="preserve"> </w:t>
      </w:r>
      <w:r>
        <w:t xml:space="preserve">toma la tasa sombra cuando el promedio trimestral de FEDFUNDS es menor que 0,25 % y están los tres meses de la sombra. En los demás casos usa FEDFUNDS. El umbral 0,25 % es el techo del rango objetivo en el piso cero. Resultado:</w:t>
      </w:r>
      <w:r>
        <w:t xml:space="preserve"> </w:t>
      </w:r>
      <w:r>
        <w:rPr>
          <w:rStyle w:val="VerbatimChar"/>
        </w:rPr>
        <w:t xml:space="preserve">fedfunds</w:t>
      </w:r>
      <w:r>
        <w:t xml:space="preserve"> </w:t>
      </w:r>
      <w:r>
        <w:t xml:space="preserve">en 84 trimestres,</w:t>
      </w:r>
      <w:r>
        <w:t xml:space="preserve"> </w:t>
      </w:r>
      <w:r>
        <w:rPr>
          <w:rStyle w:val="VerbatimChar"/>
        </w:rPr>
        <w:t xml:space="preserve">shadow_wu_xia</w:t>
      </w:r>
      <w:r>
        <w:t xml:space="preserve"> </w:t>
      </w:r>
      <w:r>
        <w:t xml:space="preserve">en 35 (2009T1-2015T4 y 2020T2-2021T4) y</w:t>
      </w:r>
      <w:r>
        <w:t xml:space="preserve"> </w:t>
      </w:r>
      <w:r>
        <w:rPr>
          <w:rStyle w:val="VerbatimChar"/>
        </w:rPr>
        <w:t xml:space="preserve">fedfunds_zlb_sin_shadow</w:t>
      </w:r>
      <w:r>
        <w:t xml:space="preserve"> </w:t>
      </w:r>
      <w:r>
        <w:t xml:space="preserve">en uno.</w:t>
      </w:r>
    </w:p>
    <w:p>
      <w:pPr>
        <w:pStyle w:val="Compact"/>
        <w:numPr>
          <w:ilvl w:val="0"/>
          <w:numId w:val="1013"/>
        </w:numPr>
      </w:pPr>
      <w:r>
        <w:rPr>
          <w:b/>
          <w:bCs/>
        </w:rPr>
        <w:t xml:space="preserve">Por qué la sombra.</w:t>
      </w:r>
      <w:r>
        <w:t xml:space="preserve"> </w:t>
      </w:r>
      <w:r>
        <w:t xml:space="preserve">En el piso cero la tasa efectiva deja de reflejar la orientación de la política y su variación subestima las medidas no convencionales. La sombra recupera esa orientación.</w:t>
      </w:r>
    </w:p>
    <w:p>
      <w:pPr>
        <w:pStyle w:val="Compact"/>
        <w:numPr>
          <w:ilvl w:val="0"/>
          <w:numId w:val="1013"/>
        </w:numPr>
      </w:pPr>
      <w:r>
        <w:rPr>
          <w:b/>
          <w:bCs/>
        </w:rPr>
        <w:t xml:space="preserve">Empalme en 2022T1.</w:t>
      </w:r>
      <w:r>
        <w:t xml:space="preserve"> </w:t>
      </w:r>
      <w:r>
        <w:t xml:space="preserve">La hoja de Wu y Xia termina en febrero de 2022. 2022T1 está en el piso cero (FEDFUNDS = 0,12 %) pero solo tiene dos meses de sombra, así que se usa FEDFUNDS y se marca. El salto entre 2021T4 (−1,57 %, sombra) y 2022T1 (0,12 %) es de unos 1,7 puntos y es un artefacto de la definición. Entra una vez en la primera diferencia. Los trimestres 2022T2-2025T4 usan FEDFUNDS.</w:t>
      </w:r>
    </w:p>
    <w:p>
      <w:pPr>
        <w:pStyle w:val="Compact"/>
        <w:numPr>
          <w:ilvl w:val="0"/>
          <w:numId w:val="1013"/>
        </w:numPr>
      </w:pPr>
      <w:r>
        <w:rPr>
          <w:b/>
          <w:bCs/>
        </w:rPr>
        <w:t xml:space="preserve">Uso.</w:t>
      </w:r>
      <w:r>
        <w:t xml:space="preserve"> </w:t>
      </w:r>
      <w:r>
        <w:t xml:space="preserve">En el modelo entra como variación trimestral (ΔFed), con una media de −0,012 pp y un desvío estándar de 0,505 pp (119 variaciones). Ese desvío es el tamaño del shock del Capítulo 4. El ciclo 2022-2023 acumula 6,90 pp con la sombra de base y 5,25 pp medido solo con FEDFUNDS.</w:t>
      </w:r>
    </w:p>
    <w:bookmarkEnd w:id="72"/>
    <w:bookmarkStart w:id="79" w:name="vix"/>
    <w:p>
      <w:pPr>
        <w:pStyle w:val="Heading3"/>
      </w:pPr>
      <w:r>
        <w:t xml:space="preserve">5.6.4 VIX</w:t>
      </w:r>
    </w:p>
    <w:p>
      <w:pPr>
        <w:pStyle w:val="FirstParagraph"/>
      </w:pPr>
      <w:r>
        <w:t xml:space="preserve">Índice de volatilidad implícita del CBOE (^VIX), cierre diario de Yahoo Finance descargado con</w:t>
      </w:r>
      <w:r>
        <w:t xml:space="preserve"> </w:t>
      </w:r>
      <w:r>
        <w:rPr>
          <w:rStyle w:val="VerbatimChar"/>
        </w:rPr>
        <w:t xml:space="preserve">yfinance</w:t>
      </w:r>
      <w:r>
        <w:t xml:space="preserve"> </w:t>
      </w:r>
      <w:r>
        <w:t xml:space="preserve">(</w:t>
      </w:r>
      <w:r>
        <w:rPr>
          <w:rStyle w:val="VerbatimChar"/>
        </w:rPr>
        <w:t xml:space="preserve">ingesta_instrumentos_1996_2025.py</w:t>
      </w:r>
      <w:r>
        <w:t xml:space="preserve">), promedio trimestral. Tiene cobertura real desde 1996, sin faltantes (120 observaciones). Entra como exógena en nivel (Adler y Sosa, 2013, citados en el Capítulo 4).</w:t>
      </w:r>
    </w:p>
    <w:p>
      <w:pPr>
        <w:pStyle w:val="BodyText"/>
      </w:pPr>
      <w:r>
        <w:t xml:space="preserve">Las Figuras 5.2 y 5.3 muestran las cuatro variables endógenas y las dos exógenas del SVARX en la muestra completa.</w:t>
      </w:r>
    </w:p>
    <w:p>
      <w:pPr>
        <w:pStyle w:val="CaptionedFigure"/>
      </w:pPr>
      <w:r>
        <w:drawing>
          <wp:inline>
            <wp:extent cx="5334000" cy="3657600"/>
            <wp:effectExtent b="0" l="0" r="0" t="0"/>
            <wp:docPr descr="Figura 5.2. Variables endógenas del SVARX, 1996-2025. El crecimiento es la variación trimestral del PIB real sin desestacionalizar; la estacionalidad la absorben las variables binarias del modelo. Las líneas punteadas marcan los quiebres de Bai y Perron." title="" id="74" name="Picture"/>
            <a:graphic>
              <a:graphicData uri="http://schemas.openxmlformats.org/drawingml/2006/picture">
                <pic:pic>
                  <pic:nvPicPr>
                    <pic:cNvPr descr="../tesis/figuras/fig5_2_variables_endogenas.png" id="75" name="Picture"/>
                    <pic:cNvPicPr>
                      <a:picLocks noChangeArrowheads="1" noChangeAspect="1"/>
                    </pic:cNvPicPr>
                  </pic:nvPicPr>
                  <pic:blipFill>
                    <a:blip r:embed="rId7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1996-2025. El crecimiento es la variación trimestral del PIB real sin desestacionalizar; la estacionalidad la absorben las variables binarias del modelo. Las líneas punteadas marcan los quiebres de Bai y Perron.</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title="" id="77" name="Picture"/>
            <a:graphic>
              <a:graphicData uri="http://schemas.openxmlformats.org/drawingml/2006/picture">
                <pic:pic>
                  <pic:nvPicPr>
                    <pic:cNvPr descr="../tesis/figuras/fig5_3_fed_y_vix.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w:t>
      </w:r>
    </w:p>
    <w:bookmarkEnd w:id="79"/>
    <w:bookmarkEnd w:id="80"/>
    <w:bookmarkStart w:id="81" w:name="Xe2c1f699aa3e9ae6a11f93541e9c4657f6aae32"/>
    <w:p>
      <w:pPr>
        <w:pStyle w:val="Heading2"/>
      </w:pPr>
      <w:r>
        <w:t xml:space="preserve">5.7 Variables que figuran en la base pero no entran en el sistema</w:t>
      </w:r>
    </w:p>
    <w:p>
      <w:pPr>
        <w:pStyle w:val="FirstParagraph"/>
      </w:pPr>
      <w:r>
        <w:t xml:space="preserve">El CER (existe desde 2002), la brecha del producto (filtro Hodrick-Prescott, λ = 1600) y los instrumentos de las pruebas de variables instrumentales no forman parte del SVARX principal. Se documentan en</w:t>
      </w:r>
      <w:r>
        <w:t xml:space="preserve"> </w:t>
      </w:r>
      <w:r>
        <w:rPr>
          <w:rStyle w:val="VerbatimChar"/>
        </w:rPr>
        <w:t xml:space="preserve">datos/codebook.md</w:t>
      </w:r>
      <w:r>
        <w:t xml:space="preserve">.</w:t>
      </w:r>
    </w:p>
    <w:bookmarkEnd w:id="81"/>
    <w:bookmarkStart w:id="86" w:name="Xfba9795b0262a3aec86cb988d85d10ac0b2d960"/>
    <w:p>
      <w:pPr>
        <w:pStyle w:val="Heading2"/>
      </w:pPr>
      <w:r>
        <w:t xml:space="preserve">5.8 Comparación con cifras oficiales e independientes</w:t>
      </w:r>
    </w:p>
    <w:p>
      <w:pPr>
        <w:pStyle w:val="FirstParagraph"/>
      </w:pPr>
      <w:r>
        <w:t xml:space="preserve">Esta sección calcula, desde los CSV del repositorio, cada cifra propia y la compara con el FMI (2025),</w:t>
      </w:r>
      <w:r>
        <w:t xml:space="preserve"> </w:t>
      </w:r>
      <w:r>
        <w:rPr>
          <w:i/>
          <w:iCs/>
        </w:rPr>
        <w:t xml:space="preserve">Country Report</w:t>
      </w:r>
      <w:r>
        <w:t xml:space="preserve"> </w:t>
      </w:r>
      <w:r>
        <w:t xml:space="preserve">No. 25/95 (Annex II, Table 2 para la deuda; Table 3b para el resultado primario; datos en</w:t>
      </w:r>
      <w:r>
        <w:t xml:space="preserve"> </w:t>
      </w:r>
      <w:r>
        <w:rPr>
          <w:rStyle w:val="VerbatimChar"/>
        </w:rPr>
        <w:t xml:space="preserve">datos/procesados/escenario_base_fmi_cr2595.csv</w:t>
      </w:r>
      <w:r>
        <w:t xml:space="preserve">). El FMI publica el cuadro de deuda solo para 2023-2026.</w:t>
      </w:r>
    </w:p>
    <w:bookmarkStart w:id="82" w:name="Xa01cff60600f7a82bb5f91b22357c6f4e94a632"/>
    <w:p>
      <w:pPr>
        <w:pStyle w:val="Heading3"/>
      </w:pPr>
      <w:r>
        <w:t xml:space="preserve">5.8.1 Tabla de control, deuda (% del PIB, cierre de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propio</w:t>
            </w:r>
          </w:p>
        </w:tc>
        <w:tc>
          <w:tcPr/>
          <w:p>
            <w:pPr>
              <w:pStyle w:val="Compact"/>
            </w:pPr>
            <w:r>
              <w:rPr>
                <w:rFonts w:ascii="Calibri" w:hAnsi="Calibri"/>
                <w:sz w:val="20"/>
              </w:rPr>
              <w:t xml:space="preserve">2023 FMI</w:t>
            </w:r>
          </w:p>
        </w:tc>
        <w:tc>
          <w:tcPr/>
          <w:p>
            <w:pPr>
              <w:pStyle w:val="Compact"/>
            </w:pPr>
            <w:r>
              <w:rPr>
                <w:rFonts w:ascii="Calibri" w:hAnsi="Calibri"/>
                <w:sz w:val="20"/>
              </w:rPr>
              <w:t xml:space="preserve">Dif.</w:t>
            </w:r>
          </w:p>
        </w:tc>
        <w:tc>
          <w:tcPr/>
          <w:p>
            <w:pPr>
              <w:pStyle w:val="Compact"/>
            </w:pPr>
            <w:r>
              <w:rPr>
                <w:rFonts w:ascii="Calibri" w:hAnsi="Calibri"/>
                <w:sz w:val="20"/>
              </w:rPr>
              <w:t xml:space="preserve">2024 propio</w:t>
            </w:r>
          </w:p>
        </w:tc>
        <w:tc>
          <w:tcPr/>
          <w:p>
            <w:pPr>
              <w:pStyle w:val="Compact"/>
            </w:pPr>
            <w:r>
              <w:rPr>
                <w:rFonts w:ascii="Calibri" w:hAnsi="Calibri"/>
                <w:sz w:val="20"/>
              </w:rPr>
              <w:t xml:space="preserve">2024 FMI</w:t>
            </w:r>
          </w:p>
        </w:tc>
        <w:tc>
          <w:tcPr/>
          <w:p>
            <w:pPr>
              <w:pStyle w:val="Compact"/>
            </w:pPr>
            <w:r>
              <w:rPr>
                <w:rFonts w:ascii="Calibri" w:hAnsi="Calibri"/>
                <w:sz w:val="20"/>
              </w:rPr>
              <w:t xml:space="preserve">Dif.</w:t>
            </w:r>
          </w:p>
        </w:tc>
      </w:tr>
      <w:tr>
        <w:tc>
          <w:tcPr/>
          <w:p>
            <w:pPr>
              <w:pStyle w:val="Compact"/>
            </w:pPr>
            <w:r>
              <w:rPr>
                <w:rFonts w:ascii="Calibri" w:hAnsi="Calibri"/>
                <w:sz w:val="20"/>
              </w:rPr>
              <w:t xml:space="preserve">1. 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−1,9</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3. Deuda del Tesoro en poder del sector público</w:t>
            </w:r>
          </w:p>
        </w:tc>
        <w:tc>
          <w:tcPr/>
          <w:p>
            <w:pPr>
              <w:pStyle w:val="Compact"/>
            </w:pPr>
            <w:r>
              <w:rPr>
                <w:rFonts w:ascii="Calibri" w:hAnsi="Calibri"/>
                <w:sz w:val="20"/>
              </w:rPr>
              <w:t xml:space="preserve">48,6 (solo BCRA, nominal piso)</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−13,9</w:t>
            </w:r>
          </w:p>
        </w:tc>
        <w:tc>
          <w:tcPr/>
          <w:p>
            <w:pPr>
              <w:pStyle w:val="Compact"/>
            </w:pPr>
            <w:r>
              <w:rPr>
                <w:rFonts w:ascii="Calibri" w:hAnsi="Calibri"/>
                <w:sz w:val="20"/>
              </w:rPr>
              <w:t xml:space="preserve">20,4 (solo BCRA, nominal piso)</w:t>
            </w:r>
          </w:p>
        </w:tc>
        <w:tc>
          <w:tcPr/>
          <w:p>
            <w:pPr>
              <w:pStyle w:val="Compact"/>
            </w:pPr>
            <w:r>
              <w:rPr>
                <w:rFonts w:ascii="Calibri" w:hAnsi="Calibri"/>
                <w:sz w:val="20"/>
              </w:rPr>
              <w:t xml:space="preserve">33,9 (BCRA y FGS)</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4. Pasivos del BCRA, total</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−3,8</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en moneda local</w:t>
            </w:r>
          </w:p>
        </w:tc>
        <w:tc>
          <w:tcPr/>
          <w:p>
            <w:pPr>
              <w:pStyle w:val="Compact"/>
            </w:pPr>
            <w:r>
              <w:rPr>
                <w:rFonts w:ascii="Calibri" w:hAnsi="Calibri"/>
                <w:sz w:val="20"/>
              </w:rPr>
              <w:t xml:space="preserve">13,3</w:t>
            </w:r>
          </w:p>
        </w:tc>
        <w:tc>
          <w:tcPr/>
          <w:p>
            <w:pPr>
              <w:pStyle w:val="Compact"/>
            </w:pPr>
            <w:r>
              <w:rPr>
                <w:rFonts w:ascii="Calibri" w:hAnsi="Calibri"/>
                <w:sz w:val="20"/>
              </w:rPr>
              <w:t xml:space="preserve">16,2</w:t>
            </w:r>
          </w:p>
        </w:tc>
        <w:tc>
          <w:tcPr/>
          <w:p>
            <w:pPr>
              <w:pStyle w:val="Compact"/>
            </w:pPr>
            <w:r>
              <w:rPr>
                <w:rFonts w:ascii="Calibri" w:hAnsi="Calibri"/>
                <w:sz w:val="20"/>
              </w:rPr>
              <w:t xml:space="preserve">−2,9</w:t>
            </w:r>
          </w:p>
        </w:tc>
        <w:tc>
          <w:tcPr/>
          <w:p>
            <w:pPr>
              <w:pStyle w:val="Compact"/>
            </w:pPr>
            <w:r>
              <w:rPr>
                <w:rFonts w:ascii="Calibri" w:hAnsi="Calibri"/>
                <w:sz w:val="20"/>
              </w:rPr>
              <w:t xml:space="preserve">−0,06</w:t>
            </w:r>
          </w:p>
        </w:tc>
        <w:tc>
          <w:tcPr/>
          <w:p>
            <w:pPr>
              <w:pStyle w:val="Compact"/>
            </w:pPr>
            <w:r>
              <w:rPr>
                <w:rFonts w:ascii="Calibri" w:hAnsi="Calibri"/>
                <w:sz w:val="20"/>
              </w:rPr>
              <w:t xml:space="preserve">0,0</w:t>
            </w:r>
          </w:p>
        </w:tc>
        <w:tc>
          <w:tcPr/>
          <w:p>
            <w:pPr>
              <w:pStyle w:val="Compact"/>
            </w:pPr>
            <w:r>
              <w:rPr>
                <w:rFonts w:ascii="Calibri" w:hAnsi="Calibri"/>
                <w:sz w:val="20"/>
              </w:rPr>
              <w:t xml:space="preserve">−0,1</w:t>
            </w:r>
          </w:p>
        </w:tc>
      </w:tr>
      <w:tr>
        <w:tc>
          <w:tcPr/>
          <w:p>
            <w:pPr>
              <w:pStyle w:val="Compact"/>
            </w:pPr>
            <w:r>
              <w:rPr>
                <w:rFonts w:ascii="Calibri" w:hAnsi="Calibri"/>
                <w:sz w:val="20"/>
              </w:rPr>
              <w:t xml:space="preserve">en moneda extranjera (sin swap)</w:t>
            </w:r>
          </w:p>
        </w:tc>
        <w:tc>
          <w:tcPr/>
          <w:p>
            <w:pPr>
              <w:pStyle w:val="Compact"/>
            </w:pPr>
            <w:r>
              <w:rPr>
                <w:rFonts w:ascii="Calibri" w:hAnsi="Calibri"/>
                <w:sz w:val="20"/>
              </w:rPr>
              <w:t xml:space="preserve">1,3</w:t>
            </w:r>
          </w:p>
        </w:tc>
        <w:tc>
          <w:tcPr/>
          <w:p>
            <w:pPr>
              <w:pStyle w:val="Compact"/>
            </w:pPr>
            <w:r>
              <w:rPr>
                <w:rFonts w:ascii="Calibri" w:hAnsi="Calibri"/>
                <w:sz w:val="20"/>
              </w:rPr>
              <w:t xml:space="preserve">2,1</w:t>
            </w:r>
          </w:p>
        </w:tc>
        <w:tc>
          <w:tcPr/>
          <w:p>
            <w:pPr>
              <w:pStyle w:val="Compact"/>
            </w:pPr>
            <w:r>
              <w:rPr>
                <w:rFonts w:ascii="Calibri" w:hAnsi="Calibri"/>
                <w:sz w:val="20"/>
              </w:rPr>
              <w:t xml:space="preserve">−0,8</w:t>
            </w:r>
          </w:p>
        </w:tc>
        <w:tc>
          <w:tcPr/>
          <w:p>
            <w:pPr>
              <w:pStyle w:val="Compact"/>
            </w:pPr>
            <w:r>
              <w:rPr>
                <w:rFonts w:ascii="Calibri" w:hAnsi="Calibri"/>
                <w:sz w:val="20"/>
              </w:rPr>
              <w:t xml:space="preserve">1,6</w:t>
            </w:r>
          </w:p>
        </w:tc>
        <w:tc>
          <w:tcPr/>
          <w:p>
            <w:pPr>
              <w:pStyle w:val="Compact"/>
            </w:pPr>
            <w:r>
              <w:rPr>
                <w:rFonts w:ascii="Calibri" w:hAnsi="Calibri"/>
                <w:sz w:val="20"/>
              </w:rPr>
              <w:t xml:space="preserve">2,1</w:t>
            </w:r>
          </w:p>
        </w:tc>
        <w:tc>
          <w:tcPr/>
          <w:p>
            <w:pPr>
              <w:pStyle w:val="Compact"/>
            </w:pPr>
            <w:r>
              <w:rPr>
                <w:rFonts w:ascii="Calibri" w:hAnsi="Calibri"/>
                <w:sz w:val="20"/>
              </w:rPr>
              <w:t xml:space="preserve">−0,5</w:t>
            </w:r>
          </w:p>
        </w:tc>
      </w:tr>
      <w:tr>
        <w:tc>
          <w:tcPr/>
          <w:p>
            <w:pPr>
              <w:pStyle w:val="Compact"/>
            </w:pPr>
            <w:r>
              <w:rPr>
                <w:rFonts w:ascii="Calibri" w:hAnsi="Calibri"/>
                <w:sz w:val="20"/>
              </w:rPr>
              <w:t xml:space="preserve">5. Depósitos del Tesoro en el BCRA</w:t>
            </w:r>
          </w:p>
        </w:tc>
        <w:tc>
          <w:tcPr/>
          <w:p>
            <w:pPr>
              <w:pStyle w:val="Compact"/>
            </w:pPr>
            <w:r>
              <w:rPr>
                <w:rFonts w:ascii="Calibri" w:hAnsi="Calibri"/>
                <w:sz w:val="20"/>
              </w:rPr>
              <w:t xml:space="preserve">0,52</w:t>
            </w:r>
          </w:p>
        </w:tc>
        <w:tc>
          <w:tcPr/>
          <w:p>
            <w:pPr>
              <w:pStyle w:val="Compact"/>
            </w:pPr>
            <w:r>
              <w:rPr>
                <w:rFonts w:ascii="Calibri" w:hAnsi="Calibri"/>
                <w:sz w:val="20"/>
              </w:rPr>
              <w:t xml:space="preserve">0,5</w:t>
            </w:r>
          </w:p>
        </w:tc>
        <w:tc>
          <w:tcPr/>
          <w:p>
            <w:pPr>
              <w:pStyle w:val="Compact"/>
            </w:pPr>
            <w:r>
              <w:rPr>
                <w:rFonts w:ascii="Calibri" w:hAnsi="Calibri"/>
                <w:sz w:val="20"/>
              </w:rPr>
              <w:t xml:space="preserve">0,0</w:t>
            </w:r>
          </w:p>
        </w:tc>
        <w:tc>
          <w:tcPr/>
          <w:p>
            <w:pPr>
              <w:pStyle w:val="Compact"/>
            </w:pPr>
            <w:r>
              <w:rPr>
                <w:rFonts w:ascii="Calibri" w:hAnsi="Calibri"/>
                <w:sz w:val="20"/>
              </w:rPr>
              <w:t xml:space="preserve">2,10</w:t>
            </w:r>
          </w:p>
        </w:tc>
        <w:tc>
          <w:tcPr/>
          <w:p>
            <w:pPr>
              <w:pStyle w:val="Compact"/>
            </w:pPr>
            <w:r>
              <w:rPr>
                <w:rFonts w:ascii="Calibri" w:hAnsi="Calibri"/>
                <w:sz w:val="20"/>
              </w:rPr>
              <w:t xml:space="preserve">2,1</w:t>
            </w:r>
          </w:p>
        </w:tc>
        <w:tc>
          <w:tcPr/>
          <w:p>
            <w:pPr>
              <w:pStyle w:val="Compact"/>
            </w:pPr>
            <w:r>
              <w:rPr>
                <w:rFonts w:ascii="Calibri" w:hAnsi="Calibri"/>
                <w:sz w:val="20"/>
              </w:rPr>
              <w:t xml:space="preserve">0,0</w:t>
            </w:r>
          </w:p>
        </w:tc>
      </w:tr>
      <w:tr>
        <w:tc>
          <w:tcPr/>
          <w:p>
            <w:pPr>
              <w:pStyle w:val="Compact"/>
            </w:pPr>
            <w:r>
              <w:rPr>
                <w:rFonts w:ascii="Calibri" w:hAnsi="Calibri"/>
                <w:sz w:val="20"/>
              </w:rPr>
              <w:t xml:space="preserve">6. Deuda neta consolidada (nominal piso)</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c>
          <w:tcPr/>
          <w:p>
            <w:pPr>
              <w:pStyle w:val="Compact"/>
            </w:pPr>
            <w:r>
              <w:rPr>
                <w:rFonts w:ascii="Calibri" w:hAnsi="Calibri"/>
                <w:b/>
                <w:bCs/>
                <w:sz w:val="20"/>
              </w:rPr>
              <w:t xml:space="preserve">+9,6</w:t>
            </w:r>
          </w:p>
        </w:tc>
      </w:tr>
      <w:tr>
        <w:tc>
          <w:tcPr/>
          <w:p>
            <w:pPr>
              <w:pStyle w:val="Compact"/>
            </w:pPr>
            <w:r>
              <w:rPr>
                <w:rFonts w:ascii="Calibri" w:hAnsi="Calibri"/>
                <w:i/>
                <w:iCs/>
                <w:sz w:val="20"/>
              </w:rPr>
              <w:t xml:space="preserve">Memo: deuda neta a valor de libros</w:t>
            </w:r>
          </w:p>
        </w:tc>
        <w:tc>
          <w:tcPr/>
          <w:p>
            <w:pPr>
              <w:pStyle w:val="Compact"/>
            </w:pPr>
            <w:r>
              <w:rPr>
                <w:rFonts w:ascii="Calibri" w:hAnsi="Calibri"/>
                <w:sz w:val="20"/>
              </w:rPr>
              <w:t xml:space="preserve">119,0</w:t>
            </w:r>
          </w:p>
        </w:tc>
        <w:tc>
          <w:tcPr/>
          <w:p>
            <w:pPr>
              <w:pStyle w:val="Compact"/>
            </w:pPr>
            <w:r>
              <w:rPr>
                <w:rFonts w:ascii="Calibri" w:hAnsi="Calibri"/>
                <w:sz w:val="20"/>
              </w:rPr>
              <w:t xml:space="preserve">110,8</w:t>
            </w:r>
          </w:p>
        </w:tc>
        <w:tc>
          <w:tcPr/>
          <w:p>
            <w:pPr>
              <w:pStyle w:val="Compact"/>
            </w:pPr>
            <w:r>
              <w:rPr>
                <w:rFonts w:ascii="Calibri" w:hAnsi="Calibri"/>
                <w:sz w:val="20"/>
              </w:rPr>
              <w:t xml:space="preserve">+8,2</w:t>
            </w:r>
          </w:p>
        </w:tc>
        <w:tc>
          <w:tcPr/>
          <w:p>
            <w:pPr>
              <w:pStyle w:val="Compact"/>
            </w:pPr>
            <w:r>
              <w:rPr>
                <w:rFonts w:ascii="Calibri" w:hAnsi="Calibri"/>
                <w:sz w:val="20"/>
              </w:rPr>
              <w:t xml:space="preserve">68,3</w:t>
            </w:r>
          </w:p>
        </w:tc>
        <w:tc>
          <w:tcPr/>
          <w:p>
            <w:pPr>
              <w:pStyle w:val="Compact"/>
            </w:pPr>
            <w:r>
              <w:rPr>
                <w:rFonts w:ascii="Calibri" w:hAnsi="Calibri"/>
                <w:sz w:val="20"/>
              </w:rPr>
              <w:t xml:space="preserve">51,5</w:t>
            </w:r>
          </w:p>
        </w:tc>
        <w:tc>
          <w:tcPr/>
          <w:p>
            <w:pPr>
              <w:pStyle w:val="Compact"/>
            </w:pPr>
            <w:r>
              <w:rPr>
                <w:rFonts w:ascii="Calibri" w:hAnsi="Calibri"/>
                <w:sz w:val="20"/>
              </w:rPr>
              <w:t xml:space="preserve">+16,8</w:t>
            </w:r>
          </w:p>
        </w:tc>
      </w:tr>
    </w:tbl>
    <w:p>
      <w:pPr>
        <w:pStyle w:val="BodyText"/>
      </w:pPr>
      <w:r>
        <w:t xml:space="preserve">Fuentes: columnas propias en</w:t>
      </w:r>
      <w:r>
        <w:t xml:space="preserve"> </w:t>
      </w:r>
      <w:r>
        <w:rPr>
          <w:rStyle w:val="VerbatimChar"/>
        </w:rPr>
        <w:t xml:space="preserve">deuda_consolidada_neta_nominal_1996_2025.csv</w:t>
      </w:r>
      <w:r>
        <w:t xml:space="preserve"> </w:t>
      </w:r>
      <w:r>
        <w:t xml:space="preserve">(diciembre de cada año); columnas FMI en</w:t>
      </w:r>
      <w:r>
        <w:t xml:space="preserve"> </w:t>
      </w:r>
      <w:r>
        <w:rPr>
          <w:rStyle w:val="VerbatimChar"/>
        </w:rPr>
        <w:t xml:space="preserve">escenario_base_fmi_cr2595.csv</w:t>
      </w:r>
      <w:r>
        <w:t xml:space="preserve"> </w:t>
      </w:r>
      <w:r>
        <w:t xml:space="preserve">(variables</w:t>
      </w:r>
      <w:r>
        <w:t xml:space="preserve"> </w:t>
      </w:r>
      <w:r>
        <w:rPr>
          <w:rStyle w:val="VerbatimChar"/>
        </w:rPr>
        <w:t xml:space="preserve">a2_*</w:t>
      </w:r>
      <w:r>
        <w:t xml:space="preserve">). El control está además en</w:t>
      </w:r>
      <w:r>
        <w:t xml:space="preserve"> </w:t>
      </w:r>
      <w:r>
        <w:rPr>
          <w:rStyle w:val="VerbatimChar"/>
        </w:rPr>
        <w:t xml:space="preserve">deuda_consolidada_neta_nominal_1996_2025_control_fmi.csv</w:t>
      </w:r>
      <w:r>
        <w:t xml:space="preserve">. En dólares, el FMI publica 367,9 y 478,7 mil millones para la deuda bruta federal y 262,2 y 289,0 para la deuda neta consolidada (2023 y 2024).</w:t>
      </w:r>
    </w:p>
    <w:p>
      <w:pPr>
        <w:pStyle w:val="BodyText"/>
      </w:pPr>
      <w:r>
        <w:rPr>
          <w:b/>
          <w:bCs/>
        </w:rPr>
        <w:t xml:space="preserve">Lectura.</w:t>
      </w:r>
      <w:r>
        <w:t xml:space="preserve"> </w:t>
      </w:r>
      <w:r>
        <w:t xml:space="preserve">La deuda bruta, los depósitos y los pasivos en moneda local replican al FMI dentro de 3 puntos, y los depósitos coinciden. La diferencia en la bruta se debe a que el FMI agrega intereses capitalizados,</w:t>
      </w:r>
      <w:r>
        <w:t xml:space="preserve"> </w:t>
      </w:r>
      <w:r>
        <w:rPr>
          <w:i/>
          <w:iCs/>
        </w:rPr>
        <w:t xml:space="preserve">holdouts</w:t>
      </w:r>
      <w:r>
        <w:t xml:space="preserve"> </w:t>
      </w:r>
      <w:r>
        <w:t xml:space="preserve">y reclamos por el cupón PIB (nota 1 del cuadro), que no figuran en los informes del MECON, y a la versión de PIB de su informe. La diferencia de los pasivos del BCRA en 2023 es compatible con la omisión del swap con el PBoC y de otros instrumentos, aunque no se pudo verificar por falta de una serie. La valuación nominal no cambia 2023, porque en ese año el valor de libros ya supera al nominal y la variante piso conserva el de libros. En 2024 reduce la deuda neta de 68,3 a 61,1 y la brecha con el FMI, de 16,8 a 9,6 puntos.</w:t>
      </w:r>
    </w:p>
    <w:bookmarkEnd w:id="82"/>
    <w:bookmarkStart w:id="83" w:name="X7a2c85742a23c57b132a6154d51d01bf040b9b5"/>
    <w:p>
      <w:pPr>
        <w:pStyle w:val="Heading3"/>
      </w:pPr>
      <w:r>
        <w:t xml:space="preserve">5.8.2 Descomposición de la diferencia en la deuda neta</w:t>
      </w:r>
    </w:p>
    <w:p>
      <w:pPr>
        <w:pStyle w:val="FirstParagraph"/>
      </w:pPr>
      <w:r>
        <w:t xml:space="preserve">Como la deuda neta es B − T + L − DEP, la diferencia propio menos FMI es la suma de las diferencias de cada línea.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Componente</w:t>
            </w:r>
          </w:p>
        </w:tc>
        <w:tc>
          <w:tcPr/>
          <w:p>
            <w:pPr>
              <w:pStyle w:val="Compact"/>
            </w:pPr>
            <w:r>
              <w:rPr>
                <w:rFonts w:ascii="Calibri" w:hAnsi="Calibri"/>
                <w:sz w:val="20"/>
              </w:rPr>
              <w:t xml:space="preserve">2023 (pp)</w:t>
            </w:r>
          </w:p>
        </w:tc>
        <w:tc>
          <w:tcPr/>
          <w:p>
            <w:pPr>
              <w:pStyle w:val="Compact"/>
            </w:pPr>
            <w:r>
              <w:rPr>
                <w:rFonts w:ascii="Calibri" w:hAnsi="Calibri"/>
                <w:sz w:val="20"/>
              </w:rPr>
              <w:t xml:space="preserve">2024 (pp)</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−1,9</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Menos tenencias intra-públicas (diferencia de signo cambiado)</w:t>
            </w:r>
          </w:p>
        </w:tc>
        <w:tc>
          <w:tcPr/>
          <w:p>
            <w:pPr>
              <w:pStyle w:val="Compact"/>
            </w:pPr>
            <w:r>
              <w:rPr>
                <w:rFonts w:ascii="Calibri" w:hAnsi="Calibri"/>
                <w:sz w:val="20"/>
              </w:rPr>
              <w:t xml:space="preserve">+13,9</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−3,8</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Menos depósitos del Tesoro</w:t>
            </w:r>
          </w:p>
        </w:tc>
        <w:tc>
          <w:tcPr/>
          <w:p>
            <w:pPr>
              <w:pStyle w:val="Compact"/>
            </w:pPr>
            <w:r>
              <w:rPr>
                <w:rFonts w:ascii="Calibri" w:hAnsi="Calibri"/>
                <w:sz w:val="20"/>
              </w:rPr>
              <w:t xml:space="preserve">0,0</w:t>
            </w:r>
          </w:p>
        </w:tc>
        <w:tc>
          <w:tcPr/>
          <w:p>
            <w:pPr>
              <w:pStyle w:val="Compact"/>
            </w:pPr>
            <w:r>
              <w:rPr>
                <w:rFonts w:ascii="Calibri" w:hAnsi="Calibri"/>
                <w:sz w:val="20"/>
              </w:rPr>
              <w:t xml:space="preserve">0,0</w:t>
            </w:r>
          </w:p>
        </w:tc>
      </w:tr>
      <w:tr>
        <w:tc>
          <w:tcPr/>
          <w:p>
            <w:pPr>
              <w:pStyle w:val="Compact"/>
            </w:pPr>
            <w:r>
              <w:rPr>
                <w:rFonts w:ascii="Calibri" w:hAnsi="Calibri"/>
                <w:b/>
                <w:bCs/>
                <w:sz w:val="20"/>
              </w:rPr>
              <w:t xml:space="preserve">Diferencia en la deuda neta</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+9,6</w:t>
            </w:r>
          </w:p>
        </w:tc>
      </w:tr>
    </w:tbl>
    <w:p>
      <w:pPr>
        <w:pStyle w:val="BodyText"/>
      </w:pPr>
      <w:r>
        <w:t xml:space="preserve">Las filas de 2024 no suman exactamente por redondeo. El exceso de nuestra deuda neta sobre la del FMI proviene del neteo incompleto de las tenencias intra-públicas, que compensa con creces la bruta menor y los pasivos menores.</w:t>
      </w:r>
    </w:p>
    <w:bookmarkEnd w:id="83"/>
    <w:bookmarkStart w:id="84" w:name="resultado-primario-y-otras-comparaciones"/>
    <w:p>
      <w:pPr>
        <w:pStyle w:val="Heading3"/>
      </w:pPr>
      <w:r>
        <w:t xml:space="preserve">5.8.3 Resultado primario y otras comparaciones</w:t>
      </w:r>
    </w:p>
    <w:p>
      <w:pPr>
        <w:pStyle w:val="FirstParagraph"/>
      </w:pPr>
      <w:r>
        <w:t xml:space="preserve">El FMI (2025, Table 3b) informa el resultado primario del gobierno federal sin las transferencias de utilidades del BCRA (0,9 % del PIB en 2023 y 0,0 % en 2024, nota 9). La comparación usa la medida anual comparable</w:t>
      </w:r>
      <w:r>
        <w:t xml:space="preserve"> </w:t>
      </w:r>
      <w:r>
        <w:rPr>
          <w:rStyle w:val="VerbatimChar"/>
        </w:rPr>
        <w:t xml:space="preserve">pb_pib</w:t>
      </w:r>
      <w:r>
        <w:t xml:space="preserve"> </w:t>
      </w:r>
      <w:r>
        <w:t xml:space="preserve">(suma de cuatro trimestres sobre PIB de cuatro trimestres, cierre de diciembre), no la</w:t>
      </w:r>
      <w:r>
        <w:t xml:space="preserve"> </w:t>
      </w:r>
      <w:r>
        <w:rPr>
          <w:rStyle w:val="VerbatimChar"/>
        </w:rPr>
        <w:t xml:space="preserve">pb_pib_trim</w:t>
      </w:r>
      <w:r>
        <w:t xml:space="preserve"> </w:t>
      </w:r>
      <w:r>
        <w:t xml:space="preserve">que entra al modelo.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Resultado primario (% PIB)</w:t>
            </w:r>
          </w:p>
        </w:tc>
        <w:tc>
          <w:tcPr/>
          <w:p>
            <w:pPr>
              <w:pStyle w:val="Compact"/>
            </w:pPr>
            <w:r>
              <w:rPr>
                <w:rFonts w:ascii="Calibri" w:hAnsi="Calibri"/>
                <w:sz w:val="20"/>
              </w:rPr>
              <w:t xml:space="preserve">2023</w:t>
            </w:r>
          </w:p>
        </w:tc>
        <w:tc>
          <w:tcPr/>
          <w:p>
            <w:pPr>
              <w:pStyle w:val="Compact"/>
            </w:pPr>
            <w:r>
              <w:rPr>
                <w:rFonts w:ascii="Calibri" w:hAnsi="Calibri"/>
                <w:sz w:val="20"/>
              </w:rPr>
              <w:t xml:space="preserve">2024</w:t>
            </w:r>
          </w:p>
        </w:tc>
      </w:tr>
      <w:tr>
        <w:tc>
          <w:tcPr/>
          <w:p>
            <w:pPr>
              <w:pStyle w:val="Compact"/>
            </w:pPr>
            <w:r>
              <w:rPr>
                <w:rFonts w:ascii="Calibri" w:hAnsi="Calibri"/>
                <w:sz w:val="20"/>
              </w:rPr>
              <w:t xml:space="preserve">Propio, con rentas (serie principal)</w:t>
            </w:r>
          </w:p>
        </w:tc>
        <w:tc>
          <w:tcPr/>
          <w:p>
            <w:pPr>
              <w:pStyle w:val="Compact"/>
            </w:pPr>
            <w:r>
              <w:rPr>
                <w:rFonts w:ascii="Calibri" w:hAnsi="Calibri"/>
                <w:sz w:val="20"/>
              </w:rPr>
              <w:t xml:space="preserve">−2,66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Propio, sin rentas (cota conservadora)</w:t>
            </w:r>
          </w:p>
        </w:tc>
        <w:tc>
          <w:tcPr/>
          <w:p>
            <w:pPr>
              <w:pStyle w:val="Compact"/>
            </w:pPr>
            <w:r>
              <w:rPr>
                <w:rFonts w:ascii="Calibri" w:hAnsi="Calibri"/>
                <w:sz w:val="20"/>
              </w:rPr>
              <w:t xml:space="preserve">−3,67</w:t>
            </w:r>
          </w:p>
        </w:tc>
        <w:tc>
          <w:tcPr/>
          <w:p>
            <w:pPr>
              <w:pStyle w:val="Compact"/>
            </w:pPr>
            <w:r>
              <w:rPr>
                <w:rFonts w:ascii="Calibri" w:hAnsi="Calibri"/>
                <w:sz w:val="20"/>
              </w:rPr>
              <w:t xml:space="preserve">1,01</w:t>
            </w:r>
          </w:p>
        </w:tc>
      </w:tr>
      <w:tr>
        <w:tc>
          <w:tcPr/>
          <w:p>
            <w:pPr>
              <w:pStyle w:val="Compact"/>
            </w:pPr>
            <w:r>
              <w:rPr>
                <w:rFonts w:ascii="Calibri" w:hAnsi="Calibri"/>
                <w:sz w:val="20"/>
              </w:rPr>
              <w:t xml:space="preserve">Propio con rentas menos transferencia BCRA del FMI</w:t>
            </w:r>
          </w:p>
        </w:tc>
        <w:tc>
          <w:tcPr/>
          <w:p>
            <w:pPr>
              <w:pStyle w:val="Compact"/>
            </w:pPr>
            <w:r>
              <w:rPr>
                <w:rFonts w:ascii="Calibri" w:hAnsi="Calibri"/>
                <w:sz w:val="20"/>
              </w:rPr>
              <w:t xml:space="preserve">−3,56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Serie anterior (tabla escrita a mano)</w:t>
            </w:r>
          </w:p>
        </w:tc>
        <w:tc>
          <w:tcPr/>
          <w:p>
            <w:pPr>
              <w:pStyle w:val="Compact"/>
            </w:pPr>
            <w:r>
              <w:rPr>
                <w:rFonts w:ascii="Calibri" w:hAnsi="Calibri"/>
                <w:sz w:val="20"/>
              </w:rPr>
              <w:t xml:space="preserve">−2,90</w:t>
            </w:r>
          </w:p>
        </w:tc>
        <w:tc>
          <w:tcPr/>
          <w:p>
            <w:pPr>
              <w:pStyle w:val="Compact"/>
            </w:pPr>
            <w:r>
              <w:rPr>
                <w:rFonts w:ascii="Calibri" w:hAnsi="Calibri"/>
                <w:sz w:val="20"/>
              </w:rPr>
              <w:t xml:space="preserve">1,40</w:t>
            </w:r>
          </w:p>
        </w:tc>
      </w:tr>
      <w:tr>
        <w:tc>
          <w:tcPr/>
          <w:p>
            <w:pPr>
              <w:pStyle w:val="Compact"/>
            </w:pPr>
            <w:r>
              <w:rPr>
                <w:rFonts w:ascii="Calibri" w:hAnsi="Calibri"/>
                <w:sz w:val="20"/>
              </w:rPr>
              <w:t xml:space="preserve">FMI (2025), gobierno federal sin transferencias del BCRA</w:t>
            </w:r>
          </w:p>
        </w:tc>
        <w:tc>
          <w:tcPr/>
          <w:p>
            <w:pPr>
              <w:pStyle w:val="Compact"/>
            </w:pPr>
            <w:r>
              <w:rPr>
                <w:rFonts w:ascii="Calibri" w:hAnsi="Calibri"/>
                <w:sz w:val="20"/>
              </w:rPr>
              <w:t xml:space="preserve">−2,8</w:t>
            </w:r>
          </w:p>
        </w:tc>
        <w:tc>
          <w:tcPr/>
          <w:p>
            <w:pPr>
              <w:pStyle w:val="Compact"/>
            </w:pPr>
            <w:r>
              <w:rPr>
                <w:rFonts w:ascii="Calibri" w:hAnsi="Calibri"/>
                <w:sz w:val="20"/>
              </w:rPr>
              <w:t xml:space="preserve">1,8</w:t>
            </w:r>
          </w:p>
        </w:tc>
      </w:tr>
    </w:tbl>
    <w:p>
      <w:pPr>
        <w:pStyle w:val="BodyText"/>
      </w:pPr>
      <w:r>
        <w:t xml:space="preserve">Fuente:</w:t>
      </w:r>
      <w:r>
        <w:t xml:space="preserve"> </w:t>
      </w:r>
      <w:r>
        <w:rPr>
          <w:rStyle w:val="VerbatimChar"/>
        </w:rPr>
        <w:t xml:space="preserve">datos/procesados/resultado_primario_1996_2025_control.csv</w:t>
      </w:r>
      <w:r>
        <w:t xml:space="preserve">. La serie propia con rentas queda a 0,14 puntos del FMI en 2023 y a 0,02 en 2024, y los signos coinciden. Esa cercanía debe leerse con cuidado: el agregado propio es el sector público nacional con todas las rentas, y el del FMI es el gobierno federal sin las transferencias del BCRA, de modo que parte de la coincidencia puede ser casual. En 2023, descontando la transferencia del BCRA que informa el FMI, la serie propia daría −3,56, a 0,76 puntos de la cifra del FMI. La serie propia ya no es una tabla escrita a mano, pero el control contra el FMI sigue siendo de orden de magnitud por el cambio de perímetro y por los quiebres de metodología de 2006/2007 y 2014/2015 (sección 5.4).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Propio</w:t>
            </w:r>
          </w:p>
        </w:tc>
        <w:tc>
          <w:tcPr/>
          <w:p>
            <w:pPr>
              <w:pStyle w:val="Compact"/>
            </w:pPr>
            <w:r>
              <w:rPr>
                <w:rFonts w:ascii="Calibri" w:hAnsi="Calibri"/>
                <w:sz w:val="20"/>
              </w:rPr>
              <w:t xml:space="preserve">Contraste</w:t>
            </w:r>
          </w:p>
        </w:tc>
        <w:tc>
          <w:tcPr/>
          <w:p>
            <w:pPr>
              <w:pStyle w:val="Compact"/>
            </w:pPr>
            <w:r>
              <w:rPr>
                <w:rFonts w:ascii="Calibri" w:hAnsi="Calibri"/>
                <w:sz w:val="20"/>
              </w:rPr>
              <w:t xml:space="preserve">Fuente del contraste</w:t>
            </w:r>
          </w:p>
        </w:tc>
      </w:tr>
      <w:tr>
        <w:tc>
          <w:tcPr/>
          <w:p>
            <w:pPr>
              <w:pStyle w:val="Compact"/>
            </w:pPr>
            <w:r>
              <w:rPr>
                <w:rFonts w:ascii="Calibri" w:hAnsi="Calibri"/>
                <w:sz w:val="20"/>
              </w:rPr>
              <w:t xml:space="preserve">Crecimiento real del PIB 2023 (media anual del índice)</w:t>
            </w:r>
          </w:p>
        </w:tc>
        <w:tc>
          <w:tcPr/>
          <w:p>
            <w:pPr>
              <w:pStyle w:val="Compact"/>
            </w:pPr>
            <w:r>
              <w:rPr>
                <w:rFonts w:ascii="Calibri" w:hAnsi="Calibri"/>
                <w:sz w:val="20"/>
              </w:rPr>
              <w:t xml:space="preserve">−1,9 %</w:t>
            </w:r>
          </w:p>
        </w:tc>
        <w:tc>
          <w:tcPr/>
          <w:p>
            <w:pPr>
              <w:pStyle w:val="Compact"/>
            </w:pPr>
            <w:r>
              <w:rPr>
                <w:rFonts w:ascii="Calibri" w:hAnsi="Calibri"/>
                <w:sz w:val="20"/>
              </w:rPr>
              <w:t xml:space="preserve">−1,6 %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Crecimiento real del PIB 2024</w:t>
            </w:r>
          </w:p>
        </w:tc>
        <w:tc>
          <w:tcPr/>
          <w:p>
            <w:pPr>
              <w:pStyle w:val="Compact"/>
            </w:pPr>
            <w:r>
              <w:rPr>
                <w:rFonts w:ascii="Calibri" w:hAnsi="Calibri"/>
                <w:sz w:val="20"/>
              </w:rPr>
              <w:t xml:space="preserve">−1,4 %</w:t>
            </w:r>
          </w:p>
        </w:tc>
        <w:tc>
          <w:tcPr/>
          <w:p>
            <w:pPr>
              <w:pStyle w:val="Compact"/>
            </w:pPr>
            <w:r>
              <w:rPr>
                <w:rFonts w:ascii="Calibri" w:hAnsi="Calibri"/>
                <w:sz w:val="20"/>
              </w:rPr>
              <w:t xml:space="preserve">−1,7 %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Cociente USD/ARS al 31/12/2023</w:t>
            </w:r>
          </w:p>
        </w:tc>
        <w:tc>
          <w:tcPr/>
          <w:p>
            <w:pPr>
              <w:pStyle w:val="Compact"/>
            </w:pPr>
            <w:r>
              <w:rPr>
                <w:rFonts w:ascii="Calibri" w:hAnsi="Calibri"/>
                <w:sz w:val="20"/>
              </w:rPr>
              <w:t xml:space="preserve">808,45</w:t>
            </w:r>
          </w:p>
        </w:tc>
        <w:tc>
          <w:tcPr/>
          <w:p>
            <w:pPr>
              <w:pStyle w:val="Compact"/>
            </w:pPr>
            <w:r>
              <w:rPr>
                <w:rFonts w:ascii="Calibri" w:hAnsi="Calibri"/>
                <w:sz w:val="20"/>
              </w:rPr>
              <w:t xml:space="preserve">808,45</w:t>
            </w:r>
          </w:p>
        </w:tc>
        <w:tc>
          <w:tcPr/>
          <w:p>
            <w:pPr>
              <w:pStyle w:val="Compact"/>
            </w:pPr>
            <w:r>
              <w:rPr>
                <w:rFonts w:ascii="Calibri" w:hAnsi="Calibri"/>
                <w:sz w:val="20"/>
              </w:rPr>
              <w:t xml:space="preserve">MECON, hoja A.1.1 (informe 2023)</w:t>
            </w:r>
          </w:p>
        </w:tc>
      </w:tr>
      <w:tr>
        <w:tc>
          <w:tcPr/>
          <w:p>
            <w:pPr>
              <w:pStyle w:val="Compact"/>
            </w:pPr>
            <w:r>
              <w:rPr>
                <w:rFonts w:ascii="Calibri" w:hAnsi="Calibri"/>
                <w:sz w:val="20"/>
              </w:rPr>
              <w:t xml:space="preserve">Pasivos del BCRA 2023, con PIB anualizado del cuarto trimestre</w:t>
            </w:r>
          </w:p>
        </w:tc>
        <w:tc>
          <w:tcPr/>
          <w:p>
            <w:pPr>
              <w:pStyle w:val="Compact"/>
            </w:pPr>
            <w:r>
              <w:rPr>
                <w:rFonts w:ascii="Calibri" w:hAnsi="Calibri"/>
                <w:sz w:val="20"/>
              </w:rPr>
              <w:t xml:space="preserve">9,05 %</w:t>
            </w:r>
          </w:p>
        </w:tc>
        <w:tc>
          <w:tcPr/>
          <w:p>
            <w:pPr>
              <w:pStyle w:val="Compact"/>
            </w:pPr>
            <w:r>
              <w:rPr>
                <w:rFonts w:ascii="Calibri" w:hAnsi="Calibri"/>
                <w:sz w:val="20"/>
              </w:rPr>
              <w:t xml:space="preserve">13,3 % con el denominador adoptado</w:t>
            </w:r>
          </w:p>
        </w:tc>
        <w:tc>
          <w:tcPr/>
          <w:p>
            <w:pPr>
              <w:pStyle w:val="Compact"/>
            </w:pPr>
            <w:r>
              <w:rPr>
                <w:rStyle w:val="VerbatimChar"/>
                <w:rFonts w:ascii="Calibri" w:hAnsi="Calibri"/>
                <w:sz w:val="20"/>
              </w:rPr>
              <w:t xml:space="preserve">deuda_consolidada_1996_2025_control_fmi.csv</w:t>
            </w:r>
          </w:p>
        </w:tc>
      </w:tr>
    </w:tbl>
    <w:p>
      <w:pPr>
        <w:pStyle w:val="BodyText"/>
      </w:pPr>
      <w:r>
        <w:t xml:space="preserve">Las diferencias de crecimiento (0,3 puntos) son compatibles con revisiones de INDEC posteriores al informe del FMI. Ambos años pertenecen al tramo con base 2004 directa, de modo que el empalme de 1996-2003 no interviene.</w:t>
      </w:r>
    </w:p>
    <w:bookmarkEnd w:id="84"/>
    <w:bookmarkStart w:id="85" w:name="X33a369f85777ae1b8f66c2d89b242fbe0bb8662"/>
    <w:p>
      <w:pPr>
        <w:pStyle w:val="Heading3"/>
      </w:pPr>
      <w:r>
        <w:t xml:space="preserve">5.8.4 Control del T_BCRA contra el stock nominal del MECON</w:t>
      </w:r>
    </w:p>
    <w:p>
      <w:pPr>
        <w:pStyle w:val="FirstParagraph"/>
      </w:pPr>
      <w:r>
        <w:t xml:space="preserve">El Informe de Deuda del MECON publica, en la hoja A.1.9, el valor nominal de las Letras adquiridas por el BCRA (en miles de dólares). Es el insumo de la serie nominal de 5.3.4.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31/12/2023</w:t>
            </w:r>
          </w:p>
        </w:tc>
        <w:tc>
          <w:tcPr/>
          <w:p>
            <w:pPr>
              <w:pStyle w:val="Compact"/>
            </w:pPr>
            <w:r>
              <w:rPr>
                <w:rFonts w:ascii="Calibri" w:hAnsi="Calibri"/>
                <w:sz w:val="20"/>
              </w:rPr>
              <w:t xml:space="preserve">31/12/2024</w:t>
            </w:r>
          </w:p>
        </w:tc>
      </w:tr>
      <w:tr>
        <w:tc>
          <w:tcPr/>
          <w:p>
            <w:pPr>
              <w:pStyle w:val="Compact"/>
            </w:pPr>
            <w:r>
              <w:rPr>
                <w:rFonts w:ascii="Calibri" w:hAnsi="Calibri"/>
                <w:sz w:val="20"/>
              </w:rPr>
              <w:t xml:space="preserve">Letras Intransferibles, nominal MECON (miles de millones de USD)</w:t>
            </w:r>
          </w:p>
        </w:tc>
        <w:tc>
          <w:tcPr/>
          <w:p>
            <w:pPr>
              <w:pStyle w:val="Compact"/>
            </w:pPr>
            <w:r>
              <w:rPr>
                <w:rFonts w:ascii="Calibri" w:hAnsi="Calibri"/>
                <w:sz w:val="20"/>
              </w:rPr>
              <w:t xml:space="preserve">67,2</w:t>
            </w:r>
          </w:p>
        </w:tc>
        <w:tc>
          <w:tcPr/>
          <w:p>
            <w:pPr>
              <w:pStyle w:val="Compact"/>
            </w:pPr>
            <w:r>
              <w:rPr>
                <w:rFonts w:ascii="Calibri" w:hAnsi="Calibri"/>
                <w:sz w:val="20"/>
              </w:rPr>
              <w:t xml:space="preserve">69,3</w:t>
            </w:r>
          </w:p>
        </w:tc>
      </w:tr>
      <w:tr>
        <w:tc>
          <w:tcPr/>
          <w:p>
            <w:pPr>
              <w:pStyle w:val="Compact"/>
            </w:pPr>
            <w:r>
              <w:rPr>
                <w:rFonts w:ascii="Calibri" w:hAnsi="Calibri"/>
                <w:sz w:val="20"/>
              </w:rPr>
              <w:t xml:space="preserve">Tenencia del BCRA en moneda extranjera, valor contable (miles de millones de USD)</w:t>
            </w:r>
          </w:p>
        </w:tc>
        <w:tc>
          <w:tcPr/>
          <w:p>
            <w:pPr>
              <w:pStyle w:val="Compact"/>
            </w:pPr>
            <w:r>
              <w:rPr>
                <w:rFonts w:ascii="Calibri" w:hAnsi="Calibri"/>
                <w:sz w:val="20"/>
              </w:rPr>
              <w:t xml:space="preserve">89,2</w:t>
            </w:r>
          </w:p>
        </w:tc>
        <w:tc>
          <w:tcPr/>
          <w:p>
            <w:pPr>
              <w:pStyle w:val="Compact"/>
            </w:pPr>
            <w:r>
              <w:rPr>
                <w:rFonts w:ascii="Calibri" w:hAnsi="Calibri"/>
                <w:sz w:val="20"/>
              </w:rPr>
              <w:t xml:space="preserve">28,6</w:t>
            </w:r>
          </w:p>
        </w:tc>
      </w:tr>
      <w:tr>
        <w:tc>
          <w:tcPr/>
          <w:p>
            <w:pPr>
              <w:pStyle w:val="Compact"/>
            </w:pPr>
            <w:r>
              <w:rPr>
                <w:rFonts w:ascii="Calibri" w:hAnsi="Calibri"/>
                <w:sz w:val="20"/>
              </w:rPr>
              <w:t xml:space="preserve">Tenencia del BCRA, % del PIB: valor de libros</w:t>
            </w:r>
          </w:p>
        </w:tc>
        <w:tc>
          <w:tcPr/>
          <w:p>
            <w:pPr>
              <w:pStyle w:val="Compact"/>
            </w:pPr>
            <w:r>
              <w:rPr>
                <w:rFonts w:ascii="Calibri" w:hAnsi="Calibri"/>
                <w:sz w:val="20"/>
              </w:rPr>
              <w:t xml:space="preserve">48,6</w:t>
            </w:r>
          </w:p>
        </w:tc>
        <w:tc>
          <w:tcPr/>
          <w:p>
            <w:pPr>
              <w:pStyle w:val="Compact"/>
            </w:pPr>
            <w:r>
              <w:rPr>
                <w:rFonts w:ascii="Calibri" w:hAnsi="Calibri"/>
                <w:sz w:val="20"/>
              </w:rPr>
              <w:t xml:space="preserve">13,2</w:t>
            </w:r>
          </w:p>
        </w:tc>
      </w:tr>
      <w:tr>
        <w:tc>
          <w:tcPr/>
          <w:p>
            <w:pPr>
              <w:pStyle w:val="Compact"/>
            </w:pPr>
            <w:r>
              <w:rPr>
                <w:rFonts w:ascii="Calibri" w:hAnsi="Calibri"/>
                <w:sz w:val="20"/>
              </w:rPr>
              <w:t xml:space="preserve">Tenencia del BCRA, % del PIB: nominal piso</w:t>
            </w:r>
          </w:p>
        </w:tc>
        <w:tc>
          <w:tcPr/>
          <w:p>
            <w:pPr>
              <w:pStyle w:val="Compact"/>
            </w:pPr>
            <w:r>
              <w:rPr>
                <w:rFonts w:ascii="Calibri" w:hAnsi="Calibri"/>
                <w:sz w:val="20"/>
              </w:rPr>
              <w:t xml:space="preserve">48,6</w:t>
            </w:r>
          </w:p>
        </w:tc>
        <w:tc>
          <w:tcPr/>
          <w:p>
            <w:pPr>
              <w:pStyle w:val="Compact"/>
            </w:pPr>
            <w:r>
              <w:rPr>
                <w:rFonts w:ascii="Calibri" w:hAnsi="Calibri"/>
                <w:sz w:val="20"/>
              </w:rPr>
              <w:t xml:space="preserve">20,4</w:t>
            </w:r>
          </w:p>
        </w:tc>
      </w:tr>
    </w:tbl>
    <w:p>
      <w:pPr>
        <w:pStyle w:val="BodyText"/>
      </w:pPr>
      <w:r>
        <w:t xml:space="preserve">En 2023 la columna contable de moneda extranjera incluye otros créditos en dólares, por lo que supera al nominal de las Letras, y el piso conserva el valor de libros. Es la razón de que la variante estricta empeore 2023 (128,2). En 2024 el nominal de las Letras supera en 40,7 mil millones de USD a toda la tenencia en moneda extranjera que registra el Balance, y la tenencia sube 7,2 puntos del PIB. Eso confirma que el valor contable subestima la tenencia en 2024.</w:t>
      </w:r>
    </w:p>
    <w:bookmarkEnd w:id="85"/>
    <w:bookmarkEnd w:id="86"/>
    <w:bookmarkStart w:id="91" w:name="X53893ea74fc765be5bc0650fe40c4402adf70cb"/>
    <w:p>
      <w:pPr>
        <w:pStyle w:val="Heading2"/>
      </w:pPr>
      <w:r>
        <w:t xml:space="preserve">5.9 La diferencia con el FGS-ANSES y otras limitaciones de la deuda neta</w:t>
      </w:r>
    </w:p>
    <w:bookmarkStart w:id="87" w:name="dos-conceptos-distintos"/>
    <w:p>
      <w:pPr>
        <w:pStyle w:val="Heading3"/>
      </w:pPr>
      <w:r>
        <w:t xml:space="preserve">5.9.1 Dos conceptos distintos</w:t>
      </w:r>
    </w:p>
    <w:p>
      <w:pPr>
        <w:pStyle w:val="FirstParagraph"/>
      </w:pPr>
      <w:r>
        <w:t xml:space="preserve">La consolidación con el banco central (FMI, 2021) y la exclusión de las tenencias intra-públicas son operaciones distintas.</w:t>
      </w:r>
    </w:p>
    <w:p>
      <w:pPr>
        <w:pStyle w:val="Compact"/>
        <w:numPr>
          <w:ilvl w:val="0"/>
          <w:numId w:val="1014"/>
        </w:numPr>
      </w:pPr>
      <w:r>
        <w:rPr>
          <w:b/>
          <w:bCs/>
        </w:rPr>
        <w:t xml:space="preserve">Consolidación con el banco central.</w:t>
      </w:r>
      <w:r>
        <w:t xml:space="preserve"> </w:t>
      </w:r>
      <w:r>
        <w:t xml:space="preserve">Se netean los créditos del BCRA contra el Tesoro y se suman los pasivos de deuda del BCRA. Cambia el perímetro hacia el sector público ampliado con el banco central. Es lo que implementa la serie de esta tesis.</w:t>
      </w:r>
    </w:p>
    <w:p>
      <w:pPr>
        <w:pStyle w:val="Compact"/>
        <w:numPr>
          <w:ilvl w:val="0"/>
          <w:numId w:val="1014"/>
        </w:numPr>
      </w:pPr>
      <w:r>
        <w:rPr>
          <w:b/>
          <w:bCs/>
        </w:rPr>
        <w:t xml:space="preserve">Exclusión de tenencias intra-públicas.</w:t>
      </w:r>
      <w:r>
        <w:t xml:space="preserve"> </w:t>
      </w:r>
      <w:r>
        <w:t xml:space="preserve">Se resta de la deuda del Tesoro la parte cuyo acreedor es otra entidad pública (el FGS-ANSES, organismos de la seguridad social, bancos públicos). El FMI (2025, Annex II, Table 2) lo aplica en la línea 3,</w:t>
      </w:r>
      <w:r>
        <w:t xml:space="preserve"> </w:t>
      </w:r>
      <w:r>
        <w:t xml:space="preserve">“Deuda del Tesoro intra-sector público (BCRA y FGS)”</w:t>
      </w:r>
      <w:r>
        <w:t xml:space="preserve">.</w:t>
      </w:r>
    </w:p>
    <w:p>
      <w:pPr>
        <w:pStyle w:val="FirstParagraph"/>
      </w:pPr>
      <w:r>
        <w:t xml:space="preserve">Nuestra serie netea el BCRA, ahora a valor nominal, pero</w:t>
      </w:r>
      <w:r>
        <w:t xml:space="preserve"> </w:t>
      </w:r>
      <w:r>
        <w:rPr>
          <w:b/>
          <w:bCs/>
        </w:rPr>
        <w:t xml:space="preserve">no netea las tenencias del FGS-ANSES ni las de otros tenedores públicos</w:t>
      </w:r>
      <w:r>
        <w:t xml:space="preserve">. No se trata de una omisión por criterio, sino de falta de datos.</w:t>
      </w:r>
    </w:p>
    <w:bookmarkEnd w:id="87"/>
    <w:bookmarkStart w:id="88" w:name="por-qué-no-se-pudo-incluir"/>
    <w:p>
      <w:pPr>
        <w:pStyle w:val="Heading3"/>
      </w:pPr>
      <w:r>
        <w:t xml:space="preserve">5.9.2 Por qué no se pudo incluir</w:t>
      </w:r>
    </w:p>
    <w:p>
      <w:pPr>
        <w:pStyle w:val="FirstParagraph"/>
      </w:pPr>
      <w:r>
        <w:t xml:space="preserve">La serie de tenencias del FGS se publica en el Informe Estadístico Mensual y en los Anuarios del FGS de ANSES. El sitio de ANSES bloquea las descargas automatizadas con una protección anti-bot (HTTP 403). Los archivos guardados como</w:t>
      </w:r>
      <w:r>
        <w:t xml:space="preserve"> </w:t>
      </w:r>
      <w:r>
        <w:rPr>
          <w:rStyle w:val="VerbatimChar"/>
        </w:rPr>
        <w:t xml:space="preserve">datos/crudos/deuda_consolidada_neta/fgs_anuario2024.pdf</w:t>
      </w:r>
      <w:r>
        <w:t xml:space="preserve"> </w:t>
      </w:r>
      <w:r>
        <w:t xml:space="preserve">y</w:t>
      </w:r>
      <w:r>
        <w:t xml:space="preserve"> </w:t>
      </w:r>
      <w:r>
        <w:rPr>
          <w:rStyle w:val="VerbatimChar"/>
        </w:rPr>
        <w:t xml:space="preserve">p.html</w:t>
      </w:r>
      <w:r>
        <w:t xml:space="preserve"> </w:t>
      </w:r>
      <w:r>
        <w:t xml:space="preserve">son páginas HTML de bloqueo de 880 bytes, no el documento. Ninguna cifra del FGS está en los CSV (</w:t>
      </w:r>
      <w:r>
        <w:rPr>
          <w:rStyle w:val="VerbatimChar"/>
        </w:rPr>
        <w:t xml:space="preserve">tenencia_fgs_tesoro_pib</w:t>
      </w:r>
      <w:r>
        <w:t xml:space="preserve"> </w:t>
      </w:r>
      <w:r>
        <w:t xml:space="preserve">es vacía en las 120 filas,</w:t>
      </w:r>
      <w:r>
        <w:t xml:space="preserve"> </w:t>
      </w:r>
      <w:r>
        <w:rPr>
          <w:rStyle w:val="VerbatimChar"/>
        </w:rPr>
        <w:t xml:space="preserve">flag_fgs_faltante = 1</w:t>
      </w:r>
      <w:r>
        <w:t xml:space="preserve">). El MECON no ofrece una apertura trimestral por tenedor sectorial (la hoja A.4.5 clasifica por residencia), y el FMI da las tenencias solo para 2023-2026. Aproximar con una cifra no verificada violaría la regla de no fabricar datos.</w:t>
      </w:r>
    </w:p>
    <w:bookmarkEnd w:id="88"/>
    <w:bookmarkStart w:id="89" w:name="magnitud-y-dirección-del-sesgo"/>
    <w:p>
      <w:pPr>
        <w:pStyle w:val="Heading3"/>
      </w:pPr>
      <w:r>
        <w:t xml:space="preserve">5.9.3 Magnitud y dirección del sesgo</w:t>
      </w:r>
    </w:p>
    <w:p>
      <w:pPr>
        <w:pStyle w:val="Compact"/>
        <w:numPr>
          <w:ilvl w:val="0"/>
          <w:numId w:val="1015"/>
        </w:numPr>
      </w:pPr>
      <w:r>
        <w:rPr>
          <w:b/>
          <w:bCs/>
        </w:rPr>
        <w:t xml:space="preserve">Brecha 2023 y 2024.</w:t>
      </w:r>
      <w:r>
        <w:t xml:space="preserve"> </w:t>
      </w:r>
      <w:r>
        <w:t xml:space="preserve">El FMI resta 62,5 puntos del PIB en 2023 y 33,9 en 2024 por tenencias del BCRA y del FGS. Nosotros restamos 48,6 y 20,4 (solo BCRA, nominal). La diferencia es 13,9 y 13,5 puntos, y se traslada a la deuda neta: nuestra serie está por encima de la del FMI en 8,2 y 9,6 puntos (tabla 5.8.2), una vez compensadas las diferencias menores de bruta y pasivos.</w:t>
      </w:r>
    </w:p>
    <w:p>
      <w:pPr>
        <w:pStyle w:val="Compact"/>
        <w:numPr>
          <w:ilvl w:val="0"/>
          <w:numId w:val="1015"/>
        </w:numPr>
      </w:pPr>
      <w:r>
        <w:rPr>
          <w:b/>
          <w:bCs/>
        </w:rPr>
        <w:t xml:space="preserve">Qué parte es valuación.</w:t>
      </w:r>
      <w:r>
        <w:t xml:space="preserve"> </w:t>
      </w:r>
      <w:r>
        <w:t xml:space="preserve">Con la tenencia del BCRA a valor nominal, la valuación deja de ser una fuente de brecha en 2024: la brecha de la neta pasa de 16,8 a 9,6 puntos. Lo que resta (13,9 puntos en 2023 y 13,5 en 2024 en la línea 3) es un residuo que incluye al FGS, a otros tenedores públicos y a diferencias de cobertura.</w:t>
      </w:r>
      <w:r>
        <w:t xml:space="preserve"> </w:t>
      </w:r>
      <w:r>
        <w:rPr>
          <w:b/>
          <w:bCs/>
        </w:rPr>
        <w:t xml:space="preserve">No se puede asignar entre ellos con los datos disponibles.</w:t>
      </w:r>
      <w:r>
        <w:t xml:space="preserve"> </w:t>
      </w:r>
      <w:r>
        <w:t xml:space="preserve">La estabilidad de ese residuo entre 2023 y 2024 (13,9 y 13,5) es compatible con un componente de nivel relativamente constante, aunque con dos observaciones no es una prueba.</w:t>
      </w:r>
    </w:p>
    <w:p>
      <w:pPr>
        <w:pStyle w:val="Compact"/>
        <w:numPr>
          <w:ilvl w:val="0"/>
          <w:numId w:val="1015"/>
        </w:numPr>
      </w:pPr>
      <w:r>
        <w:rPr>
          <w:b/>
          <w:bCs/>
        </w:rPr>
        <w:t xml:space="preserve">Desde cuándo.</w:t>
      </w:r>
      <w:r>
        <w:t xml:space="preserve"> </w:t>
      </w:r>
      <w:r>
        <w:t xml:space="preserve">El FGS se crea por el Decreto 897/2007, dictado el 12 de julio de 2007 y publicado el 13 de julio de 2007 en el Boletín Oficial (Poder Ejecutivo Nacional, 2007, según la base normativa de la AFIP). Su importancia creció tras la incorporación de los fondos de las AFJP en 2008 (Decreto 2103/2008). Por eso,</w:t>
      </w:r>
      <w:r>
        <w:t xml:space="preserve"> </w:t>
      </w:r>
      <w:r>
        <w:rPr>
          <w:b/>
          <w:bCs/>
        </w:rPr>
        <w:t xml:space="preserve">desde 2007T3 nuestra serie neta es una cota superior de la neta del FMI</w:t>
      </w:r>
      <w:r>
        <w:t xml:space="preserve">. Antes de esa fecha el FGS no existe como tenedor, y los 46 trimestres de 1996T1 a 2007T2 tienen todos los componentes (bandera</w:t>
      </w:r>
      <w:r>
        <w:t xml:space="preserve"> </w:t>
      </w:r>
      <w:r>
        <w:rPr>
          <w:rStyle w:val="VerbatimChar"/>
        </w:rPr>
        <w:t xml:space="preserve">comparable_fmi = 1</w:t>
      </w:r>
      <w:r>
        <w:t xml:space="preserve">). Para ese tramo no hay cifra del FMI con la que contrastar.</w:t>
      </w:r>
    </w:p>
    <w:p>
      <w:pPr>
        <w:pStyle w:val="Compact"/>
        <w:numPr>
          <w:ilvl w:val="0"/>
          <w:numId w:val="1015"/>
        </w:numPr>
      </w:pPr>
      <w:r>
        <w:rPr>
          <w:b/>
          <w:bCs/>
        </w:rPr>
        <w:t xml:space="preserve">Otras fuentes de brecha y su signo.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Fuente</w:t>
            </w:r>
          </w:p>
        </w:tc>
        <w:tc>
          <w:tcPr/>
          <w:p>
            <w:pPr>
              <w:pStyle w:val="Compact"/>
            </w:pPr>
            <w:r>
              <w:rPr>
                <w:rFonts w:ascii="Calibri" w:hAnsi="Calibri"/>
                <w:sz w:val="20"/>
              </w:rPr>
              <w:t xml:space="preserve">Efecto sobre nuestra deuda neta</w:t>
            </w:r>
          </w:p>
        </w:tc>
      </w:tr>
      <w:tr>
        <w:tc>
          <w:tcPr/>
          <w:p>
            <w:pPr>
              <w:pStyle w:val="Compact"/>
            </w:pPr>
            <w:r>
              <w:rPr>
                <w:rFonts w:ascii="Calibri" w:hAnsi="Calibri"/>
                <w:sz w:val="20"/>
              </w:rPr>
              <w:t xml:space="preserve">FGS-ANSES y otros tenedores públicos sin netear</w:t>
            </w:r>
          </w:p>
        </w:tc>
        <w:tc>
          <w:tcPr/>
          <w:p>
            <w:pPr>
              <w:pStyle w:val="Compact"/>
            </w:pPr>
            <w:r>
              <w:rPr>
                <w:rFonts w:ascii="Calibri" w:hAnsi="Calibri"/>
                <w:sz w:val="20"/>
              </w:rPr>
              <w:t xml:space="preserve">Sobreestima</w:t>
            </w:r>
          </w:p>
        </w:tc>
      </w:tr>
      <w:tr>
        <w:tc>
          <w:tcPr/>
          <w:p>
            <w:pPr>
              <w:pStyle w:val="Compact"/>
            </w:pPr>
            <w:r>
              <w:rPr>
                <w:rFonts w:ascii="Calibri" w:hAnsi="Calibri"/>
                <w:sz w:val="20"/>
              </w:rPr>
              <w:t xml:space="preserve">Letras Intransferibles interpoladas o reconstruidas entre anclas (24 y 32 trimestres)</w:t>
            </w:r>
          </w:p>
        </w:tc>
        <w:tc>
          <w:tcPr/>
          <w:p>
            <w:pPr>
              <w:pStyle w:val="Compact"/>
            </w:pPr>
            <w:r>
              <w:rPr>
                <w:rFonts w:ascii="Calibri" w:hAnsi="Calibri"/>
                <w:sz w:val="20"/>
              </w:rPr>
              <w:t xml:space="preserve">Ruido sin signo definido</w:t>
            </w:r>
          </w:p>
        </w:tc>
      </w:tr>
      <w:tr>
        <w:tc>
          <w:tcPr/>
          <w:p>
            <w:pPr>
              <w:pStyle w:val="Compact"/>
            </w:pPr>
            <w:r>
              <w:rPr>
                <w:rFonts w:ascii="Calibri" w:hAnsi="Calibri"/>
                <w:sz w:val="20"/>
              </w:rPr>
              <w:t xml:space="preserve">Trimestres sin dato nominal (hasta 2005T4), con valor de libros</w:t>
            </w:r>
          </w:p>
        </w:tc>
        <w:tc>
          <w:tcPr/>
          <w:p>
            <w:pPr>
              <w:pStyle w:val="Compact"/>
            </w:pPr>
            <w:r>
              <w:rPr>
                <w:rFonts w:ascii="Calibri" w:hAnsi="Calibri"/>
                <w:sz w:val="20"/>
              </w:rPr>
              <w:t xml:space="preserve">Sin efecto relevante, las Letras no existían</w:t>
            </w:r>
          </w:p>
        </w:tc>
      </w:tr>
      <w:tr>
        <w:tc>
          <w:tcPr/>
          <w:p>
            <w:pPr>
              <w:pStyle w:val="Compact"/>
            </w:pPr>
            <w:r>
              <w:rPr>
                <w:rFonts w:ascii="Calibri" w:hAnsi="Calibri"/>
                <w:sz w:val="20"/>
              </w:rPr>
              <w:t xml:space="preserve">Swap con el PBoC activado omitido (desde 2020)</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Pases en neto, con trimestres negativos (2024T3-2025T1)</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Bruta del MECON excluye intereses capitalizados,</w:t>
            </w:r>
            <w:r>
              <w:rPr>
                <w:rFonts w:ascii="Calibri" w:hAnsi="Calibri"/>
                <w:sz w:val="20"/>
              </w:rPr>
              <w:t xml:space="preserve"> </w:t>
            </w:r>
            <w:r>
              <w:rPr>
                <w:rFonts w:ascii="Calibri" w:hAnsi="Calibri"/>
                <w:i/>
                <w:iCs/>
                <w:sz w:val="20"/>
              </w:rPr>
              <w:t xml:space="preserve">holdouts</w:t>
            </w:r>
            <w:r>
              <w:rPr>
                <w:rFonts w:ascii="Calibri" w:hAnsi="Calibri"/>
                <w:sz w:val="20"/>
              </w:rPr>
              <w:t xml:space="preserve"> </w:t>
            </w:r>
            <w:r>
              <w:rPr>
                <w:rFonts w:ascii="Calibri" w:hAnsi="Calibri"/>
                <w:sz w:val="20"/>
              </w:rPr>
              <w:t xml:space="preserve">y cupón PIB</w:t>
            </w:r>
          </w:p>
        </w:tc>
        <w:tc>
          <w:tcPr/>
          <w:p>
            <w:pPr>
              <w:pStyle w:val="Compact"/>
            </w:pPr>
            <w:r>
              <w:rPr>
                <w:rFonts w:ascii="Calibri" w:hAnsi="Calibri"/>
                <w:sz w:val="20"/>
              </w:rPr>
              <w:t xml:space="preserve">Subestima</w:t>
            </w:r>
          </w:p>
        </w:tc>
      </w:tr>
    </w:tbl>
    <w:p>
      <w:pPr>
        <w:pStyle w:val="BodyText"/>
      </w:pPr>
      <w:r>
        <w:t xml:space="preserve">El balance de las fuentes es una sobreestimación en 2023 y 2024 y probablemente en todo 2007-2025, de entre 8 y 10 puntos del PIB en esos dos años de control.</w:t>
      </w:r>
    </w:p>
    <w:bookmarkEnd w:id="89"/>
    <w:bookmarkStart w:id="90" w:name="cómo-se-trata-en-el-análisis"/>
    <w:p>
      <w:pPr>
        <w:pStyle w:val="Heading3"/>
      </w:pPr>
      <w:r>
        <w:t xml:space="preserve">5.9.4 Cómo se trata en el análisis</w:t>
      </w:r>
    </w:p>
    <w:p>
      <w:pPr>
        <w:pStyle w:val="FirstParagraph"/>
      </w:pPr>
      <w:r>
        <w:t xml:space="preserve">La serie se presenta como</w:t>
      </w:r>
      <w:r>
        <w:t xml:space="preserve"> </w:t>
      </w:r>
      <w:r>
        <w:rPr>
          <w:b/>
          <w:bCs/>
        </w:rPr>
        <w:t xml:space="preserve">deuda neta consolidada con el BCRA, a valor nominal, sin neteo del FGS</w:t>
      </w:r>
      <w:r>
        <w:t xml:space="preserve">, y no como</w:t>
      </w:r>
      <w:r>
        <w:t xml:space="preserve"> </w:t>
      </w:r>
      <w:r>
        <w:t xml:space="preserve">“la deuda neta del FMI”</w:t>
      </w:r>
      <w:r>
        <w:t xml:space="preserve">. En el modelo entra rezagada y cumple una función de retroalimentación, de modo que la corrección de nivel no cambia la dinámica si la brecha es aproximadamente estable. Con la valuación nominal la brecha pasa de 8,2 a 9,6 puntos entre 2023 y 2024, una variación de 1,4 puntos, frente a los 8,6 puntos (de 8,2 a 16,8) que tenía con valor de libros. La condición de brecha estable se cumple mucho mejor que antes. El sistema se estima además con la deuda neta a valor de libros y con la deuda bruta como series de contraste (</w:t>
      </w:r>
      <w:r>
        <w:rPr>
          <w:rStyle w:val="VerbatimChar"/>
        </w:rPr>
        <w:t xml:space="preserve">deuda_consolidada_neta_1996_2025.csv</w:t>
      </w:r>
      <w:r>
        <w:t xml:space="preserve"> </w:t>
      </w:r>
      <w:r>
        <w:t xml:space="preserve">y</w:t>
      </w:r>
      <w:r>
        <w:t xml:space="preserve"> </w:t>
      </w:r>
      <w:r>
        <w:rPr>
          <w:rStyle w:val="VerbatimChar"/>
        </w:rPr>
        <w:t xml:space="preserve">deuda_consolidada_1996_2025.csv</w:t>
      </w:r>
      <w:r>
        <w:t xml:space="preserve">), de modo que la conclusión pueda evaluarse con tres medidas. El cierre de la brecha restante exige dos insumos: las series de tenencias del FGS en ANSES (descarga manual) y el saldo del swap activado (estados contables del BCRA).</w:t>
      </w:r>
    </w:p>
    <w:bookmarkEnd w:id="90"/>
    <w:bookmarkEnd w:id="91"/>
    <w:bookmarkStart w:id="92" w:name="estadísticos-descriptivos"/>
    <w:p>
      <w:pPr>
        <w:pStyle w:val="Heading2"/>
      </w:pPr>
      <w:r>
        <w:t xml:space="preserve">5.10 Estadísticos descriptivos</w:t>
      </w:r>
    </w:p>
    <w:p>
      <w:pPr>
        <w:pStyle w:val="FirstParagraph"/>
      </w:pPr>
      <w:r>
        <w:t xml:space="preserve">Muestra 1996T1-2025T4 (120 trimestres). El crecimiento y la variación de la Fed pierden una observación por la primera diferencia; la muestra efectiva del sistema son 117 trimestres (1996T4-2025T4). Las variables del sistema de estimación son las filas 1, 6 y 8 a 12 (el resultado primario en su versión</w:t>
      </w:r>
      <w:r>
        <w:t xml:space="preserve"> </w:t>
      </w:r>
      <w:r>
        <w:rPr>
          <w:rStyle w:val="VerbatimChar"/>
        </w:rPr>
        <w:t xml:space="preserve">pb_pib_trim</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 est.</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c>
          <w:tcPr/>
          <w:p>
            <w:pPr>
              <w:pStyle w:val="Compact"/>
            </w:pPr>
            <w:r>
              <w:rPr>
                <w:rFonts w:ascii="Calibri" w:hAnsi="Calibri"/>
                <w:sz w:val="20"/>
              </w:rPr>
              <w:t xml:space="preserve">n</w:t>
            </w:r>
          </w:p>
        </w:tc>
      </w:tr>
      <w:tr>
        <w:tc>
          <w:tcPr/>
          <w:p>
            <w:pPr>
              <w:pStyle w:val="Compact"/>
            </w:pPr>
            <w:r>
              <w:rPr>
                <w:rFonts w:ascii="Calibri" w:hAnsi="Calibri"/>
                <w:sz w:val="20"/>
              </w:rPr>
              <w:t xml:space="preserve">Deuda consolidada neta, nominal piso (% PIB)</w:t>
            </w:r>
          </w:p>
        </w:tc>
        <w:tc>
          <w:tcPr/>
          <w:p>
            <w:pPr>
              <w:pStyle w:val="Compact"/>
            </w:pPr>
            <w:r>
              <w:rPr>
                <w:rFonts w:ascii="Calibri" w:hAnsi="Calibri"/>
                <w:sz w:val="20"/>
              </w:rPr>
              <w:t xml:space="preserve">55,97</w:t>
            </w:r>
          </w:p>
        </w:tc>
        <w:tc>
          <w:tcPr/>
          <w:p>
            <w:pPr>
              <w:pStyle w:val="Compact"/>
            </w:pPr>
            <w:r>
              <w:rPr>
                <w:rFonts w:ascii="Calibri" w:hAnsi="Calibri"/>
                <w:sz w:val="20"/>
              </w:rPr>
              <w:t xml:space="preserve">26,89</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consolidada neta, valor de libros (% PIB)</w:t>
            </w:r>
          </w:p>
        </w:tc>
        <w:tc>
          <w:tcPr/>
          <w:p>
            <w:pPr>
              <w:pStyle w:val="Compact"/>
            </w:pPr>
            <w:r>
              <w:rPr>
                <w:rFonts w:ascii="Calibri" w:hAnsi="Calibri"/>
                <w:sz w:val="20"/>
              </w:rPr>
              <w:t xml:space="preserve">56,55</w:t>
            </w:r>
          </w:p>
        </w:tc>
        <w:tc>
          <w:tcPr/>
          <w:p>
            <w:pPr>
              <w:pStyle w:val="Compact"/>
            </w:pPr>
            <w:r>
              <w:rPr>
                <w:rFonts w:ascii="Calibri" w:hAnsi="Calibri"/>
                <w:sz w:val="20"/>
              </w:rPr>
              <w:t xml:space="preserve">27,15</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federal bruta (% PIB)</w:t>
            </w:r>
          </w:p>
        </w:tc>
        <w:tc>
          <w:tcPr/>
          <w:p>
            <w:pPr>
              <w:pStyle w:val="Compact"/>
            </w:pPr>
            <w:r>
              <w:rPr>
                <w:rFonts w:ascii="Calibri" w:hAnsi="Calibri"/>
                <w:sz w:val="20"/>
              </w:rPr>
              <w:t xml:space="preserve">64,37</w:t>
            </w:r>
          </w:p>
        </w:tc>
        <w:tc>
          <w:tcPr/>
          <w:p>
            <w:pPr>
              <w:pStyle w:val="Compact"/>
            </w:pPr>
            <w:r>
              <w:rPr>
                <w:rFonts w:ascii="Calibri" w:hAnsi="Calibri"/>
                <w:sz w:val="20"/>
              </w:rPr>
              <w:t xml:space="preserve">31,45</w:t>
            </w:r>
          </w:p>
        </w:tc>
        <w:tc>
          <w:tcPr/>
          <w:p>
            <w:pPr>
              <w:pStyle w:val="Compact"/>
            </w:pPr>
            <w:r>
              <w:rPr>
                <w:rFonts w:ascii="Calibri" w:hAnsi="Calibri"/>
                <w:sz w:val="20"/>
              </w:rPr>
              <w:t xml:space="preserve">31,86</w:t>
            </w:r>
          </w:p>
        </w:tc>
        <w:tc>
          <w:tcPr/>
          <w:p>
            <w:pPr>
              <w:pStyle w:val="Compact"/>
            </w:pPr>
            <w:r>
              <w:rPr>
                <w:rFonts w:ascii="Calibri" w:hAnsi="Calibri"/>
                <w:sz w:val="20"/>
              </w:rPr>
              <w:t xml:space="preserve">154,59</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Tenencia del BCRA de deuda del Tesoro, nominal piso (% PIB)</w:t>
            </w:r>
          </w:p>
        </w:tc>
        <w:tc>
          <w:tcPr/>
          <w:p>
            <w:pPr>
              <w:pStyle w:val="Compact"/>
            </w:pPr>
            <w:r>
              <w:rPr>
                <w:rFonts w:ascii="Calibri" w:hAnsi="Calibri"/>
                <w:sz w:val="20"/>
              </w:rPr>
              <w:t xml:space="preserve">12,98</w:t>
            </w:r>
          </w:p>
        </w:tc>
        <w:tc>
          <w:tcPr/>
          <w:p>
            <w:pPr>
              <w:pStyle w:val="Compact"/>
            </w:pPr>
            <w:r>
              <w:rPr>
                <w:rFonts w:ascii="Calibri" w:hAnsi="Calibri"/>
                <w:sz w:val="20"/>
              </w:rPr>
              <w:t xml:space="preserve">8,07</w:t>
            </w:r>
          </w:p>
        </w:tc>
        <w:tc>
          <w:tcPr/>
          <w:p>
            <w:pPr>
              <w:pStyle w:val="Compact"/>
            </w:pPr>
            <w:r>
              <w:rPr>
                <w:rFonts w:ascii="Calibri" w:hAnsi="Calibri"/>
                <w:sz w:val="20"/>
              </w:rPr>
              <w:t xml:space="preserve">1,82</w:t>
            </w:r>
          </w:p>
        </w:tc>
        <w:tc>
          <w:tcPr/>
          <w:p>
            <w:pPr>
              <w:pStyle w:val="Compact"/>
            </w:pPr>
            <w:r>
              <w:rPr>
                <w:rFonts w:ascii="Calibri" w:hAnsi="Calibri"/>
                <w:sz w:val="20"/>
              </w:rPr>
              <w:t xml:space="preserve">48,57</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Pasivos remunerados del BCRA (% PIB)</w:t>
            </w:r>
          </w:p>
        </w:tc>
        <w:tc>
          <w:tcPr/>
          <w:p>
            <w:pPr>
              <w:pStyle w:val="Compact"/>
            </w:pPr>
            <w:r>
              <w:rPr>
                <w:rFonts w:ascii="Calibri" w:hAnsi="Calibri"/>
                <w:sz w:val="20"/>
              </w:rPr>
              <w:t xml:space="preserve">5,22</w:t>
            </w:r>
          </w:p>
        </w:tc>
        <w:tc>
          <w:tcPr/>
          <w:p>
            <w:pPr>
              <w:pStyle w:val="Compact"/>
            </w:pPr>
            <w:r>
              <w:rPr>
                <w:rFonts w:ascii="Calibri" w:hAnsi="Calibri"/>
                <w:sz w:val="20"/>
              </w:rPr>
              <w:t xml:space="preserve">3,53</w:t>
            </w:r>
          </w:p>
        </w:tc>
        <w:tc>
          <w:tcPr/>
          <w:p>
            <w:pPr>
              <w:pStyle w:val="Compact"/>
            </w:pPr>
            <w:r>
              <w:rPr>
                <w:rFonts w:ascii="Calibri" w:hAnsi="Calibri"/>
                <w:sz w:val="20"/>
              </w:rPr>
              <w:t xml:space="preserve">−2,29</w:t>
            </w:r>
          </w:p>
        </w:tc>
        <w:tc>
          <w:tcPr/>
          <w:p>
            <w:pPr>
              <w:pStyle w:val="Compact"/>
            </w:pPr>
            <w:r>
              <w:rPr>
                <w:rFonts w:ascii="Calibri" w:hAnsi="Calibri"/>
                <w:sz w:val="20"/>
              </w:rPr>
              <w:t xml:space="preserve">14,58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flujo trimestral anualizado,</w:t>
            </w:r>
            <w:r>
              <w:rPr>
                <w:rFonts w:ascii="Calibri" w:hAnsi="Calibri"/>
                <w:sz w:val="20"/>
              </w:rPr>
              <w:t xml:space="preserve"> </w:t>
            </w:r>
            <w:r>
              <w:rPr>
                <w:rStyle w:val="VerbatimChar"/>
                <w:rFonts w:ascii="Calibri" w:hAnsi="Calibri"/>
                <w:sz w:val="20"/>
              </w:rPr>
              <w:t xml:space="preserve">pb_pib_trim</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−0,02</w:t>
            </w:r>
          </w:p>
        </w:tc>
        <w:tc>
          <w:tcPr/>
          <w:p>
            <w:pPr>
              <w:pStyle w:val="Compact"/>
            </w:pPr>
            <w:r>
              <w:rPr>
                <w:rFonts w:ascii="Calibri" w:hAnsi="Calibri"/>
                <w:sz w:val="20"/>
              </w:rPr>
              <w:t xml:space="preserve">3,11</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suma de cuatro trimestres,</w:t>
            </w:r>
            <w:r>
              <w:rPr>
                <w:rFonts w:ascii="Calibri" w:hAnsi="Calibri"/>
                <w:sz w:val="20"/>
              </w:rPr>
              <w:t xml:space="preserve"> </w:t>
            </w:r>
            <w:r>
              <w:rPr>
                <w:rStyle w:val="VerbatimChar"/>
                <w:rFonts w:ascii="Calibri" w:hAnsi="Calibri"/>
                <w:sz w:val="20"/>
              </w:rPr>
              <w:t xml:space="preserve">pb_pib</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0,05</w:t>
            </w:r>
          </w:p>
        </w:tc>
        <w:tc>
          <w:tcPr/>
          <w:p>
            <w:pPr>
              <w:pStyle w:val="Compact"/>
            </w:pPr>
            <w:r>
              <w:rPr>
                <w:rFonts w:ascii="Calibri" w:hAnsi="Calibri"/>
                <w:sz w:val="20"/>
              </w:rPr>
              <w:t xml:space="preserve">2,34</w:t>
            </w:r>
          </w:p>
        </w:tc>
        <w:tc>
          <w:tcPr/>
          <w:p>
            <w:pPr>
              <w:pStyle w:val="Compact"/>
            </w:pPr>
            <w:r>
              <w:rPr>
                <w:rFonts w:ascii="Calibri" w:hAnsi="Calibri"/>
                <w:sz w:val="20"/>
              </w:rPr>
              <w:t xml:space="preserve">−6,43</w:t>
            </w:r>
          </w:p>
        </w:tc>
        <w:tc>
          <w:tcPr/>
          <w:p>
            <w:pPr>
              <w:pStyle w:val="Compact"/>
            </w:pPr>
            <w:r>
              <w:rPr>
                <w:rFonts w:ascii="Calibri" w:hAnsi="Calibri"/>
                <w:sz w:val="20"/>
              </w:rPr>
              <w:t xml:space="preserve">3,93</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Crecimiento real del PIB (pp trimestral, 100·Δln)</w:t>
            </w:r>
          </w:p>
        </w:tc>
        <w:tc>
          <w:tcPr/>
          <w:p>
            <w:pPr>
              <w:pStyle w:val="Compact"/>
            </w:pPr>
            <w:r>
              <w:rPr>
                <w:rFonts w:ascii="Calibri" w:hAnsi="Calibri"/>
                <w:sz w:val="20"/>
              </w:rPr>
              <w:t xml:space="preserve">0,48</w:t>
            </w:r>
          </w:p>
        </w:tc>
        <w:tc>
          <w:tcPr/>
          <w:p>
            <w:pPr>
              <w:pStyle w:val="Compact"/>
            </w:pPr>
            <w:r>
              <w:rPr>
                <w:rFonts w:ascii="Calibri" w:hAnsi="Calibri"/>
                <w:sz w:val="20"/>
              </w:rPr>
              <w:t xml:space="preserve">7,29</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EMBI+ (pb)</w:t>
            </w:r>
          </w:p>
        </w:tc>
        <w:tc>
          <w:tcPr/>
          <w:p>
            <w:pPr>
              <w:pStyle w:val="Compact"/>
            </w:pPr>
            <w:r>
              <w:rPr>
                <w:rFonts w:ascii="Calibri" w:hAnsi="Calibri"/>
                <w:sz w:val="20"/>
              </w:rPr>
              <w:t xml:space="preserve">1483,95</w:t>
            </w:r>
          </w:p>
        </w:tc>
        <w:tc>
          <w:tcPr/>
          <w:p>
            <w:pPr>
              <w:pStyle w:val="Compact"/>
            </w:pPr>
            <w:r>
              <w:rPr>
                <w:rFonts w:ascii="Calibri" w:hAnsi="Calibri"/>
                <w:sz w:val="20"/>
              </w:rPr>
              <w:t xml:space="preserve">1573,84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TCRM (dic. 2001 = 1)</w:t>
            </w:r>
          </w:p>
        </w:tc>
        <w:tc>
          <w:tcPr/>
          <w:p>
            <w:pPr>
              <w:pStyle w:val="Compact"/>
            </w:pPr>
            <w:r>
              <w:rPr>
                <w:rFonts w:ascii="Calibri" w:hAnsi="Calibri"/>
                <w:sz w:val="20"/>
              </w:rPr>
              <w:t xml:space="preserve">1,63</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Tasa de política de la Fed (%)</w:t>
            </w:r>
          </w:p>
        </w:tc>
        <w:tc>
          <w:tcPr/>
          <w:p>
            <w:pPr>
              <w:pStyle w:val="Compact"/>
            </w:pPr>
            <w:r>
              <w:rPr>
                <w:rFonts w:ascii="Calibri" w:hAnsi="Calibri"/>
                <w:sz w:val="20"/>
              </w:rPr>
              <w:t xml:space="preserve">2,08</w:t>
            </w:r>
          </w:p>
        </w:tc>
        <w:tc>
          <w:tcPr/>
          <w:p>
            <w:pPr>
              <w:pStyle w:val="Compact"/>
            </w:pPr>
            <w:r>
              <w:rPr>
                <w:rFonts w:ascii="Calibri" w:hAnsi="Calibri"/>
                <w:sz w:val="20"/>
              </w:rPr>
              <w:t xml:space="preserve">2,67</w:t>
            </w:r>
          </w:p>
        </w:tc>
        <w:tc>
          <w:tcPr/>
          <w:p>
            <w:pPr>
              <w:pStyle w:val="Compact"/>
            </w:pPr>
            <w:r>
              <w:rPr>
                <w:rFonts w:ascii="Calibri" w:hAnsi="Calibri"/>
                <w:sz w:val="20"/>
              </w:rPr>
              <w:t xml:space="preserve">−2,92</w:t>
            </w:r>
          </w:p>
        </w:tc>
        <w:tc>
          <w:tcPr/>
          <w:p>
            <w:pPr>
              <w:pStyle w:val="Compact"/>
            </w:pPr>
            <w:r>
              <w:rPr>
                <w:rFonts w:ascii="Calibri" w:hAnsi="Calibri"/>
                <w:sz w:val="20"/>
              </w:rPr>
              <w:t xml:space="preserve">6,52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Variación de la tasa de la Fed (pp)</w:t>
            </w:r>
          </w:p>
        </w:tc>
        <w:tc>
          <w:tcPr/>
          <w:p>
            <w:pPr>
              <w:pStyle w:val="Compact"/>
            </w:pPr>
            <w:r>
              <w:rPr>
                <w:rFonts w:ascii="Calibri" w:hAnsi="Calibri"/>
                <w:sz w:val="20"/>
              </w:rPr>
              <w:t xml:space="preserve">−0,01</w:t>
            </w:r>
          </w:p>
        </w:tc>
        <w:tc>
          <w:tcPr/>
          <w:p>
            <w:pPr>
              <w:pStyle w:val="Compact"/>
            </w:pPr>
            <w:r>
              <w:rPr>
                <w:rFonts w:ascii="Calibri" w:hAnsi="Calibri"/>
                <w:sz w:val="20"/>
              </w:rPr>
              <w:t xml:space="preserve">0,50</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VIX (puntos)</w:t>
            </w:r>
          </w:p>
        </w:tc>
        <w:tc>
          <w:tcPr/>
          <w:p>
            <w:pPr>
              <w:pStyle w:val="Compact"/>
            </w:pPr>
            <w:r>
              <w:rPr>
                <w:rFonts w:ascii="Calibri" w:hAnsi="Calibri"/>
                <w:sz w:val="20"/>
              </w:rPr>
              <w:t xml:space="preserve">20,15</w:t>
            </w:r>
          </w:p>
        </w:tc>
        <w:tc>
          <w:tcPr/>
          <w:p>
            <w:pPr>
              <w:pStyle w:val="Compact"/>
            </w:pPr>
            <w:r>
              <w:rPr>
                <w:rFonts w:ascii="Calibri" w:hAnsi="Calibri"/>
                <w:sz w:val="20"/>
              </w:rPr>
              <w:t xml:space="preserve">7,11</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c>
          <w:tcPr/>
          <w:p>
            <w:pPr>
              <w:pStyle w:val="Compact"/>
            </w:pPr>
            <w:r>
              <w:rPr>
                <w:rFonts w:ascii="Calibri" w:hAnsi="Calibri"/>
                <w:sz w:val="20"/>
              </w:rPr>
              <w:t xml:space="preserve">120</w:t>
            </w:r>
          </w:p>
        </w:tc>
      </w:tr>
    </w:tbl>
    <w:p>
      <w:pPr>
        <w:pStyle w:val="BodyText"/>
      </w:pPr>
      <w:r>
        <w:t xml:space="preserve">Fuente: cálculo propio sobre los CSV citados en 5.1. La desviación estándar es muestral (ddof = 1). Los depósitos del Tesoro en el BCRA tienen media de 0,64 % del PIB y desvío de 0,77, y no forman parte de las estadísticas del sistema. El resultado primario trimestral tiene un desvío mayor que el de la suma de cuatro trimestres por su estacionalidad (el mínimo, −12,16, ocurre en 2020T2 y el máximo, 7,02, en 2004T2). El crecimiento del PIB tiene un desvío alto porque la serie conserva la estacionalidad de INDEC y porque el tramo 1996-2003 contiene variaciones trimestrales de la crisis de 2001-2002 (mínimo en 2002T1, máximo en 2010T2). El máximo de la deuda neta ocurre en 2002T3 y el mínimo en 2013T3. El máximo del EMBI+ ocurre en 2002T3 y el mínimo en 2007T1.</w:t>
      </w:r>
    </w:p>
    <w:bookmarkEnd w:id="92"/>
    <w:bookmarkStart w:id="93" w:name="resumen-de-limitaciones-de-datos"/>
    <w:p>
      <w:pPr>
        <w:pStyle w:val="Heading2"/>
      </w:pPr>
      <w:r>
        <w:t xml:space="preserve">5.11 Resumen de limitaciones de datos</w:t>
      </w:r>
    </w:p>
    <w:p>
      <w:pPr>
        <w:pStyle w:val="Compact"/>
        <w:numPr>
          <w:ilvl w:val="0"/>
          <w:numId w:val="1016"/>
        </w:numPr>
      </w:pPr>
      <w:r>
        <w:rPr>
          <w:b/>
          <w:bCs/>
        </w:rPr>
        <w:t xml:space="preserve">Deuda neta sin FGS.</w:t>
      </w:r>
      <w:r>
        <w:t xml:space="preserve"> </w:t>
      </w:r>
      <w:r>
        <w:t xml:space="preserve">Cota superior de la neta del FMI desde 2007T3, con una brecha de 8,2 puntos en 2023 y 9,6 en 2024 (secciones 5.8 y 5.9).</w:t>
      </w:r>
    </w:p>
    <w:p>
      <w:pPr>
        <w:pStyle w:val="Compact"/>
        <w:numPr>
          <w:ilvl w:val="0"/>
          <w:numId w:val="1016"/>
        </w:numPr>
      </w:pPr>
      <w:r>
        <w:rPr>
          <w:b/>
          <w:bCs/>
        </w:rPr>
        <w:t xml:space="preserve">Resultado primario.</w:t>
      </w:r>
      <w:r>
        <w:t xml:space="preserve"> </w:t>
      </w:r>
      <w:r>
        <w:t xml:space="preserve">Incluye todas las rentas de la propiedad, entre ellas las utilidades del BCRA que la API no permite separar. Perímetro del sector público nacional, no del gobierno federal del FMI, y quiebres de metodología en 2006/2007 y 2014/2015 sin período de solapamiento.</w:t>
      </w:r>
    </w:p>
    <w:p>
      <w:pPr>
        <w:pStyle w:val="Compact"/>
        <w:numPr>
          <w:ilvl w:val="0"/>
          <w:numId w:val="1016"/>
        </w:numPr>
      </w:pPr>
      <w:r>
        <w:rPr>
          <w:b/>
          <w:bCs/>
        </w:rPr>
        <w:t xml:space="preserve">Valuación nominal de la tenencia del BCRA.</w:t>
      </w:r>
      <w:r>
        <w:t xml:space="preserve"> </w:t>
      </w:r>
      <w:r>
        <w:t xml:space="preserve">Hay dato nominal en 80 de 120 trimestres; 24 están interpolados y 39 reconstruidos con fechas de emisión o hacia atrás. Los 40 trimestres anteriores a 2006 conservan el valor de libros porque las Letras no existían.</w:t>
      </w:r>
    </w:p>
    <w:p>
      <w:pPr>
        <w:pStyle w:val="Compact"/>
        <w:numPr>
          <w:ilvl w:val="0"/>
          <w:numId w:val="1016"/>
        </w:numPr>
      </w:pPr>
      <w:r>
        <w:rPr>
          <w:b/>
          <w:bCs/>
        </w:rPr>
        <w:t xml:space="preserve">Empalme 1996-2003</w:t>
      </w:r>
      <w:r>
        <w:t xml:space="preserve"> </w:t>
      </w:r>
      <w:r>
        <w:t xml:space="preserve">del PIB real (base 1993 a base 2004, coeficiente k = 1,751) y del PIB nominal (coeficiente 1,0837). Incertidumbre de nivel por el coeficiente de enlace, sin efecto sobre las tasas de crecimiento del PIB real.</w:t>
      </w:r>
    </w:p>
    <w:p>
      <w:pPr>
        <w:pStyle w:val="Compact"/>
        <w:numPr>
          <w:ilvl w:val="0"/>
          <w:numId w:val="1016"/>
        </w:numPr>
      </w:pPr>
      <w:r>
        <w:rPr>
          <w:b/>
          <w:bCs/>
        </w:rPr>
        <w:t xml:space="preserve">Seis trimestres de deuda bruta interpolados</w:t>
      </w:r>
      <w:r>
        <w:t xml:space="preserve"> </w:t>
      </w:r>
      <w:r>
        <w:t xml:space="preserve">(1996-1997) y</w:t>
      </w:r>
      <w:r>
        <w:t xml:space="preserve"> </w:t>
      </w:r>
      <w:r>
        <w:rPr>
          <w:b/>
          <w:bCs/>
        </w:rPr>
        <w:t xml:space="preserve">cuatro de TCRM retropolados</w:t>
      </w:r>
      <w:r>
        <w:t xml:space="preserve"> </w:t>
      </w:r>
      <w:r>
        <w:t xml:space="preserve">(1996).</w:t>
      </w:r>
    </w:p>
    <w:p>
      <w:pPr>
        <w:pStyle w:val="Compact"/>
        <w:numPr>
          <w:ilvl w:val="0"/>
          <w:numId w:val="1016"/>
        </w:numPr>
      </w:pPr>
      <w:r>
        <w:rPr>
          <w:b/>
          <w:bCs/>
        </w:rPr>
        <w:t xml:space="preserve">Swap con el PBoC</w:t>
      </w:r>
      <w:r>
        <w:t xml:space="preserve"> </w:t>
      </w:r>
      <w:r>
        <w:t xml:space="preserve">y</w:t>
      </w:r>
      <w:r>
        <w:t xml:space="preserve"> </w:t>
      </w:r>
      <w:r>
        <w:rPr>
          <w:b/>
          <w:bCs/>
        </w:rPr>
        <w:t xml:space="preserve">pases en neto</w:t>
      </w:r>
      <w:r>
        <w:t xml:space="preserve"> </w:t>
      </w:r>
      <w:r>
        <w:t xml:space="preserve">en los pasivos del BCRA.</w:t>
      </w:r>
    </w:p>
    <w:p>
      <w:pPr>
        <w:pStyle w:val="Compact"/>
        <w:numPr>
          <w:ilvl w:val="0"/>
          <w:numId w:val="1016"/>
        </w:numPr>
      </w:pPr>
      <w:r>
        <w:rPr>
          <w:b/>
          <w:bCs/>
        </w:rPr>
        <w:t xml:space="preserve">Denominador</w:t>
      </w:r>
      <w:r>
        <w:t xml:space="preserve"> </w:t>
      </w:r>
      <w:r>
        <w:t xml:space="preserve">con rezago en períodos de inflación alta.</w:t>
      </w:r>
    </w:p>
    <w:bookmarkEnd w:id="93"/>
    <w:bookmarkEnd w:id="94"/>
    <w:bookmarkStart w:id="113" w:name="resultados"/>
    <w:p>
      <w:pPr>
        <w:pStyle w:val="Heading1"/>
      </w:pPr>
      <w:r>
        <w:t xml:space="preserve">6. Resultados</w:t>
      </w:r>
    </w:p>
    <w:p>
      <w:pPr>
        <w:pStyle w:val="FirstParagraph"/>
      </w:pPr>
      <w:r>
        <w:t xml:space="preserve">Todos los resultados de este capítulo salen de la misma muestra efectiva, 1998T2-2025T4 (111 trimestres), y del mismo escenario base, el del FMI (2025, anexo II). La especificación principal usa la deuda consolidada neta con las Letras Intransferibles a valor nominal, que parte de 61,0% del PIB en diciembre de 2025. Las cifras se pueden reproducir con</w:t>
      </w:r>
      <w:r>
        <w:t xml:space="preserve"> </w:t>
      </w:r>
      <w:r>
        <w:rPr>
          <w:rStyle w:val="VerbatimChar"/>
        </w:rPr>
        <w:t xml:space="preserve">codigo/modelos/fase24_svarx_1996_2025.py</w:t>
      </w:r>
      <w:r>
        <w:t xml:space="preserve"> </w:t>
      </w:r>
      <w:r>
        <w:t xml:space="preserve">y</w:t>
      </w:r>
      <w:r>
        <w:t xml:space="preserve"> </w:t>
      </w:r>
      <w:r>
        <w:rPr>
          <w:rStyle w:val="VerbatimChar"/>
        </w:rPr>
        <w:t xml:space="preserve">codigo/modelos/fase25_simulacion_dsa_svarx.py</w:t>
      </w:r>
      <w:r>
        <w:t xml:space="preserve">.</w:t>
      </w:r>
    </w:p>
    <w:bookmarkStart w:id="98" w:name="el-svarx-estimado"/>
    <w:p>
      <w:pPr>
        <w:pStyle w:val="Heading2"/>
      </w:pPr>
      <w:r>
        <w:t xml:space="preserve">6.1 El SVARX estimado</w:t>
      </w:r>
    </w:p>
    <w:p>
      <w:pPr>
        <w:pStyle w:val="FirstParagraph"/>
      </w:pPr>
      <w:r>
        <w:rPr>
          <w:b/>
          <w:bCs/>
        </w:rPr>
        <w:t xml:space="preserve">Rezagos y diagnósticos.</w:t>
      </w:r>
      <w:r>
        <w:t xml:space="preserve"> </w:t>
      </w:r>
      <w:r>
        <w:t xml:space="preserve">Con la regla de la sección 4.5, el modelo usa tres rezagos. La raíz de mayor módulo del polinomio característico es 0,96, de modo que el sistema es estable y tiene representación de medias móviles. La prueba de Portmanteau con 12 rezagos da un p-valor de 0,036: queda algo de autocorrelación en los residuos, que se informa como limitación. Los residuos no son normales (p &lt; 0,001), lo que justifica remuestrear shocks históricos en lugar de suponer normalidad. La prueba ARCH-LM con cuatro rezagos no detecta heterocedasticidad condicional en ninguna ecuación (p-valores entre 0,87 y 0,99). El</w:t>
      </w:r>
      <w:r>
        <w:t xml:space="preserve"> </w:t>
      </w:r>
      <w:r>
        <w:rPr>
          <w:i/>
          <w:iCs/>
        </w:rPr>
        <w:t xml:space="preserve">bootstrap</w:t>
      </w:r>
      <w:r>
        <w:t xml:space="preserve"> </w:t>
      </w:r>
      <w:r>
        <w:t xml:space="preserve">salvaje es válido con y sin heterocedasticidad, así que su uso no depende de este resultado.</w:t>
      </w:r>
    </w:p>
    <w:p>
      <w:pPr>
        <w:pStyle w:val="BodyText"/>
      </w:pPr>
      <w:r>
        <w:rPr>
          <w:b/>
          <w:bCs/>
        </w:rPr>
        <w:t xml:space="preserve">Reacción fiscal.</w:t>
      </w:r>
      <w:r>
        <w:t xml:space="preserve"> </w:t>
      </w:r>
      <w:r>
        <w:t xml:space="preserve">El coeficiente de la deuda rezagada en la ecuación del resultado primario es 0,051 (p = 0,019), con un intervalo de 90% del</w:t>
      </w:r>
      <w:r>
        <w:t xml:space="preserve"> </w:t>
      </w:r>
      <w:r>
        <w:rPr>
          <w:i/>
          <w:iCs/>
        </w:rPr>
        <w:t xml:space="preserve">bootstrap</w:t>
      </w:r>
      <w:r>
        <w:t xml:space="preserve"> </w:t>
      </w:r>
      <w:r>
        <w:t xml:space="preserve">de [0,020; 0,082]. Diez puntos más de deuda en relación con el PIB se asocian, en promedio, con medio punto más de superávit primario. El resultado no depende del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[0,020; 0,082]</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[0,021; 0,085]</w:t>
            </w:r>
          </w:p>
        </w:tc>
      </w:tr>
      <w:tr>
        <w:tc>
          <w:tcPr/>
          <w:p>
            <w:pPr>
              <w:pStyle w:val="Compact"/>
            </w:pPr>
            <w:r>
              <w:rPr>
                <w:rFonts w:ascii="Calibri" w:hAnsi="Calibri"/>
                <w:sz w:val="20"/>
              </w:rPr>
              <w:t xml:space="preserve">Consolidada bruta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[0,027; 0,079]</w:t>
            </w:r>
          </w:p>
        </w:tc>
      </w:tr>
    </w:tbl>
    <w:p>
      <w:pPr>
        <w:pStyle w:val="BodyText"/>
      </w:pPr>
      <w:r>
        <w:t xml:space="preserve">El signo coincide con el que encuentran Celasun et al. (2006) en su panel de economías emergentes. La política fiscal argentina respondió a la deuda en el período, pero con un coeficiente chico. La simulación muestra si esa respuesta alcanza para estabilizarla.</w:t>
      </w:r>
    </w:p>
    <w:p>
      <w:pPr>
        <w:pStyle w:val="BodyText"/>
      </w:pPr>
      <w:r>
        <w:rPr>
          <w:b/>
          <w:bCs/>
        </w:rPr>
        <w:t xml:space="preserve">Respuesta a la tasa de la FED.</w:t>
      </w:r>
      <w:r>
        <w:t xml:space="preserve"> </w:t>
      </w:r>
      <w:r>
        <w:t xml:space="preserve">Un aumento de un desvío estándar en la tasa de política de la FED (0,50 puntos porcentuales) no produce respuestas sistemáticas de las variables domésticas (Figura 6.1). El EMBI+ sube 9 puntos básicos en el trimestre del shock, con un intervalo de 90% de [-83; 103], y 12 puntos básicos a los dos años, con un intervalo de [-14; 42]. De las 84 respuestas estimadas (cuatro variables en 21 horizontes), solo tres tienen una banda de 90% que excluye el cero: el crecimiento en el trimestre del shock (+0,5 puntos), el resultado primario un trimestre después (-0,35 puntos del PIB) y el tipo de cambio real tres trimestres después (una leve apreciación). Con bandas de 90%, el azar ya produciría unas ocho exclusiones aunque la FED no tuviera ningún efecto, y los signos del crecimiento y del tipo de cambio real son los contrarios a los que predice la teoría. Con 111 trimestres y un shock chico, el modelo no puede distinguir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 puntos porcentuales) de la tasa de política; deuda consolidada neta, tres rezagos; bandas de 90% del bootstrap salvaje (1.000 réplicas)." title="" id="96" name="Picture"/>
            <a:graphic>
              <a:graphicData uri="http://schemas.openxmlformats.org/drawingml/2006/picture">
                <pic:pic>
                  <pic:nvPicPr>
                    <pic:cNvPr descr="../tesis/figuras/fig6_1_respuesta_fed.png" id="97" name="Picture"/>
                    <pic:cNvPicPr>
                      <a:picLocks noChangeArrowheads="1" noChangeAspect="1"/>
                    </pic:cNvPicPr>
                  </pic:nvPicPr>
                  <pic:blipFill>
                    <a:blip r:embed="rId95"/>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 puntos porcentuales) de la tasa de política; deuda consolidada neta, tres rezagos; bandas de 90% del bootstrap salvaje (1.000 réplicas).</w:t>
      </w:r>
    </w:p>
    <w:bookmarkEnd w:id="98"/>
    <w:bookmarkStart w:id="102" w:name="el-gráfico-de-abanico"/>
    <w:p>
      <w:pPr>
        <w:pStyle w:val="Heading2"/>
      </w:pPr>
      <w:r>
        <w:t xml:space="preserve">6.2 El gráfico de abanico</w:t>
      </w:r>
    </w:p>
    <w:p>
      <w:pPr>
        <w:pStyle w:val="FirstParagraph"/>
      </w:pPr>
      <w:r>
        <w:t xml:space="preserve">La Tabla 6.1 resume la distribución de la deuda simulada. La mediana baja de 61,0% del PIB en 2025 a 35,9% en 2030 y a 16,7% en 2035. La Figura 6.2 muestra el abanico. La caída la determina el escenario base del FMI, que combina un superávit primario de alrededor de 2,5% del PIB con una tasa de interés efectiva de alrededor de 4% y un deflactor del PIB que crece cerca de 7,5% por año. Con esos supuestos, la tasa real que paga la deuda es negativa y la licua año tras año.</w:t>
      </w:r>
    </w:p>
    <w:p>
      <w:pPr>
        <w:pStyle w:val="BodyText"/>
      </w:pPr>
      <w:r>
        <w:rPr>
          <w:b/>
          <w:bCs/>
        </w:rPr>
        <w:t xml:space="preserve">Tabla 6.1.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46,0</w:t>
            </w:r>
          </w:p>
        </w:tc>
        <w:tc>
          <w:tcPr/>
          <w:p>
            <w:pPr>
              <w:pStyle w:val="Compact"/>
            </w:pPr>
            <w:r>
              <w:rPr>
                <w:rFonts w:ascii="Calibri" w:hAnsi="Calibri"/>
                <w:sz w:val="20"/>
              </w:rPr>
              <w:t xml:space="preserve">49,7</w:t>
            </w:r>
          </w:p>
        </w:tc>
        <w:tc>
          <w:tcPr/>
          <w:p>
            <w:pPr>
              <w:pStyle w:val="Compact"/>
            </w:pPr>
            <w:r>
              <w:rPr>
                <w:rFonts w:ascii="Calibri" w:hAnsi="Calibri"/>
                <w:sz w:val="20"/>
              </w:rPr>
              <w:t xml:space="preserve">52,8</w:t>
            </w:r>
          </w:p>
        </w:tc>
        <w:tc>
          <w:tcPr/>
          <w:p>
            <w:pPr>
              <w:pStyle w:val="Compact"/>
            </w:pPr>
            <w:r>
              <w:rPr>
                <w:rFonts w:ascii="Calibri" w:hAnsi="Calibri"/>
                <w:sz w:val="20"/>
              </w:rPr>
              <w:t xml:space="preserve">56,9</w:t>
            </w:r>
          </w:p>
        </w:tc>
        <w:tc>
          <w:tcPr/>
          <w:p>
            <w:pPr>
              <w:pStyle w:val="Compact"/>
            </w:pPr>
            <w:r>
              <w:rPr>
                <w:rFonts w:ascii="Calibri" w:hAnsi="Calibri"/>
                <w:sz w:val="20"/>
              </w:rPr>
              <w:t xml:space="preserve">64,5</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37,7</w:t>
            </w:r>
          </w:p>
        </w:tc>
        <w:tc>
          <w:tcPr/>
          <w:p>
            <w:pPr>
              <w:pStyle w:val="Compact"/>
            </w:pPr>
            <w:r>
              <w:rPr>
                <w:rFonts w:ascii="Calibri" w:hAnsi="Calibri"/>
                <w:sz w:val="20"/>
              </w:rPr>
              <w:t xml:space="preserve">41,9</w:t>
            </w:r>
          </w:p>
        </w:tc>
        <w:tc>
          <w:tcPr/>
          <w:p>
            <w:pPr>
              <w:pStyle w:val="Compact"/>
            </w:pPr>
            <w:r>
              <w:rPr>
                <w:rFonts w:ascii="Calibri" w:hAnsi="Calibri"/>
                <w:sz w:val="20"/>
              </w:rPr>
              <w:t xml:space="preserve">45,6</w:t>
            </w:r>
          </w:p>
        </w:tc>
        <w:tc>
          <w:tcPr/>
          <w:p>
            <w:pPr>
              <w:pStyle w:val="Compact"/>
            </w:pPr>
            <w:r>
              <w:rPr>
                <w:rFonts w:ascii="Calibri" w:hAnsi="Calibri"/>
                <w:sz w:val="20"/>
              </w:rPr>
              <w:t xml:space="preserve">50,0</w:t>
            </w:r>
          </w:p>
        </w:tc>
        <w:tc>
          <w:tcPr/>
          <w:p>
            <w:pPr>
              <w:pStyle w:val="Compact"/>
            </w:pPr>
            <w:r>
              <w:rPr>
                <w:rFonts w:ascii="Calibri" w:hAnsi="Calibri"/>
                <w:sz w:val="20"/>
              </w:rPr>
              <w:t xml:space="preserve">57,9</w:t>
            </w:r>
          </w:p>
        </w:tc>
      </w:tr>
      <w:tr>
        <w:tc>
          <w:tcPr/>
          <w:p>
            <w:pPr>
              <w:pStyle w:val="Compact"/>
            </w:pPr>
            <w:r>
              <w:rPr>
                <w:rFonts w:ascii="Calibri" w:hAnsi="Calibri"/>
                <w:sz w:val="20"/>
              </w:rPr>
              <w:t xml:space="preserve">2030</w:t>
            </w:r>
          </w:p>
        </w:tc>
        <w:tc>
          <w:tcPr/>
          <w:p>
            <w:pPr>
              <w:pStyle w:val="Compact"/>
            </w:pPr>
            <w:r>
              <w:rPr>
                <w:rFonts w:ascii="Calibri" w:hAnsi="Calibri"/>
                <w:sz w:val="20"/>
              </w:rPr>
              <w:t xml:space="preserve">25,9</w:t>
            </w:r>
          </w:p>
        </w:tc>
        <w:tc>
          <w:tcPr/>
          <w:p>
            <w:pPr>
              <w:pStyle w:val="Compact"/>
            </w:pPr>
            <w:r>
              <w:rPr>
                <w:rFonts w:ascii="Calibri" w:hAnsi="Calibri"/>
                <w:sz w:val="20"/>
              </w:rPr>
              <w:t xml:space="preserve">31,2</w:t>
            </w:r>
          </w:p>
        </w:tc>
        <w:tc>
          <w:tcPr/>
          <w:p>
            <w:pPr>
              <w:pStyle w:val="Compact"/>
            </w:pPr>
            <w:r>
              <w:rPr>
                <w:rFonts w:ascii="Calibri" w:hAnsi="Calibri"/>
                <w:sz w:val="20"/>
              </w:rPr>
              <w:t xml:space="preserve">35,9</w:t>
            </w:r>
          </w:p>
        </w:tc>
        <w:tc>
          <w:tcPr/>
          <w:p>
            <w:pPr>
              <w:pStyle w:val="Compact"/>
            </w:pPr>
            <w:r>
              <w:rPr>
                <w:rFonts w:ascii="Calibri" w:hAnsi="Calibri"/>
                <w:sz w:val="20"/>
              </w:rPr>
              <w:t xml:space="preserve">40,7</w:t>
            </w:r>
          </w:p>
        </w:tc>
        <w:tc>
          <w:tcPr/>
          <w:p>
            <w:pPr>
              <w:pStyle w:val="Compact"/>
            </w:pPr>
            <w:r>
              <w:rPr>
                <w:rFonts w:ascii="Calibri" w:hAnsi="Calibri"/>
                <w:sz w:val="20"/>
              </w:rPr>
              <w:t xml:space="preserve">49,6</w:t>
            </w:r>
          </w:p>
        </w:tc>
      </w:tr>
      <w:tr>
        <w:tc>
          <w:tcPr/>
          <w:p>
            <w:pPr>
              <w:pStyle w:val="Compact"/>
            </w:pPr>
            <w:r>
              <w:rPr>
                <w:rFonts w:ascii="Calibri" w:hAnsi="Calibri"/>
                <w:sz w:val="20"/>
              </w:rPr>
              <w:t xml:space="preserve">2032</w:t>
            </w:r>
          </w:p>
        </w:tc>
        <w:tc>
          <w:tcPr/>
          <w:p>
            <w:pPr>
              <w:pStyle w:val="Compact"/>
            </w:pPr>
            <w:r>
              <w:rPr>
                <w:rFonts w:ascii="Calibri" w:hAnsi="Calibri"/>
                <w:sz w:val="20"/>
              </w:rPr>
              <w:t xml:space="preserve">15,0</w:t>
            </w:r>
          </w:p>
        </w:tc>
        <w:tc>
          <w:tcPr/>
          <w:p>
            <w:pPr>
              <w:pStyle w:val="Compact"/>
            </w:pPr>
            <w:r>
              <w:rPr>
                <w:rFonts w:ascii="Calibri" w:hAnsi="Calibri"/>
                <w:sz w:val="20"/>
              </w:rPr>
              <w:t xml:space="preserve">21,1</w:t>
            </w:r>
          </w:p>
        </w:tc>
        <w:tc>
          <w:tcPr/>
          <w:p>
            <w:pPr>
              <w:pStyle w:val="Compact"/>
            </w:pPr>
            <w:r>
              <w:rPr>
                <w:rFonts w:ascii="Calibri" w:hAnsi="Calibri"/>
                <w:sz w:val="20"/>
              </w:rPr>
              <w:t xml:space="preserve">26,9</w:t>
            </w:r>
          </w:p>
        </w:tc>
        <w:tc>
          <w:tcPr/>
          <w:p>
            <w:pPr>
              <w:pStyle w:val="Compact"/>
            </w:pPr>
            <w:r>
              <w:rPr>
                <w:rFonts w:ascii="Calibri" w:hAnsi="Calibri"/>
                <w:sz w:val="20"/>
              </w:rPr>
              <w:t xml:space="preserve">32,7</w:t>
            </w:r>
          </w:p>
        </w:tc>
        <w:tc>
          <w:tcPr/>
          <w:p>
            <w:pPr>
              <w:pStyle w:val="Compact"/>
            </w:pPr>
            <w:r>
              <w:rPr>
                <w:rFonts w:ascii="Calibri" w:hAnsi="Calibri"/>
                <w:sz w:val="20"/>
              </w:rPr>
              <w:t xml:space="preserve">44,2</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2,2</w:t>
            </w:r>
          </w:p>
        </w:tc>
        <w:tc>
          <w:tcPr/>
          <w:p>
            <w:pPr>
              <w:pStyle w:val="Compact"/>
            </w:pPr>
            <w:r>
              <w:rPr>
                <w:rFonts w:ascii="Calibri" w:hAnsi="Calibri"/>
                <w:sz w:val="20"/>
              </w:rPr>
              <w:t xml:space="preserve">9,6</w:t>
            </w:r>
          </w:p>
        </w:tc>
        <w:tc>
          <w:tcPr/>
          <w:p>
            <w:pPr>
              <w:pStyle w:val="Compact"/>
            </w:pPr>
            <w:r>
              <w:rPr>
                <w:rFonts w:ascii="Calibri" w:hAnsi="Calibri"/>
                <w:sz w:val="20"/>
              </w:rPr>
              <w:t xml:space="preserve">16,7</w:t>
            </w:r>
          </w:p>
        </w:tc>
        <w:tc>
          <w:tcPr/>
          <w:p>
            <w:pPr>
              <w:pStyle w:val="Compact"/>
            </w:pPr>
            <w:r>
              <w:rPr>
                <w:rFonts w:ascii="Calibri" w:hAnsi="Calibri"/>
                <w:sz w:val="20"/>
              </w:rPr>
              <w:t xml:space="preserve">23,7</w:t>
            </w:r>
          </w:p>
        </w:tc>
        <w:tc>
          <w:tcPr/>
          <w:p>
            <w:pPr>
              <w:pStyle w:val="Compact"/>
            </w:pPr>
            <w:r>
              <w:rPr>
                <w:rFonts w:ascii="Calibri" w:hAnsi="Calibri"/>
                <w:sz w:val="20"/>
              </w:rPr>
              <w:t xml:space="preserve">38,5</w:t>
            </w:r>
          </w:p>
        </w:tc>
      </w:tr>
    </w:tbl>
    <w:p>
      <w:pPr>
        <w:pStyle w:val="CaptionedFigure"/>
      </w:pPr>
      <w:r>
        <w:drawing>
          <wp:inline>
            <wp:extent cx="5334000" cy="3048000"/>
            <wp:effectExtent b="0" l="0" r="0" t="0"/>
            <wp:docPr descr="Figura 6.2. Gráfico de abanico de la deuda consolidada neta simulada, 2025-2035 (% del PIB). Escenario base del FMI (2025) con shocks estructurales del SVARX; 300 réplicas de parámetros por 400 trayectorias." title="" id="100" name="Picture"/>
            <a:graphic>
              <a:graphicData uri="http://schemas.openxmlformats.org/drawingml/2006/picture">
                <pic:pic>
                  <pic:nvPicPr>
                    <pic:cNvPr descr="../tesis/figuras/fig6_2_abanico_deuda_neta.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consolidada neta simulada, 2025-2035 (% del PIB). Escenario base del FMI (2025) con shocks estructurales del SVARX; 300 réplicas de parámetros por 400 trayectorias.</w:t>
      </w:r>
    </w:p>
    <w:p>
      <w:pPr>
        <w:pStyle w:val="BodyText"/>
      </w:pPr>
      <w:r>
        <w:t xml:space="preserve">El ancho del abanico entre los percentiles 5 y 95 es de 19,4 puntos en 2030, con un intervalo de 90% de [15,4; 24,3]. El del FMI para la deuda federal bruta es 74,2 (FMI, 2025, anexo II, cuadro 7). El Capítulo 7 analiza esta diferencia.</w:t>
      </w:r>
    </w:p>
    <w:bookmarkEnd w:id="102"/>
    <w:bookmarkStart w:id="106"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 El contraste compara la contribución de cada bloque de shocks a la varianza de la deuda simulada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 shocks</w:t>
            </w:r>
          </w:p>
        </w:tc>
        <w:tc>
          <w:tcPr/>
          <w:p>
            <w:pPr>
              <w:pStyle w:val="Compact"/>
            </w:pPr>
            <w:r>
              <w:rPr>
                <w:rFonts w:ascii="Calibri" w:hAnsi="Calibri"/>
                <w:sz w:val="20"/>
              </w:rPr>
              <w:t xml:space="preserve">Participación en la varianza de la deuda en 2035</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19,4%</w:t>
            </w:r>
          </w:p>
        </w:tc>
        <w:tc>
          <w:tcPr/>
          <w:p>
            <w:pPr>
              <w:pStyle w:val="Compact"/>
            </w:pPr>
            <w:r>
              <w:rPr>
                <w:rFonts w:ascii="Calibri" w:hAnsi="Calibri"/>
                <w:sz w:val="20"/>
              </w:rPr>
              <w:t xml:space="preserve">[3,5; 41,2]</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21,6%</w:t>
            </w:r>
          </w:p>
        </w:tc>
        <w:tc>
          <w:tcPr/>
          <w:p>
            <w:pPr>
              <w:pStyle w:val="Compact"/>
            </w:pPr>
            <w:r>
              <w:rPr>
                <w:rFonts w:ascii="Calibri" w:hAnsi="Calibri"/>
                <w:sz w:val="20"/>
              </w:rPr>
              <w:t xml:space="preserve">[3,9; 49,9]</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59,0%</w:t>
            </w:r>
          </w:p>
        </w:tc>
        <w:tc>
          <w:tcPr/>
          <w:p>
            <w:pPr>
              <w:pStyle w:val="Compact"/>
            </w:pPr>
            <w:r>
              <w:rPr>
                <w:rFonts w:ascii="Calibri" w:hAnsi="Calibri"/>
                <w:sz w:val="20"/>
              </w:rPr>
              <w:t xml:space="preserve">[12,5; 89,5]</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61,2 puntos</w:t>
            </w:r>
          </w:p>
        </w:tc>
        <w:tc>
          <w:tcPr/>
          <w:p>
            <w:pPr>
              <w:pStyle w:val="Compact"/>
            </w:pPr>
            <w:r>
              <w:rPr>
                <w:rFonts w:ascii="Calibri" w:hAnsi="Calibri"/>
                <w:sz w:val="20"/>
              </w:rPr>
              <w:t xml:space="preserve">[17,5; 93,0]</w:t>
            </w:r>
          </w:p>
        </w:tc>
      </w:tr>
    </w:tbl>
    <w:p>
      <w:pPr>
        <w:pStyle w:val="BodyText"/>
      </w:pPr>
      <w:r>
        <w:t xml:space="preserve">Los shocks no fiscales explican cerca de cuatro quintos de la incertidumbre sobre la deuda en 2035, y el intervalo de la diferencia con el fiscal excluye el cero.</w:t>
      </w:r>
      <w:r>
        <w:t xml:space="preserve"> </w:t>
      </w:r>
      <w:r>
        <w:rPr>
          <w:b/>
          <w:bCs/>
        </w:rPr>
        <w:t xml:space="preserve">H1a queda respaldada.</w:t>
      </w:r>
      <w:r>
        <w:t xml:space="preserve"> </w:t>
      </w:r>
      <w:r>
        <w:t xml:space="preserve">El bloque cambiario y de riesgo es el que más pesa. El resultado es coherente con la reacción fiscal positiva de la sección 6.1: el superávit responde a la deuda, pero la variabilidad de la deuda la dominan el tipo de cambio real y el riesgo país.</w:t>
      </w:r>
    </w:p>
    <w:p>
      <w:pPr>
        <w:pStyle w:val="CaptionedFigure"/>
      </w:pPr>
      <w:r>
        <w:drawing>
          <wp:inline>
            <wp:extent cx="5334000" cy="2667000"/>
            <wp:effectExtent b="0" l="0" r="0" t="0"/>
            <wp:docPr descr="Figura 6.3. Varianza de la deuda en 2035 por bloque de shocks. Participación de cada bloque de shocks estructurales en la varianza de la deuda simulada en 2035. Las barras de error son el intervalo de 90% entre réplicas de parámetros." title="" id="104" name="Picture"/>
            <a:graphic>
              <a:graphicData uri="http://schemas.openxmlformats.org/drawingml/2006/picture">
                <pic:pic>
                  <pic:nvPicPr>
                    <pic:cNvPr descr="../tesis/figuras/fig6_3_varianza_por_bloque.png" id="105" name="Picture"/>
                    <pic:cNvPicPr>
                      <a:picLocks noChangeArrowheads="1" noChangeAspect="1"/>
                    </pic:cNvPicPr>
                  </pic:nvPicPr>
                  <pic:blipFill>
                    <a:blip r:embed="rId10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6.3. Varianza de la deuda en 2035 por bloque de shocks. Participación de cada bloque de shocks estructurales en la varianza de la deuda simulada en 2035. Las barras de error son el intervalo de 90% entre réplicas de parámetros.</w:t>
      </w:r>
    </w:p>
    <w:bookmarkEnd w:id="106"/>
    <w:bookmarkStart w:id="107" w:name="contraste-de-h1b"/>
    <w:p>
      <w:pPr>
        <w:pStyle w:val="Heading2"/>
      </w:pPr>
      <w:r>
        <w:t xml:space="preserve">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Criterio (límite inferior &gt; 3%)</w:t>
            </w:r>
          </w:p>
        </w:tc>
      </w:tr>
      <w:tr>
        <w:tc>
          <w:tcPr/>
          <w:p>
            <w:pPr>
              <w:pStyle w:val="Compact"/>
            </w:pPr>
            <w:r>
              <w:rPr>
                <w:rFonts w:ascii="Calibri" w:hAnsi="Calibri"/>
                <w:sz w:val="20"/>
              </w:rPr>
              <w:t xml:space="preserve">2030 (cinco años, el horizonte del FMI)</w:t>
            </w:r>
          </w:p>
        </w:tc>
        <w:tc>
          <w:tcPr/>
          <w:p>
            <w:pPr>
              <w:pStyle w:val="Compact"/>
            </w:pPr>
            <w:r>
              <w:rPr>
                <w:rFonts w:ascii="Calibri" w:hAnsi="Calibri"/>
                <w:sz w:val="20"/>
              </w:rPr>
              <w:t xml:space="preserve">11,8%</w:t>
            </w:r>
          </w:p>
        </w:tc>
        <w:tc>
          <w:tcPr/>
          <w:p>
            <w:pPr>
              <w:pStyle w:val="Compact"/>
            </w:pPr>
            <w:r>
              <w:rPr>
                <w:rFonts w:ascii="Calibri" w:hAnsi="Calibri"/>
                <w:sz w:val="20"/>
              </w:rPr>
              <w:t xml:space="preserve">[8,0; 15,8]</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6,0%</w:t>
            </w:r>
          </w:p>
        </w:tc>
        <w:tc>
          <w:tcPr/>
          <w:p>
            <w:pPr>
              <w:pStyle w:val="Compact"/>
            </w:pPr>
            <w:r>
              <w:rPr>
                <w:rFonts w:ascii="Calibri" w:hAnsi="Calibri"/>
                <w:sz w:val="20"/>
              </w:rPr>
              <w:t xml:space="preserve">[3,0; 9,8]</w:t>
            </w:r>
          </w:p>
        </w:tc>
        <w:tc>
          <w:tcPr/>
          <w:p>
            <w:pPr>
              <w:pStyle w:val="Compact"/>
            </w:pPr>
            <w:r>
              <w:rPr>
                <w:rFonts w:ascii="Calibri" w:hAnsi="Calibri"/>
                <w:sz w:val="20"/>
              </w:rPr>
              <w:t xml:space="preserve">Límite inferior igual al umbral</w:t>
            </w:r>
          </w:p>
        </w:tc>
      </w:tr>
    </w:tbl>
    <w:p>
      <w:pPr>
        <w:pStyle w:val="BodyText"/>
      </w:pPr>
      <w:r>
        <w:t xml:space="preserve">A cinco años, la probabilidad de que la deuda consolidada no se estabilice es de 11,8%, casi cuatro veces el 3% del FMI, y el intervalo de 90% queda entero por encima del umbral.</w:t>
      </w:r>
      <w:r>
        <w:t xml:space="preserve"> </w:t>
      </w:r>
      <w:r>
        <w:rPr>
          <w:b/>
          <w:bCs/>
        </w:rPr>
        <w:t xml:space="preserve">H1b queda respaldada en el horizonte en que el FMI mide su métrica.</w:t>
      </w:r>
      <w:r>
        <w:t xml:space="preserve"> </w:t>
      </w:r>
      <w:r>
        <w:t xml:space="preserve">A diez años la probabilidad baja a 6,0%, porque el escenario base sigue reduciendo la deuda y cada vez menos trayectorias terminan con la deuda en aumento. El límite inferior del intervalo coincide con el 3%, así que a diez años el contraste no rechaza que la probabilidad sea igual a la del FMI.</w:t>
      </w:r>
    </w:p>
    <w:bookmarkEnd w:id="107"/>
    <w:bookmarkStart w:id="108" w:name="contraste-de-h2"/>
    <w:p>
      <w:pPr>
        <w:pStyle w:val="Heading2"/>
      </w:pPr>
      <w:r>
        <w:t xml:space="preserve">6.5 Contraste de H2</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 en 2035</w:t>
            </w:r>
          </w:p>
        </w:tc>
        <w:tc>
          <w:tcPr/>
          <w:p>
            <w:pPr>
              <w:pStyle w:val="Compact"/>
            </w:pPr>
            <w:r>
              <w:rPr>
                <w:rFonts w:ascii="Calibri" w:hAnsi="Calibri"/>
                <w:sz w:val="20"/>
              </w:rPr>
              <w:t xml:space="preserve">Diferencia en la deuda media en 2035</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+0,5 pp [0,0; 1,5]</w:t>
            </w:r>
          </w:p>
        </w:tc>
        <w:tc>
          <w:tcPr/>
          <w:p>
            <w:pPr>
              <w:pStyle w:val="Compact"/>
            </w:pPr>
            <w:r>
              <w:rPr>
                <w:rFonts w:ascii="Calibri" w:hAnsi="Calibri"/>
                <w:sz w:val="20"/>
              </w:rPr>
              <w:t xml:space="preserve">+0,7 pp del PIB</w:t>
            </w:r>
          </w:p>
        </w:tc>
      </w:tr>
      <w:tr>
        <w:tc>
          <w:tcPr/>
          <w:p>
            <w:pPr>
              <w:pStyle w:val="Compact"/>
            </w:pPr>
            <w:r>
              <w:rPr>
                <w:rFonts w:ascii="Calibri" w:hAnsi="Calibri"/>
                <w:sz w:val="20"/>
              </w:rPr>
              <w:t xml:space="preserve">Repetición del ciclo 2022-2023 (+5,25 pp en ocho trimestres)</w:t>
            </w:r>
          </w:p>
        </w:tc>
        <w:tc>
          <w:tcPr/>
          <w:p>
            <w:pPr>
              <w:pStyle w:val="Compact"/>
            </w:pPr>
            <w:r>
              <w:rPr>
                <w:rFonts w:ascii="Calibri" w:hAnsi="Calibri"/>
                <w:sz w:val="20"/>
              </w:rPr>
              <w:t xml:space="preserve">+7,7 pp [2,5; 16,0]</w:t>
            </w:r>
          </w:p>
        </w:tc>
        <w:tc>
          <w:tcPr/>
          <w:p>
            <w:pPr>
              <w:pStyle w:val="Compact"/>
            </w:pPr>
            <w:r>
              <w:rPr>
                <w:rFonts w:ascii="Calibri" w:hAnsi="Calibri"/>
                <w:sz w:val="20"/>
              </w:rPr>
              <w:t xml:space="preserve">+7,0 pp del PIB [1,4; 16,0]</w:t>
            </w:r>
          </w:p>
        </w:tc>
      </w:tr>
    </w:tbl>
    <w:p>
      <w:pPr>
        <w:pStyle w:val="BodyText"/>
      </w:pPr>
      <w:r>
        <w:t xml:space="preserve">Entre corchetes, los intervalos de 90%.</w:t>
      </w:r>
    </w:p>
    <w:p>
      <w:pPr>
        <w:pStyle w:val="BodyText"/>
      </w:pPr>
      <w:r>
        <w:t xml:space="preserve">Con un shock de un desvío estándar, el intervalo de la diferencia en la probabilidad toca el cero, de modo que no hay un efecto distinguible. Con una suba como la de 2022-2023, la probabilidad de no estabilización en 2035 sube 7,7 puntos y la deuda esperada, 7,0 puntos del PIB, y los dos intervalos excluyen el cero.</w:t>
      </w:r>
      <w:r>
        <w:t xml:space="preserve"> </w:t>
      </w:r>
      <w:r>
        <w:rPr>
          <w:b/>
          <w:bCs/>
        </w:rPr>
        <w:t xml:space="preserve">H2 queda respaldada para un endurecimiento de la magnitud del de 2022-2023, y no para un shock de un desvío estándar.</w:t>
      </w:r>
    </w:p>
    <w:p>
      <w:pPr>
        <w:pStyle w:val="BodyText"/>
      </w:pPr>
      <w:r>
        <w:t xml:space="preserve">Para saber por qué canal pasa el efecto, se repitió el escenario de 2022-2023 anulando la respuesta de las variables domésticas a la FED, de modo que solo actúa el mayor costo de refinanciar la deuda en dólares. Con los parámetros estimados, ese costo directo explica 4,7 de los 7,3 puntos de aumento de la deuda en 2035 (dos tercios). El tercio restante corresponde a la respuesta del riesgo país, el tipo de cambio real y el crecimiento, que en conjunto empujan en la misma dirección aunque, como se vio en la sección 6.1, ninguna de esas respuestas es significativa por separado.</w:t>
      </w:r>
    </w:p>
    <w:bookmarkEnd w:id="108"/>
    <w:bookmarkStart w:id="112" w:name="robustez"/>
    <w:p>
      <w:pPr>
        <w:pStyle w:val="Heading2"/>
      </w:pPr>
      <w:r>
        <w:t xml:space="preserve">6.6 Robustez</w:t>
      </w:r>
    </w:p>
    <w:p>
      <w:pPr>
        <w:pStyle w:val="FirstParagraph"/>
      </w:pPr>
      <w:r>
        <w:rPr>
          <w:b/>
          <w:bCs/>
        </w:rPr>
        <w:t xml:space="preserve">Perímetro de la deuda.</w:t>
      </w:r>
      <w:r>
        <w:t xml:space="preserve"> </w:t>
      </w:r>
      <w:r>
        <w:t xml:space="preserve">Con la deuda neta a valor libros y con la deuda bruta, los resultados cambian poco. La probabilidad de no estabilización a cinco años es de 13,0% y 12,7%, con límites inferiores de 9,0% y 9,0%. A diez años es de 6,8% y 7,3%, y en los dos casos el límite inferior (3,3% y 4,0%) queda por encima del 3%. La contribución de los shocks no fiscales supera a la del fiscal en las dos variantes, aunque con la deuda bruta el límite inferior de la diferencia queda prácticamente en cero (0,1 puntos). El efecto del ciclo 2022-2023 sobre la probabilidad a diez años es de 8,2 y 7,2 puntos, con intervalos que excluyen el cero.</w:t>
      </w:r>
    </w:p>
    <w:p>
      <w:pPr>
        <w:pStyle w:val="BodyText"/>
      </w:pPr>
      <w:r>
        <w:rPr>
          <w:b/>
          <w:bCs/>
        </w:rPr>
        <w:t xml:space="preserve">Canal de tasas domésticas.</w:t>
      </w:r>
      <w:r>
        <w:t xml:space="preserve"> </w:t>
      </w:r>
      <w:r>
        <w:t xml:space="preserve">Si el riesgo país también encarece la deuda en pesos (sección 4.6), la probabilidad de no estabilización sube a 12,2% a cinco años y a 7,6% a diez años, con límites inferiores de 8,5% y 3,7%: con este canal, H1b queda respaldada en los dos horizontes. El bloque cambiario y de riesgo pasa a explicar 66,9% de la varianza de la deuda en 2035 y el efecto del ciclo 2022-2023 sube a 9,0 puntos de probabilidad.</w:t>
      </w:r>
    </w:p>
    <w:p>
      <w:pPr>
        <w:pStyle w:val="BodyText"/>
      </w:pPr>
      <w:r>
        <w:rPr>
          <w:b/>
          <w:bCs/>
        </w:rPr>
        <w:t xml:space="preserve">Shocks como los del FMI.</w:t>
      </w:r>
      <w:r>
        <w:t xml:space="preserve"> </w:t>
      </w:r>
      <w:r>
        <w:t xml:space="preserve">Con el procedimiento del abanico del FMI aplicado a las mismas series (sección 4.6), la probabilidad de no estabilización es de 23,5% a cinco años y de 15,1% a diez años, y el ancho del abanico en 2030 es de 93,3 puntos. Con la deuda bruta, las cifras son 25,2%, 17,4% y 118,4. Las dos formas de generar los shocks llevan a la misma conclusión sobre H1b. La del FMI da probabilidades y anchos mucho mayores.</w:t>
      </w:r>
    </w:p>
    <w:p>
      <w:pPr>
        <w:pStyle w:val="BodyText"/>
      </w:pPr>
      <w:r>
        <w:rPr>
          <w:b/>
          <w:bCs/>
        </w:rPr>
        <w:t xml:space="preserve">Tabla 6.2. Resumen de robustez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SVARX, deuda neta (principal)</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6,0% [3,0; 9,8]</w:t>
            </w:r>
          </w:p>
        </w:tc>
        <w:tc>
          <w:tcPr/>
          <w:p>
            <w:pPr>
              <w:pStyle w:val="Compact"/>
            </w:pPr>
            <w:r>
              <w:rPr>
                <w:rFonts w:ascii="Calibri" w:hAnsi="Calibri"/>
                <w:sz w:val="20"/>
              </w:rPr>
              <w:t xml:space="preserve">19,4</w:t>
            </w:r>
          </w:p>
        </w:tc>
      </w:tr>
      <w:tr>
        <w:tc>
          <w:tcPr/>
          <w:p>
            <w:pPr>
              <w:pStyle w:val="Compact"/>
            </w:pPr>
            <w:r>
              <w:rPr>
                <w:rFonts w:ascii="Calibri" w:hAnsi="Calibri"/>
                <w:sz w:val="20"/>
              </w:rPr>
              <w:t xml:space="preserve">SVARX, deuda neta a valor libros</w:t>
            </w:r>
          </w:p>
        </w:tc>
        <w:tc>
          <w:tcPr/>
          <w:p>
            <w:pPr>
              <w:pStyle w:val="Compact"/>
            </w:pPr>
            <w:r>
              <w:rPr>
                <w:rFonts w:ascii="Calibri" w:hAnsi="Calibri"/>
                <w:sz w:val="20"/>
              </w:rPr>
              <w:t xml:space="preserve">13,0% [9,0; 17,8]</w:t>
            </w:r>
          </w:p>
        </w:tc>
        <w:tc>
          <w:tcPr/>
          <w:p>
            <w:pPr>
              <w:pStyle w:val="Compact"/>
            </w:pPr>
            <w:r>
              <w:rPr>
                <w:rFonts w:ascii="Calibri" w:hAnsi="Calibri"/>
                <w:sz w:val="20"/>
              </w:rPr>
              <w:t xml:space="preserve">6,8% [3,3; 10,8]</w:t>
            </w:r>
          </w:p>
        </w:tc>
        <w:tc>
          <w:tcPr/>
          <w:p>
            <w:pPr>
              <w:pStyle w:val="Compact"/>
            </w:pPr>
            <w:r>
              <w:rPr>
                <w:rFonts w:ascii="Calibri" w:hAnsi="Calibri"/>
                <w:sz w:val="20"/>
              </w:rPr>
              <w:t xml:space="preserve">19,9</w:t>
            </w:r>
          </w:p>
        </w:tc>
      </w:tr>
      <w:tr>
        <w:tc>
          <w:tcPr/>
          <w:p>
            <w:pPr>
              <w:pStyle w:val="Compact"/>
            </w:pPr>
            <w:r>
              <w:rPr>
                <w:rFonts w:ascii="Calibri" w:hAnsi="Calibri"/>
                <w:sz w:val="20"/>
              </w:rPr>
              <w:t xml:space="preserve">SVARX, deuda bruta</w:t>
            </w:r>
          </w:p>
        </w:tc>
        <w:tc>
          <w:tcPr/>
          <w:p>
            <w:pPr>
              <w:pStyle w:val="Compact"/>
            </w:pPr>
            <w:r>
              <w:rPr>
                <w:rFonts w:ascii="Calibri" w:hAnsi="Calibri"/>
                <w:sz w:val="20"/>
              </w:rPr>
              <w:t xml:space="preserve">12,7% [9,0; 17,0]</w:t>
            </w:r>
          </w:p>
        </w:tc>
        <w:tc>
          <w:tcPr/>
          <w:p>
            <w:pPr>
              <w:pStyle w:val="Compact"/>
            </w:pPr>
            <w:r>
              <w:rPr>
                <w:rFonts w:ascii="Calibri" w:hAnsi="Calibri"/>
                <w:sz w:val="20"/>
              </w:rPr>
              <w:t xml:space="preserve">7,3% [4,0; 11,3]</w:t>
            </w:r>
          </w:p>
        </w:tc>
        <w:tc>
          <w:tcPr/>
          <w:p>
            <w:pPr>
              <w:pStyle w:val="Compact"/>
            </w:pPr>
            <w:r>
              <w:rPr>
                <w:rFonts w:ascii="Calibri" w:hAnsi="Calibri"/>
                <w:sz w:val="20"/>
              </w:rPr>
              <w:t xml:space="preserve">20,9</w:t>
            </w:r>
          </w:p>
        </w:tc>
      </w:tr>
      <w:tr>
        <w:tc>
          <w:tcPr/>
          <w:p>
            <w:pPr>
              <w:pStyle w:val="Compact"/>
            </w:pPr>
            <w:r>
              <w:rPr>
                <w:rFonts w:ascii="Calibri" w:hAnsi="Calibri"/>
                <w:sz w:val="20"/>
              </w:rPr>
              <w:t xml:space="preserve">SVARX, deuda neta con canal de tasas domésticas</w:t>
            </w:r>
          </w:p>
        </w:tc>
        <w:tc>
          <w:tcPr/>
          <w:p>
            <w:pPr>
              <w:pStyle w:val="Compact"/>
            </w:pPr>
            <w:r>
              <w:rPr>
                <w:rFonts w:ascii="Calibri" w:hAnsi="Calibri"/>
                <w:sz w:val="20"/>
              </w:rPr>
              <w:t xml:space="preserve">12,2% [8,5; 16,0]</w:t>
            </w:r>
          </w:p>
        </w:tc>
        <w:tc>
          <w:tcPr/>
          <w:p>
            <w:pPr>
              <w:pStyle w:val="Compact"/>
            </w:pPr>
            <w:r>
              <w:rPr>
                <w:rFonts w:ascii="Calibri" w:hAnsi="Calibri"/>
                <w:sz w:val="20"/>
              </w:rPr>
              <w:t xml:space="preserve">7,6% [3,7; 12,0]</w:t>
            </w:r>
          </w:p>
        </w:tc>
        <w:tc>
          <w:tcPr/>
          <w:p>
            <w:pPr>
              <w:pStyle w:val="Compact"/>
            </w:pPr>
            <w:r>
              <w:rPr>
                <w:rFonts w:ascii="Calibri" w:hAnsi="Calibri"/>
                <w:sz w:val="20"/>
              </w:rPr>
              <w:t xml:space="preserve">21,3</w:t>
            </w:r>
          </w:p>
        </w:tc>
      </w:tr>
      <w:tr>
        <w:tc>
          <w:tcPr/>
          <w:p>
            <w:pPr>
              <w:pStyle w:val="Compact"/>
            </w:pPr>
            <w:r>
              <w:rPr>
                <w:rFonts w:ascii="Calibri" w:hAnsi="Calibri"/>
                <w:sz w:val="20"/>
              </w:rPr>
              <w:t xml:space="preserve">Shocks a la manera del FMI, deuda neta</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Shocks a la manera del FMI, deuda bruta</w:t>
            </w:r>
          </w:p>
        </w:tc>
        <w:tc>
          <w:tcPr/>
          <w:p>
            <w:pPr>
              <w:pStyle w:val="Compact"/>
            </w:pPr>
            <w:r>
              <w:rPr>
                <w:rFonts w:ascii="Calibri" w:hAnsi="Calibri"/>
                <w:sz w:val="20"/>
              </w:rPr>
              <w:t xml:space="preserve">25,2%</w:t>
            </w:r>
          </w:p>
        </w:tc>
        <w:tc>
          <w:tcPr/>
          <w:p>
            <w:pPr>
              <w:pStyle w:val="Compact"/>
            </w:pPr>
            <w:r>
              <w:rPr>
                <w:rFonts w:ascii="Calibri" w:hAnsi="Calibri"/>
                <w:sz w:val="20"/>
              </w:rPr>
              <w:t xml:space="preserve">17,4%</w:t>
            </w:r>
          </w:p>
        </w:tc>
        <w:tc>
          <w:tcPr/>
          <w:p>
            <w:pPr>
              <w:pStyle w:val="Compact"/>
            </w:pPr>
            <w:r>
              <w:rPr>
                <w:rFonts w:ascii="Calibri" w:hAnsi="Calibri"/>
                <w:sz w:val="20"/>
              </w:rPr>
              <w:t xml:space="preserve">118,4</w:t>
            </w:r>
          </w:p>
        </w:tc>
      </w:tr>
      <w:tr>
        <w:tc>
          <w:tcPr/>
          <w:p>
            <w:pPr>
              <w:pStyle w:val="Compact"/>
            </w:pPr>
            <w:r>
              <w:rPr>
                <w:rFonts w:ascii="Calibri" w:hAnsi="Calibri"/>
                <w:sz w:val="20"/>
              </w:rPr>
              <w:t xml:space="preserve">FMI (2025), deuda federal bruta</w:t>
            </w:r>
          </w:p>
        </w:tc>
        <w:tc>
          <w:tcPr/>
          <w:p>
            <w:pPr>
              <w:pStyle w:val="Compact"/>
            </w:pPr>
            <w:r>
              <w:rPr>
                <w:rFonts w:ascii="Calibri" w:hAnsi="Calibri"/>
                <w:sz w:val="20"/>
              </w:rPr>
              <w:t xml:space="preserve">3,0%</w:t>
            </w:r>
          </w:p>
        </w:tc>
        <w:tc>
          <w:tcPr/>
          <w:p>
            <w:pPr>
              <w:pStyle w:val="Compact"/>
            </w:pPr>
          </w:p>
        </w:tc>
        <w:tc>
          <w:tcPr/>
          <w:p>
            <w:pPr>
              <w:pStyle w:val="Compact"/>
            </w:pPr>
            <w:r>
              <w:rPr>
                <w:rFonts w:ascii="Calibri" w:hAnsi="Calibri"/>
                <w:sz w:val="20"/>
              </w:rPr>
              <w:t xml:space="preserve">74,2</w:t>
            </w:r>
          </w:p>
        </w:tc>
      </w:tr>
    </w:tbl>
    <w:p>
      <w:pPr>
        <w:pStyle w:val="BodyText"/>
      </w:pPr>
      <w:r>
        <w:t xml:space="preserve">Entre corchetes, los intervalos de 90% del</w:t>
      </w:r>
      <w:r>
        <w:t xml:space="preserve"> </w:t>
      </w:r>
      <w:r>
        <w:rPr>
          <w:i/>
          <w:iCs/>
        </w:rPr>
        <w:t xml:space="preserve">bootstrap</w:t>
      </w:r>
      <w:r>
        <w:t xml:space="preserve"> </w:t>
      </w:r>
      <w:r>
        <w:t xml:space="preserve">de parámetros. Las filas a la manera del FMI no tienen intervalo porque ese procedimiento no estima parámetros.</w:t>
      </w:r>
    </w:p>
    <w:p>
      <w:pPr>
        <w:pStyle w:val="BodyText"/>
      </w:pPr>
      <w:r>
        <w:t xml:space="preserve">La Figura 6.4 resume la tabla: en todas las especificaciones, la barra de 2030 y su intervalo quedan por encima del 3% del FMI.</w:t>
      </w:r>
    </w:p>
    <w:p>
      <w:pPr>
        <w:pStyle w:val="CaptionedFigure"/>
      </w:pPr>
      <w:r>
        <w:drawing>
          <wp:inline>
            <wp:extent cx="5334000" cy="2590800"/>
            <wp:effectExtent b="0" l="0" r="0" t="0"/>
            <wp:docPr descr="Figura 6.4. Probabilidad de no estabilización por especificación. A cinco y a diez años, con intervalos de 90% del bootstrap de parámetros, y el 3% del FMI (2025). La variante a la manera del FMI no tiene intervalo porque no estima parámetros." title="" id="110" name="Picture"/>
            <a:graphic>
              <a:graphicData uri="http://schemas.openxmlformats.org/drawingml/2006/picture">
                <pic:pic>
                  <pic:nvPicPr>
                    <pic:cNvPr descr="../tesis/figuras/fig6_4_probabilidad_no_estabilizacion.png" id="111" name="Picture"/>
                    <pic:cNvPicPr>
                      <a:picLocks noChangeArrowheads="1" noChangeAspect="1"/>
                    </pic:cNvPicPr>
                  </pic:nvPicPr>
                  <pic:blipFill>
                    <a:blip r:embed="rId109"/>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Figura 6.4. Probabilidad de no estabilización por especificación. A cinco y a diez años, con intervalos de 90% del bootstrap de parámetros, y el 3% del FMI (2025). La variante a la manera del FMI no tiene intervalo porque no estima parámetros.</w:t>
      </w:r>
    </w:p>
    <w:bookmarkEnd w:id="112"/>
    <w:bookmarkEnd w:id="113"/>
    <w:bookmarkStart w:id="125" w:name="discusión"/>
    <w:p>
      <w:pPr>
        <w:pStyle w:val="Heading1"/>
      </w:pPr>
      <w:r>
        <w:t xml:space="preserve">7. Discusión</w:t>
      </w:r>
    </w:p>
    <w:bookmarkStart w:id="114" w:name="Xd2bfaf14c1e57bc7fc44159cc760bdc22586e66"/>
    <w:p>
      <w:pPr>
        <w:pStyle w:val="Heading2"/>
      </w:pPr>
      <w:r>
        <w:t xml:space="preserve">7.1 Qué cambia respecto del diagnóstico del FMI</w:t>
      </w:r>
    </w:p>
    <w:p>
      <w:pPr>
        <w:pStyle w:val="FirstParagraph"/>
      </w:pPr>
      <w:r>
        <w:t xml:space="preserve">El FMI (2025, anexo II) concluye que la deuda argentina es sostenible pero no con alta probabilidad, y estima en alrededor de 97% la probabilidad de que se estabilice. Esta tesis llega a un diagnóstico más exigente con el mismo escenario base. Con shocks identificados y el perímetro consolidado, la probabilidad de no estabilización a cinco años es de 11,8%, con un intervalo de 90% de 8,0% a 15,8%. Como el escenario base es el mismo, la diferencia no viene de supuestos más pesimistas sobre crecimiento, superávit o tasas. Viene de la forma de representar la incertidumbre alrededor de esos supuestos, que es la vacancia que plantea la sección 2.9.</w:t>
      </w:r>
    </w:p>
    <w:p>
      <w:pPr>
        <w:pStyle w:val="BodyText"/>
      </w:pPr>
      <w:r>
        <w:t xml:space="preserve">A diez años la diferencia se achica: 6,0%, con un límite inferior que coincide con el 3%. No es una contradicción. La métrica del FMI pregunta si el ajuste del escenario base alcanza para poner la deuda en una senda descendente (FMI, 2021, anexo VI, nota 9). En el escenario del FMI la deuda baja rápido, de modo que hacia 2035 quedan pocas trayectorias en las que el superávit previsto resulte insuficiente. El riesgo se concentra en los primeros años, que son también los que el FMI mira para su calificación de riesgo a mediano plazo.</w:t>
      </w:r>
    </w:p>
    <w:bookmarkEnd w:id="114"/>
    <w:bookmarkStart w:id="121"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2030 es de 19,4 puntos del PIB, contra 74,2 del FMI. A primera vista, un abanico cuatro veces más angosto debería dar una probabilidad de no estabilización menor, no mayor. La variante con shocks a la manera del FMI (sección 6.6) permite separar las causas, porque usa los mismos datos, la misma identidad y la misma métrica, y cambia solo la forma de generar los shocks.</w:t>
      </w:r>
    </w:p>
    <w:p>
      <w:pPr>
        <w:pStyle w:val="BodyText"/>
      </w:pPr>
      <w:r>
        <w:rPr>
          <w:b/>
          <w:bCs/>
        </w:rPr>
        <w:t xml:space="preserve">El ancho depende de cómo se generan los shocks, no del perímetro.</w:t>
      </w:r>
      <w:r>
        <w:t xml:space="preserve"> </w:t>
      </w:r>
      <w:r>
        <w:t xml:space="preserve">Con el procedimiento del FMI aplicado a la deuda neta, el ancho es de 93,3 puntos, del mismo orden que el del FMI. Con el SVARX, la deuda bruta da 20,9 puntos, casi lo mismo que la neta. El perímetro mueve el ancho en uno o dos puntos y la forma de los shocks lo multiplica por cuatro.</w:t>
      </w:r>
    </w:p>
    <w:p>
      <w:pPr>
        <w:pStyle w:val="BodyText"/>
      </w:pPr>
      <w:r>
        <w:t xml:space="preserve">La Figura 7.1 compara los dos abanicos. Las medianas son casi iguales, porque las fija el escenario base; lo que cambia es la dispersión.</w:t>
      </w:r>
    </w:p>
    <w:p>
      <w:pPr>
        <w:pStyle w:val="CaptionedFigure"/>
      </w:pPr>
      <w:r>
        <w:drawing>
          <wp:inline>
            <wp:extent cx="5334000" cy="2895600"/>
            <wp:effectExtent b="0" l="0" r="0" t="0"/>
            <wp:docPr descr="Figura 7.1. Abanicos con shocks del SVARX y con shocks a la manera del FMI. Deuda consolidada neta simulada, percentiles 5 y 95 y mediana (% del PIB). Los shocks a la manera del FMI son bloques de dos años de desvíos históricos, 1997-2025." title="" id="116" name="Picture"/>
            <a:graphic>
              <a:graphicData uri="http://schemas.openxmlformats.org/drawingml/2006/picture">
                <pic:pic>
                  <pic:nvPicPr>
                    <pic:cNvPr descr="../tesis/figuras/fig7_1_abanico_svarx_vs_fmi.png" id="117" name="Picture"/>
                    <pic:cNvPicPr>
                      <a:picLocks noChangeArrowheads="1" noChangeAspect="1"/>
                    </pic:cNvPicPr>
                  </pic:nvPicPr>
                  <pic:blipFill>
                    <a:blip r:embed="rId115"/>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 shocks del SVARX y con shocks a la manera del FMI. Deuda consolidada neta simulada, percentiles 5 y 95 y mediana (% del PIB). Los shocks a la manera del FMI son bloques de dos años de desvíos históricos, 1997-2025.</w:t>
      </w:r>
    </w:p>
    <w:p>
      <w:pPr>
        <w:pStyle w:val="BodyText"/>
      </w:pPr>
      <w:r>
        <w:rPr>
          <w:b/>
          <w:bCs/>
        </w:rPr>
        <w:t xml:space="preserve">Qué ensancha el abanico del procedimiento del FMI.</w:t>
      </w:r>
      <w:r>
        <w:t xml:space="preserve"> </w:t>
      </w:r>
      <w:r>
        <w:t xml:space="preserve">El ejercicio de la Tabla 7.1 repite esa variante quitando el año 2002 o fijando cada impulsor en su media histórica.</w:t>
      </w:r>
    </w:p>
    <w:p>
      <w:pPr>
        <w:pStyle w:val="BodyText"/>
      </w:pPr>
      <w:r>
        <w:rPr>
          <w:b/>
          <w:bCs/>
        </w:rPr>
        <w:t xml:space="preserve">Tabla 7.1. Diagnóstico de la variante con shocks 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23,2%</w:t>
            </w:r>
          </w:p>
        </w:tc>
        <w:tc>
          <w:tcPr/>
          <w:p>
            <w:pPr>
              <w:pStyle w:val="Compact"/>
            </w:pPr>
            <w:r>
              <w:rPr>
                <w:rFonts w:ascii="Calibri" w:hAnsi="Calibri"/>
                <w:sz w:val="20"/>
              </w:rPr>
              <w:t xml:space="preserve">15,0%</w:t>
            </w:r>
          </w:p>
        </w:tc>
        <w:tc>
          <w:tcPr/>
          <w:p>
            <w:pPr>
              <w:pStyle w:val="Compact"/>
            </w:pPr>
            <w:r>
              <w:rPr>
                <w:rFonts w:ascii="Calibri" w:hAnsi="Calibri"/>
                <w:sz w:val="20"/>
              </w:rPr>
              <w:t xml:space="preserve">70,1</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20,4%</w:t>
            </w:r>
          </w:p>
        </w:tc>
        <w:tc>
          <w:tcPr/>
          <w:p>
            <w:pPr>
              <w:pStyle w:val="Compact"/>
            </w:pPr>
            <w:r>
              <w:rPr>
                <w:rFonts w:ascii="Calibri" w:hAnsi="Calibri"/>
                <w:sz w:val="20"/>
              </w:rPr>
              <w:t xml:space="preserve">12,8%</w:t>
            </w:r>
          </w:p>
        </w:tc>
        <w:tc>
          <w:tcPr/>
          <w:p>
            <w:pPr>
              <w:pStyle w:val="Compact"/>
            </w:pPr>
            <w:r>
              <w:rPr>
                <w:rFonts w:ascii="Calibri" w:hAnsi="Calibri"/>
                <w:sz w:val="20"/>
              </w:rPr>
              <w:t xml:space="preserve">69,0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10,6%</w:t>
            </w:r>
          </w:p>
        </w:tc>
        <w:tc>
          <w:tcPr/>
          <w:p>
            <w:pPr>
              <w:pStyle w:val="Compact"/>
            </w:pPr>
            <w:r>
              <w:rPr>
                <w:rFonts w:ascii="Calibri" w:hAnsi="Calibri"/>
                <w:sz w:val="20"/>
              </w:rPr>
              <w:t xml:space="preserve">7,2%</w:t>
            </w:r>
          </w:p>
        </w:tc>
        <w:tc>
          <w:tcPr/>
          <w:p>
            <w:pPr>
              <w:pStyle w:val="Compact"/>
            </w:pPr>
            <w:r>
              <w:rPr>
                <w:rFonts w:ascii="Calibri" w:hAnsi="Calibri"/>
                <w:sz w:val="20"/>
              </w:rPr>
              <w:t xml:space="preserve">62,2</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22,4%</w:t>
            </w:r>
          </w:p>
        </w:tc>
        <w:tc>
          <w:tcPr/>
          <w:p>
            <w:pPr>
              <w:pStyle w:val="Compact"/>
            </w:pPr>
            <w:r>
              <w:rPr>
                <w:rFonts w:ascii="Calibri" w:hAnsi="Calibri"/>
                <w:sz w:val="20"/>
              </w:rPr>
              <w:t xml:space="preserve">12,1%</w:t>
            </w:r>
          </w:p>
        </w:tc>
        <w:tc>
          <w:tcPr/>
          <w:p>
            <w:pPr>
              <w:pStyle w:val="Compact"/>
            </w:pPr>
            <w:r>
              <w:rPr>
                <w:rFonts w:ascii="Calibri" w:hAnsi="Calibri"/>
                <w:sz w:val="20"/>
              </w:rPr>
              <w:t xml:space="preserve">80,2</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23,3%</w:t>
            </w:r>
          </w:p>
        </w:tc>
        <w:tc>
          <w:tcPr/>
          <w:p>
            <w:pPr>
              <w:pStyle w:val="Compact"/>
            </w:pPr>
            <w:r>
              <w:rPr>
                <w:rFonts w:ascii="Calibri" w:hAnsi="Calibri"/>
                <w:sz w:val="20"/>
              </w:rPr>
              <w:t xml:space="preserve">14,6%</w:t>
            </w:r>
          </w:p>
        </w:tc>
        <w:tc>
          <w:tcPr/>
          <w:p>
            <w:pPr>
              <w:pStyle w:val="Compact"/>
            </w:pPr>
            <w:r>
              <w:rPr>
                <w:rFonts w:ascii="Calibri" w:hAnsi="Calibri"/>
                <w:sz w:val="20"/>
              </w:rPr>
              <w:t xml:space="preserve">95,7</w:t>
            </w:r>
          </w:p>
        </w:tc>
      </w:tr>
    </w:tbl>
    <w:p>
      <w:pPr>
        <w:pStyle w:val="BodyText"/>
      </w:pPr>
      <w:r>
        <w:t xml:space="preserve">Fuente:</w:t>
      </w:r>
      <w:r>
        <w:t xml:space="preserve"> </w:t>
      </w:r>
      <w:r>
        <w:rPr>
          <w:rStyle w:val="VerbatimChar"/>
        </w:rPr>
        <w:t xml:space="preserve">codigo/modelos/fase25b_diagnostico_abanico_fmi.py</w:t>
      </w:r>
      <w:r>
        <w:t xml:space="preserve">.</w:t>
      </w:r>
    </w:p>
    <w:p>
      <w:pPr>
        <w:pStyle w:val="BodyText"/>
      </w:pPr>
      <w:r>
        <w:t xml:space="preserve">Un solo año, 2002, aporta un cuarto del ancho: la depreciación real de ese año (145%) aparece, con probabilidad uno en catorce, en cada bloque de dos años sorteado. La probabilidad de no estabilización, en cambio, depende sobre todo de la tasa real efectiva. Esa tasa pasó de valores positivos durante la convertibilidad (entre 6% y 9% en 1997-2001) a valores muy negativos con la inflación posterior (-56% en 2023 y -66% en 2024). El procedimiento del FMI mide los shocks como desvíos respecto de una única media para todo el período, de -17%. Así, un año como 1999 cuenta como un shock de 26 puntos de tasa real, y puede aparecer en 2030 junto con cualquier otro año de la muestra, aunque correspondan a regímenes monetarios distintos. Es una manifestación del problema que el propio FMI y el ESM (2023) señalan como desafío de su método: que la historia usada para generar el abanico sea representativa del futuro.</w:t>
      </w:r>
    </w:p>
    <w:p>
      <w:pPr>
        <w:pStyle w:val="CaptionedFigure"/>
      </w:pPr>
      <w:r>
        <w:drawing>
          <wp:inline>
            <wp:extent cx="5334000" cy="3501390"/>
            <wp:effectExtent b="0" l="0" r="0" t="0"/>
            <wp:docPr descr="Figura 7.2. Impulsores anuales de la deuda que usa la variante a la manera del FMI, 1997-2025. La tasa real efectiva pasa de valores positivos en la convertibilidad a valores muy negativos con la inflación posterior." title="" id="119" name="Picture"/>
            <a:graphic>
              <a:graphicData uri="http://schemas.openxmlformats.org/drawingml/2006/picture">
                <pic:pic>
                  <pic:nvPicPr>
                    <pic:cNvPr descr="../tesis/figuras/fig7_2_impulsores_historicos.png" id="120" name="Picture"/>
                    <pic:cNvPicPr>
                      <a:picLocks noChangeArrowheads="1" noChangeAspect="1"/>
                    </pic:cNvPicPr>
                  </pic:nvPicPr>
                  <pic:blipFill>
                    <a:blip r:embed="rId118"/>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que usa la variante a la manera del FMI, 1997-2025. La tasa real efectiva pasa de valores positivos en la convertibilidad a valores muy negativos con la inflación posterior.</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El resultado es un abanico más angosto, pero con una forma que importa: los shocks cambiarios y de riesgo son persistentes y están correlacionados entre sí, y por eso, cuando ocurren, empujan la deuda hacia arriba durante varios años seguidos. Con esa persistencia, una dispersión menor alcanza para que en 12% de las trayectorias el superávit del escenario base no frene la suba de la deuda en 2030.</w:t>
      </w:r>
    </w:p>
    <w:p>
      <w:pPr>
        <w:pStyle w:val="BodyText"/>
      </w:pPr>
      <w:r>
        <w:rPr>
          <w:b/>
          <w:bCs/>
        </w:rPr>
        <w:t xml:space="preserve">Lo que no se puede reproducir.</w:t>
      </w:r>
      <w:r>
        <w:t xml:space="preserve"> </w:t>
      </w:r>
      <w:r>
        <w:t xml:space="preserve">Con nuestros datos, el procedimiento del FMI da 23,5% de no estabilización, no 3%. El FMI no publica la muestra histórica ni los datos de los impulsores que usa para Argentina, así que esta diferencia no se puede descomponer con la información disponible. Las dos estimaciones de esta tesis (11,8% con el SVARX y 23,5% con el procedimiento del FMI) superan el 3%, de modo que la conclusión sobre H1b a cinco años no depende de esa elección.</w:t>
      </w:r>
    </w:p>
    <w:bookmarkEnd w:id="121"/>
    <w:bookmarkStart w:id="122" w:name="el-papel-del-superávit-primario"/>
    <w:p>
      <w:pPr>
        <w:pStyle w:val="Heading2"/>
      </w:pPr>
      <w:r>
        <w:t xml:space="preserve">7.3 El papel del superávit primario</w:t>
      </w:r>
    </w:p>
    <w:p>
      <w:pPr>
        <w:pStyle w:val="FirstParagraph"/>
      </w:pPr>
      <w:r>
        <w:t xml:space="preserve">La reacción fiscal estimada es positiva y significativa (0,051): en 1998-2025, el resultado primario respondió a la deuda, en línea con la condición de Bohn (1998). Pero el bloque fiscal explica menos de un quinto de la varianza de la deuda en 2035, y el cambiario y de riesgo, casi tres quintos. Esto respalda la idea central de H1a. El superávit es necesario, y el escenario base del FMI se apoya en él, pero no alcanza para controlar la trayectoria, porque la mayor parte del riesgo viene del tipo de cambio real y de la prima de riesgo. El resultado coincide con el diagnóstico de la restricción externa del Capítulo 3: con más de la mitad de la deuda en moneda extranjera, una depreciación real cambia el cociente de deuda aunque las cuentas fiscales estén en orden (Calvo et al., 2003).</w:t>
      </w:r>
    </w:p>
    <w:bookmarkEnd w:id="122"/>
    <w:bookmarkStart w:id="123" w:name="el-shock-de-la-fed"/>
    <w:p>
      <w:pPr>
        <w:pStyle w:val="Heading2"/>
      </w:pPr>
      <w:r>
        <w:t xml:space="preserve">7.4 El shock de la FED</w:t>
      </w:r>
    </w:p>
    <w:p>
      <w:pPr>
        <w:pStyle w:val="FirstParagraph"/>
      </w:pPr>
      <w:r>
        <w:t xml:space="preserve">El efecto de la FED depende del tamaño del shock. Una suba de medio punto no tiene un efecto distinguible. Un ciclo como el de 2022-2023 eleva la deuda en 7 puntos del PIB hacia 2035. Dos tercios de ese efecto vienen del canal más directo, el mayor costo de refinanciar la deuda en dólares, y un tercio de la respuesta del riesgo país, el tipo de cambio real y el crecimiento. Las respuestas al impulso de esas variables no son significativas por separado. Esto no quiere decir que los canales indirectos no existan. Uribe y Yue (2006) y Canova (2005) los documentan con paneles y muestras más largas. Quiere decir que una sola serie argentina de 111 trimestres no alcanza para medirlos con precisión. La conclusión sobre H2 descansa, por lo tanto, sobre todo en el canal de costo.</w:t>
      </w:r>
    </w:p>
    <w:bookmarkEnd w:id="123"/>
    <w:bookmarkStart w:id="124" w:name="limitaciones"/>
    <w:p>
      <w:pPr>
        <w:pStyle w:val="Heading2"/>
      </w:pPr>
      <w:r>
        <w:t xml:space="preserve">7.5 Limitaciones</w:t>
      </w:r>
    </w:p>
    <w:p>
      <w:pPr>
        <w:pStyle w:val="Compact"/>
        <w:numPr>
          <w:ilvl w:val="0"/>
          <w:numId w:val="1017"/>
        </w:numPr>
      </w:pPr>
      <w:r>
        <w:rPr>
          <w:b/>
          <w:bCs/>
        </w:rPr>
        <w:t xml:space="preserve">Escenario base.</w:t>
      </w:r>
      <w:r>
        <w:t xml:space="preserve"> </w:t>
      </w:r>
      <w:r>
        <w:t xml:space="preserve">Todos los resultados están condicionados al escenario del FMI, que supone una tasa real efectiva negativa durante toda la década. Si la desinflación avanza más rápido de lo que supone el FMI, el efecto licuación se reduce y las probabilidades de este capítulo serían cotas inferiores.</w:t>
      </w:r>
    </w:p>
    <w:p>
      <w:pPr>
        <w:pStyle w:val="Compact"/>
        <w:numPr>
          <w:ilvl w:val="0"/>
          <w:numId w:val="1017"/>
        </w:numPr>
      </w:pPr>
      <w:r>
        <w:rPr>
          <w:b/>
          <w:bCs/>
        </w:rPr>
        <w:t xml:space="preserve">Tasas en pesos.</w:t>
      </w:r>
      <w:r>
        <w:t xml:space="preserve"> </w:t>
      </w:r>
      <w:r>
        <w:t xml:space="preserve">La especificación principal no hace depender la tasa de la deuda en pesos del riesgo país. Cuando se agrega ese canal, las probabilidades suben y H1b pasa a cumplirse también a diez años. Por eso, la especificación principal es conservadora.</w:t>
      </w:r>
    </w:p>
    <w:p>
      <w:pPr>
        <w:pStyle w:val="Compact"/>
        <w:numPr>
          <w:ilvl w:val="0"/>
          <w:numId w:val="1017"/>
        </w:numPr>
      </w:pPr>
      <w:r>
        <w:rPr>
          <w:b/>
          <w:bCs/>
        </w:rPr>
        <w:t xml:space="preserve">Activos del FGS.</w:t>
      </w:r>
      <w:r>
        <w:t xml:space="preserve"> </w:t>
      </w:r>
      <w:r>
        <w:t xml:space="preserve">La deuda neta no descuenta los títulos públicos en poder del Fondo de Garantía de Sustentabilidad, porque no hay una serie trimestral pública para todo el período (Capítulo 5). Por eso la deuda neta de esta tesis queda por encima de la consolidada que informa el FMI.</w:t>
      </w:r>
    </w:p>
    <w:p>
      <w:pPr>
        <w:pStyle w:val="Compact"/>
        <w:numPr>
          <w:ilvl w:val="0"/>
          <w:numId w:val="1017"/>
        </w:numPr>
      </w:pPr>
      <w:r>
        <w:rPr>
          <w:b/>
          <w:bCs/>
        </w:rPr>
        <w:t xml:space="preserve">Autocorrelación residual.</w:t>
      </w:r>
      <w:r>
        <w:t xml:space="preserve"> </w:t>
      </w:r>
      <w:r>
        <w:t xml:space="preserve">La prueba de Portmanteau rechaza la ausencia de autocorrelación al 5% (p = 0,036). Los órdenes que la eliminarían son inestables, de modo que se mantuvo el orden estable y se informa la limitación.</w:t>
      </w:r>
    </w:p>
    <w:p>
      <w:pPr>
        <w:pStyle w:val="Compact"/>
        <w:numPr>
          <w:ilvl w:val="0"/>
          <w:numId w:val="1017"/>
        </w:numPr>
      </w:pPr>
      <w:r>
        <w:rPr>
          <w:b/>
          <w:bCs/>
        </w:rPr>
        <w:t xml:space="preserve">Precisión de los canales externos.</w:t>
      </w:r>
      <w:r>
        <w:t xml:space="preserve"> </w:t>
      </w:r>
      <w:r>
        <w:t xml:space="preserve">Las respuestas individuales a la FED no son significativas, por lo que la descomposición del efecto de H2 por canales se informa como estimación puntual.</w:t>
      </w:r>
    </w:p>
    <w:bookmarkEnd w:id="124"/>
    <w:bookmarkEnd w:id="125"/>
    <w:bookmarkStart w:id="126"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(SPNF y BCRA) en 2026-2035, y cuál es la probabilidad de que no se estabilice. Para responderla se estimó un SVAR con variables exógenas sobre datos trimestrales de 1996-2025, con la deuda consolidada neta construida según el criterio del FMI (2021, anexo II), y se lo usó para simular la deuda alrededor del escenario base del FMI (2025).</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La política fiscal respondió a la deuda en el período (una reacción de 0,05 por punto de deuda, significativa), pero los shocks cambiarios y de riesgo explican cerca de 60% de la incertidumbre sobre la deuda en 2035, y los fiscales, menos de 20%. El resultado se mantiene con la deuda bruta, con la deuda neta a valor libros y con el canal de tasas en pesos.</w:t>
      </w:r>
    </w:p>
    <w:p>
      <w:pPr>
        <w:pStyle w:val="BodyText"/>
      </w:pPr>
      <w:r>
        <w:rPr>
          <w:b/>
          <w:bCs/>
        </w:rPr>
        <w:t xml:space="preserve">Segunda (H1b).</w:t>
      </w:r>
      <w:r>
        <w:t xml:space="preserve"> </w:t>
      </w:r>
      <w:r>
        <w:t xml:space="preserve">Con shocks identificados, la probabilidad de que la deuda consolidada no se estabilice en el horizonte de cinco años que usa el FMI es de 11,8% (entre 8,0% y 15,8%), casi cuatro veces el 3% que surge del análisis oficial. A diez años baja a 6,0%, y su límite inferior coincide con el umbral. Con la deuda bruta, con la neta a valor libros o con el canal de tasas en pesos, el límite inferior a diez años también supera el 3%. El procedimiento de shocks del FMI aplicado a los mismos datos da probabilidades todavía mayores. El diagnóstico de sostenibilidad del FMI es, por lo tanto, más optimista que el que surge de representar la incertidumbre con la dinámica histórica de la economía argentina, sobre todo en los primeros cinco años.</w:t>
      </w:r>
    </w:p>
    <w:p>
      <w:pPr>
        <w:pStyle w:val="BodyText"/>
      </w:pPr>
      <w:r>
        <w:rPr>
          <w:b/>
          <w:bCs/>
        </w:rPr>
        <w:t xml:space="preserve">Tercera (H2).</w:t>
      </w:r>
      <w:r>
        <w:t xml:space="preserve"> </w:t>
      </w:r>
      <w:r>
        <w:t xml:space="preserve">Un endurecimiento de la FED de la magnitud del de 2022-2023 eleva la deuda esperada en 7 puntos del PIB hacia 2035 y la probabilidad de no estabilización en casi 8 puntos. Un shock de medio punto no tiene un efecto distinguible. La mayor parte del efecto pasa por el costo de refinanciar la deuda en dólares. Los canales indirectos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depende menos del esfuerzo fiscal, que el escenario base ya incorpora, que de la exposición al tipo de cambio real y a la prima de riesgo. Reducir la proporción de deuda en moneda extranjera y alargar los plazos atacan directamente los dos canales que dominan la varianza en esta tesis. Con eso no se reemplaza el superávit, pero se reduce la sensibilidad de la deuda a los shocks que el superávit no controla.</w:t>
      </w:r>
    </w:p>
    <w:p>
      <w:pPr>
        <w:pStyle w:val="BodyText"/>
      </w:pPr>
      <w:r>
        <w:rPr>
          <w:b/>
          <w:bCs/>
        </w:rPr>
        <w:t xml:space="preserve">Líneas de trabajo futuro.</w:t>
      </w:r>
      <w:r>
        <w:t xml:space="preserve"> </w:t>
      </w:r>
      <w:r>
        <w:t xml:space="preserve">Tres extensiones se desprenden de las limitaciones: incorporar los activos del FGS cuando haya una serie trimestral pública, modelar una tasa en pesos homogénea para todo el período y estimar los canales de la FED con un panel de economías emergentes que dé más precisión a las respuestas indirectas.</w:t>
      </w:r>
    </w:p>
    <w:bookmarkEnd w:id="126"/>
    <w:bookmarkStart w:id="132" w:name="apéndice-estadístico"/>
    <w:p>
      <w:pPr>
        <w:pStyle w:val="Heading1"/>
      </w:pPr>
      <w:r>
        <w:t xml:space="preserve">Apéndice estadístico</w:t>
      </w:r>
    </w:p>
    <w:p>
      <w:pPr>
        <w:pStyle w:val="FirstParagraph"/>
      </w:pPr>
      <w:r>
        <w:t xml:space="preserve">Tablas generadas con</w:t>
      </w:r>
      <w:r>
        <w:t xml:space="preserve"> </w:t>
      </w:r>
      <w:r>
        <w:rPr>
          <w:rStyle w:val="VerbatimChar"/>
        </w:rPr>
        <w:t xml:space="preserve">codigo/modelos/apendice_tablas.py</w:t>
      </w:r>
      <w:r>
        <w:t xml:space="preserve"> </w:t>
      </w:r>
      <w:r>
        <w:t xml:space="preserve">a partir de los resultados de</w:t>
      </w:r>
      <w:r>
        <w:t xml:space="preserve"> </w:t>
      </w:r>
      <w:r>
        <w:rPr>
          <w:rStyle w:val="VerbatimChar"/>
        </w:rPr>
        <w:t xml:space="preserve">fase24_svarx_1996_2025.py</w:t>
      </w:r>
      <w:r>
        <w:t xml:space="preserve"> </w:t>
      </w:r>
      <w:r>
        <w:t xml:space="preserve">y</w:t>
      </w:r>
      <w:r>
        <w:t xml:space="preserve"> </w:t>
      </w:r>
      <w:r>
        <w:rPr>
          <w:rStyle w:val="VerbatimChar"/>
        </w:rPr>
        <w:t xml:space="preserve">fase25_simulacion_dsa_svarx.py</w:t>
      </w:r>
      <w:r>
        <w:t xml:space="preserve">.</w:t>
      </w:r>
    </w:p>
    <w:bookmarkStart w:id="127" w:name="a.1-selección-del-orden-del-var"/>
    <w:p>
      <w:pPr>
        <w:pStyle w:val="Heading2"/>
      </w:pPr>
      <w:r>
        <w:t xml:space="preserve">A.1 Selección del orden del VAR</w:t>
      </w:r>
    </w:p>
    <w:p>
      <w:pPr>
        <w:pStyle w:val="FirstParagraph"/>
      </w:pPr>
      <w:r>
        <w:t xml:space="preserve">Muestra efectiva común 1998T2-2025T4 (111 trimestres) para todos los órdenes (sección 4.5). El orden elegido es el mayor orden estable que no supera al que minimiza el AIC.</w:t>
      </w:r>
    </w:p>
    <w:p>
      <w:pPr>
        <w:pStyle w:val="BodyText"/>
      </w:pPr>
      <w:r>
        <w:rPr>
          <w:b/>
          <w:bCs/>
        </w:rPr>
        <w:t xml:space="preserve">Deuda consolidada neta, valor nominal (principal).</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12,351</w:t>
            </w:r>
          </w:p>
        </w:tc>
        <w:tc>
          <w:tcPr/>
          <w:p>
            <w:pPr>
              <w:pStyle w:val="Compact"/>
            </w:pPr>
            <w:r>
              <w:rPr>
                <w:rFonts w:ascii="Calibri" w:hAnsi="Calibri"/>
                <w:sz w:val="20"/>
              </w:rPr>
              <w:t xml:space="preserve">13,914</w:t>
            </w:r>
          </w:p>
        </w:tc>
        <w:tc>
          <w:tcPr/>
          <w:p>
            <w:pPr>
              <w:pStyle w:val="Compact"/>
            </w:pPr>
            <w:r>
              <w:rPr>
                <w:rFonts w:ascii="Calibri" w:hAnsi="Calibri"/>
                <w:sz w:val="20"/>
              </w:rPr>
              <w:t xml:space="preserve">12,985</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12,052</w:t>
            </w:r>
          </w:p>
        </w:tc>
        <w:tc>
          <w:tcPr/>
          <w:p>
            <w:pPr>
              <w:pStyle w:val="Compact"/>
            </w:pPr>
            <w:r>
              <w:rPr>
                <w:rFonts w:ascii="Calibri" w:hAnsi="Calibri"/>
                <w:sz w:val="20"/>
              </w:rPr>
              <w:t xml:space="preserve">14,005</w:t>
            </w:r>
          </w:p>
        </w:tc>
        <w:tc>
          <w:tcPr/>
          <w:p>
            <w:pPr>
              <w:pStyle w:val="Compact"/>
            </w:pPr>
            <w:r>
              <w:rPr>
                <w:rFonts w:ascii="Calibri" w:hAnsi="Calibri"/>
                <w:sz w:val="20"/>
              </w:rPr>
              <w:t xml:space="preserve">12,844</w:t>
            </w:r>
          </w:p>
        </w:tc>
        <w:tc>
          <w:tcPr/>
          <w:p>
            <w:pPr>
              <w:pStyle w:val="Compact"/>
            </w:pPr>
            <w:r>
              <w:rPr>
                <w:rFonts w:ascii="Calibri" w:hAnsi="Calibri"/>
                <w:sz w:val="20"/>
              </w:rPr>
              <w:t xml:space="preserve">0,894</w:t>
            </w:r>
          </w:p>
        </w:tc>
        <w:tc>
          <w:tcPr/>
          <w:p>
            <w:pPr>
              <w:pStyle w:val="Compact"/>
            </w:pPr>
            <w:r>
              <w:rPr>
                <w:rFonts w:ascii="Calibri" w:hAnsi="Calibri"/>
                <w:sz w:val="20"/>
              </w:rPr>
              <w:t xml:space="preserve">sí</w:t>
            </w:r>
          </w:p>
        </w:tc>
        <w:tc>
          <w:tcPr/>
          <w:p>
            <w:pPr>
              <w:pStyle w:val="Compact"/>
            </w:pPr>
            <w:r>
              <w:rPr>
                <w:rFonts w:ascii="Calibri" w:hAnsi="Calibri"/>
                <w:sz w:val="20"/>
              </w:rPr>
              <w:t xml:space="preserve">0,039</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12,125</w:t>
            </w:r>
          </w:p>
        </w:tc>
        <w:tc>
          <w:tcPr/>
          <w:p>
            <w:pPr>
              <w:pStyle w:val="Compact"/>
            </w:pPr>
            <w:r>
              <w:rPr>
                <w:rFonts w:ascii="Calibri" w:hAnsi="Calibri"/>
                <w:sz w:val="20"/>
              </w:rPr>
              <w:t xml:space="preserve">14,468</w:t>
            </w:r>
          </w:p>
        </w:tc>
        <w:tc>
          <w:tcPr/>
          <w:p>
            <w:pPr>
              <w:pStyle w:val="Compact"/>
            </w:pPr>
            <w:r>
              <w:rPr>
                <w:rFonts w:ascii="Calibri" w:hAnsi="Calibri"/>
                <w:sz w:val="20"/>
              </w:rPr>
              <w:t xml:space="preserve">13,075</w:t>
            </w:r>
          </w:p>
        </w:tc>
        <w:tc>
          <w:tcPr/>
          <w:p>
            <w:pPr>
              <w:pStyle w:val="Compact"/>
            </w:pPr>
            <w:r>
              <w:rPr>
                <w:rFonts w:ascii="Calibri" w:hAnsi="Calibri"/>
                <w:sz w:val="20"/>
              </w:rPr>
              <w:t xml:space="preserve">0,964</w:t>
            </w:r>
          </w:p>
        </w:tc>
        <w:tc>
          <w:tcPr/>
          <w:p>
            <w:pPr>
              <w:pStyle w:val="Compact"/>
            </w:pPr>
            <w:r>
              <w:rPr>
                <w:rFonts w:ascii="Calibri" w:hAnsi="Calibri"/>
                <w:sz w:val="20"/>
              </w:rPr>
              <w:t xml:space="preserve">sí</w:t>
            </w:r>
          </w:p>
        </w:tc>
        <w:tc>
          <w:tcPr/>
          <w:p>
            <w:pPr>
              <w:pStyle w:val="Compact"/>
            </w:pPr>
            <w:r>
              <w:rPr>
                <w:rFonts w:ascii="Calibri" w:hAnsi="Calibri"/>
                <w:sz w:val="20"/>
              </w:rPr>
              <w:t xml:space="preserve">0,036</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12,009</w:t>
            </w:r>
          </w:p>
        </w:tc>
        <w:tc>
          <w:tcPr/>
          <w:p>
            <w:pPr>
              <w:pStyle w:val="Compact"/>
            </w:pPr>
            <w:r>
              <w:rPr>
                <w:rFonts w:ascii="Calibri" w:hAnsi="Calibri"/>
                <w:sz w:val="20"/>
              </w:rPr>
              <w:t xml:space="preserve">14,743</w:t>
            </w:r>
          </w:p>
        </w:tc>
        <w:tc>
          <w:tcPr/>
          <w:p>
            <w:pPr>
              <w:pStyle w:val="Compact"/>
            </w:pPr>
            <w:r>
              <w:rPr>
                <w:rFonts w:ascii="Calibri" w:hAnsi="Calibri"/>
                <w:sz w:val="20"/>
              </w:rPr>
              <w:t xml:space="preserve">13,118</w:t>
            </w:r>
          </w:p>
        </w:tc>
        <w:tc>
          <w:tcPr/>
          <w:p>
            <w:pPr>
              <w:pStyle w:val="Compact"/>
            </w:pPr>
            <w:r>
              <w:rPr>
                <w:rFonts w:ascii="Calibri" w:hAnsi="Calibri"/>
                <w:sz w:val="20"/>
              </w:rPr>
              <w:t xml:space="preserve">1,021</w:t>
            </w:r>
          </w:p>
        </w:tc>
        <w:tc>
          <w:tcPr/>
          <w:p>
            <w:pPr>
              <w:pStyle w:val="Compact"/>
            </w:pPr>
            <w:r>
              <w:rPr>
                <w:rFonts w:ascii="Calibri" w:hAnsi="Calibri"/>
                <w:sz w:val="20"/>
              </w:rPr>
              <w:t xml:space="preserve">no</w:t>
            </w:r>
          </w:p>
        </w:tc>
        <w:tc>
          <w:tcPr/>
          <w:p>
            <w:pPr>
              <w:pStyle w:val="Compact"/>
            </w:pPr>
            <w:r>
              <w:rPr>
                <w:rFonts w:ascii="Calibri" w:hAnsi="Calibri"/>
                <w:sz w:val="20"/>
              </w:rPr>
              <w:t xml:space="preserve">0,023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11,939</w:t>
            </w:r>
          </w:p>
        </w:tc>
        <w:tc>
          <w:tcPr/>
          <w:p>
            <w:pPr>
              <w:pStyle w:val="Compact"/>
            </w:pPr>
            <w:r>
              <w:rPr>
                <w:rFonts w:ascii="Calibri" w:hAnsi="Calibri"/>
                <w:sz w:val="20"/>
              </w:rPr>
              <w:t xml:space="preserve">15,064</w:t>
            </w:r>
          </w:p>
        </w:tc>
        <w:tc>
          <w:tcPr/>
          <w:p>
            <w:pPr>
              <w:pStyle w:val="Compact"/>
            </w:pPr>
            <w:r>
              <w:rPr>
                <w:rFonts w:ascii="Calibri" w:hAnsi="Calibri"/>
                <w:sz w:val="20"/>
              </w:rPr>
              <w:t xml:space="preserve">13,207</w:t>
            </w:r>
          </w:p>
        </w:tc>
        <w:tc>
          <w:tcPr/>
          <w:p>
            <w:pPr>
              <w:pStyle w:val="Compact"/>
            </w:pPr>
            <w:r>
              <w:rPr>
                <w:rFonts w:ascii="Calibri" w:hAnsi="Calibri"/>
                <w:sz w:val="20"/>
              </w:rPr>
              <w:t xml:space="preserve">1,024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1,033</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neta, valor libros.</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12,326</w:t>
            </w:r>
          </w:p>
        </w:tc>
        <w:tc>
          <w:tcPr/>
          <w:p>
            <w:pPr>
              <w:pStyle w:val="Compact"/>
            </w:pPr>
            <w:r>
              <w:rPr>
                <w:rFonts w:ascii="Calibri" w:hAnsi="Calibri"/>
                <w:sz w:val="20"/>
              </w:rPr>
              <w:t xml:space="preserve">13,888</w:t>
            </w:r>
          </w:p>
        </w:tc>
        <w:tc>
          <w:tcPr/>
          <w:p>
            <w:pPr>
              <w:pStyle w:val="Compact"/>
            </w:pPr>
            <w:r>
              <w:rPr>
                <w:rFonts w:ascii="Calibri" w:hAnsi="Calibri"/>
                <w:sz w:val="20"/>
              </w:rPr>
              <w:t xml:space="preserve">12,960</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12,043</w:t>
            </w:r>
          </w:p>
        </w:tc>
        <w:tc>
          <w:tcPr/>
          <w:p>
            <w:pPr>
              <w:pStyle w:val="Compact"/>
            </w:pPr>
            <w:r>
              <w:rPr>
                <w:rFonts w:ascii="Calibri" w:hAnsi="Calibri"/>
                <w:sz w:val="20"/>
              </w:rPr>
              <w:t xml:space="preserve">13,996</w:t>
            </w:r>
          </w:p>
        </w:tc>
        <w:tc>
          <w:tcPr/>
          <w:p>
            <w:pPr>
              <w:pStyle w:val="Compact"/>
            </w:pPr>
            <w:r>
              <w:rPr>
                <w:rFonts w:ascii="Calibri" w:hAnsi="Calibri"/>
                <w:sz w:val="20"/>
              </w:rPr>
              <w:t xml:space="preserve">12,835</w:t>
            </w:r>
          </w:p>
        </w:tc>
        <w:tc>
          <w:tcPr/>
          <w:p>
            <w:pPr>
              <w:pStyle w:val="Compact"/>
            </w:pPr>
            <w:r>
              <w:rPr>
                <w:rFonts w:ascii="Calibri" w:hAnsi="Calibri"/>
                <w:sz w:val="20"/>
              </w:rPr>
              <w:t xml:space="preserve">0,900</w:t>
            </w:r>
          </w:p>
        </w:tc>
        <w:tc>
          <w:tcPr/>
          <w:p>
            <w:pPr>
              <w:pStyle w:val="Compact"/>
            </w:pPr>
            <w:r>
              <w:rPr>
                <w:rFonts w:ascii="Calibri" w:hAnsi="Calibri"/>
                <w:sz w:val="20"/>
              </w:rPr>
              <w:t xml:space="preserve">sí</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12,122</w:t>
            </w:r>
          </w:p>
        </w:tc>
        <w:tc>
          <w:tcPr/>
          <w:p>
            <w:pPr>
              <w:pStyle w:val="Compact"/>
            </w:pPr>
            <w:r>
              <w:rPr>
                <w:rFonts w:ascii="Calibri" w:hAnsi="Calibri"/>
                <w:sz w:val="20"/>
              </w:rPr>
              <w:t xml:space="preserve">14,466</w:t>
            </w:r>
          </w:p>
        </w:tc>
        <w:tc>
          <w:tcPr/>
          <w:p>
            <w:pPr>
              <w:pStyle w:val="Compact"/>
            </w:pPr>
            <w:r>
              <w:rPr>
                <w:rFonts w:ascii="Calibri" w:hAnsi="Calibri"/>
                <w:sz w:val="20"/>
              </w:rPr>
              <w:t xml:space="preserve">13,073</w:t>
            </w:r>
          </w:p>
        </w:tc>
        <w:tc>
          <w:tcPr/>
          <w:p>
            <w:pPr>
              <w:pStyle w:val="Compact"/>
            </w:pPr>
            <w:r>
              <w:rPr>
                <w:rFonts w:ascii="Calibri" w:hAnsi="Calibri"/>
                <w:sz w:val="20"/>
              </w:rPr>
              <w:t xml:space="preserve">0,961</w:t>
            </w:r>
          </w:p>
        </w:tc>
        <w:tc>
          <w:tcPr/>
          <w:p>
            <w:pPr>
              <w:pStyle w:val="Compact"/>
            </w:pPr>
            <w:r>
              <w:rPr>
                <w:rFonts w:ascii="Calibri" w:hAnsi="Calibri"/>
                <w:sz w:val="20"/>
              </w:rPr>
              <w:t xml:space="preserve">sí</w:t>
            </w:r>
          </w:p>
        </w:tc>
        <w:tc>
          <w:tcPr/>
          <w:p>
            <w:pPr>
              <w:pStyle w:val="Compact"/>
            </w:pPr>
            <w:r>
              <w:rPr>
                <w:rFonts w:ascii="Calibri" w:hAnsi="Calibri"/>
                <w:sz w:val="20"/>
              </w:rPr>
              <w:t xml:space="preserve">0,030</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12,003</w:t>
            </w:r>
          </w:p>
        </w:tc>
        <w:tc>
          <w:tcPr/>
          <w:p>
            <w:pPr>
              <w:pStyle w:val="Compact"/>
            </w:pPr>
            <w:r>
              <w:rPr>
                <w:rFonts w:ascii="Calibri" w:hAnsi="Calibri"/>
                <w:sz w:val="20"/>
              </w:rPr>
              <w:t xml:space="preserve">14,737</w:t>
            </w:r>
          </w:p>
        </w:tc>
        <w:tc>
          <w:tcPr/>
          <w:p>
            <w:pPr>
              <w:pStyle w:val="Compact"/>
            </w:pPr>
            <w:r>
              <w:rPr>
                <w:rFonts w:ascii="Calibri" w:hAnsi="Calibri"/>
                <w:sz w:val="20"/>
              </w:rPr>
              <w:t xml:space="preserve">13,112</w:t>
            </w:r>
          </w:p>
        </w:tc>
        <w:tc>
          <w:tcPr/>
          <w:p>
            <w:pPr>
              <w:pStyle w:val="Compact"/>
            </w:pPr>
            <w:r>
              <w:rPr>
                <w:rFonts w:ascii="Calibri" w:hAnsi="Calibri"/>
                <w:sz w:val="20"/>
              </w:rPr>
              <w:t xml:space="preserve">1,014</w:t>
            </w:r>
          </w:p>
        </w:tc>
        <w:tc>
          <w:tcPr/>
          <w:p>
            <w:pPr>
              <w:pStyle w:val="Compact"/>
            </w:pPr>
            <w:r>
              <w:rPr>
                <w:rFonts w:ascii="Calibri" w:hAnsi="Calibri"/>
                <w:sz w:val="20"/>
              </w:rPr>
              <w:t xml:space="preserve">no</w:t>
            </w:r>
          </w:p>
        </w:tc>
        <w:tc>
          <w:tcPr/>
          <w:p>
            <w:pPr>
              <w:pStyle w:val="Compact"/>
            </w:pPr>
            <w:r>
              <w:rPr>
                <w:rFonts w:ascii="Calibri" w:hAnsi="Calibri"/>
                <w:sz w:val="20"/>
              </w:rPr>
              <w:t xml:space="preserve">0,021</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11,937</w:t>
            </w:r>
          </w:p>
        </w:tc>
        <w:tc>
          <w:tcPr/>
          <w:p>
            <w:pPr>
              <w:pStyle w:val="Compact"/>
            </w:pPr>
            <w:r>
              <w:rPr>
                <w:rFonts w:ascii="Calibri" w:hAnsi="Calibri"/>
                <w:sz w:val="20"/>
              </w:rPr>
              <w:t xml:space="preserve">15,062</w:t>
            </w:r>
          </w:p>
        </w:tc>
        <w:tc>
          <w:tcPr/>
          <w:p>
            <w:pPr>
              <w:pStyle w:val="Compact"/>
            </w:pPr>
            <w:r>
              <w:rPr>
                <w:rFonts w:ascii="Calibri" w:hAnsi="Calibri"/>
                <w:sz w:val="20"/>
              </w:rPr>
              <w:t xml:space="preserve">13,205</w:t>
            </w:r>
          </w:p>
        </w:tc>
        <w:tc>
          <w:tcPr/>
          <w:p>
            <w:pPr>
              <w:pStyle w:val="Compact"/>
            </w:pPr>
            <w:r>
              <w:rPr>
                <w:rFonts w:ascii="Calibri" w:hAnsi="Calibri"/>
                <w:sz w:val="20"/>
              </w:rPr>
              <w:t xml:space="preserve">1,017</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1,015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bruta.</w:t>
      </w:r>
      <w:r>
        <w:t xml:space="preserve"> </w:t>
      </w:r>
      <w:r>
        <w:t xml:space="preserve">Orden elegido: 4.</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12,378</w:t>
            </w:r>
          </w:p>
        </w:tc>
        <w:tc>
          <w:tcPr/>
          <w:p>
            <w:pPr>
              <w:pStyle w:val="Compact"/>
            </w:pPr>
            <w:r>
              <w:rPr>
                <w:rFonts w:ascii="Calibri" w:hAnsi="Calibri"/>
                <w:sz w:val="20"/>
              </w:rPr>
              <w:t xml:space="preserve">13,940</w:t>
            </w:r>
          </w:p>
        </w:tc>
        <w:tc>
          <w:tcPr/>
          <w:p>
            <w:pPr>
              <w:pStyle w:val="Compact"/>
            </w:pPr>
            <w:r>
              <w:rPr>
                <w:rFonts w:ascii="Calibri" w:hAnsi="Calibri"/>
                <w:sz w:val="20"/>
              </w:rPr>
              <w:t xml:space="preserve">13,011</w:t>
            </w:r>
          </w:p>
        </w:tc>
        <w:tc>
          <w:tcPr/>
          <w:p>
            <w:pPr>
              <w:pStyle w:val="Compact"/>
            </w:pPr>
            <w:r>
              <w:rPr>
                <w:rFonts w:ascii="Calibri" w:hAnsi="Calibri"/>
                <w:sz w:val="20"/>
              </w:rPr>
              <w:t xml:space="preserve">0,818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12,082</w:t>
            </w:r>
          </w:p>
        </w:tc>
        <w:tc>
          <w:tcPr/>
          <w:p>
            <w:pPr>
              <w:pStyle w:val="Compact"/>
            </w:pPr>
            <w:r>
              <w:rPr>
                <w:rFonts w:ascii="Calibri" w:hAnsi="Calibri"/>
                <w:sz w:val="20"/>
              </w:rPr>
              <w:t xml:space="preserve">14,034</w:t>
            </w:r>
          </w:p>
        </w:tc>
        <w:tc>
          <w:tcPr/>
          <w:p>
            <w:pPr>
              <w:pStyle w:val="Compact"/>
            </w:pPr>
            <w:r>
              <w:rPr>
                <w:rFonts w:ascii="Calibri" w:hAnsi="Calibri"/>
                <w:sz w:val="20"/>
              </w:rPr>
              <w:t xml:space="preserve">12,874</w:t>
            </w:r>
          </w:p>
        </w:tc>
        <w:tc>
          <w:tcPr/>
          <w:p>
            <w:pPr>
              <w:pStyle w:val="Compact"/>
            </w:pPr>
            <w:r>
              <w:rPr>
                <w:rFonts w:ascii="Calibri" w:hAnsi="Calibri"/>
                <w:sz w:val="20"/>
              </w:rPr>
              <w:t xml:space="preserve">0,840</w:t>
            </w:r>
          </w:p>
        </w:tc>
        <w:tc>
          <w:tcPr/>
          <w:p>
            <w:pPr>
              <w:pStyle w:val="Compact"/>
            </w:pPr>
            <w:r>
              <w:rPr>
                <w:rFonts w:ascii="Calibri" w:hAnsi="Calibri"/>
                <w:sz w:val="20"/>
              </w:rPr>
              <w:t xml:space="preserve">sí</w:t>
            </w:r>
          </w:p>
        </w:tc>
        <w:tc>
          <w:tcPr/>
          <w:p>
            <w:pPr>
              <w:pStyle w:val="Compact"/>
            </w:pPr>
            <w:r>
              <w:rPr>
                <w:rFonts w:ascii="Calibri" w:hAnsi="Calibri"/>
                <w:sz w:val="20"/>
              </w:rPr>
              <w:t xml:space="preserve">0,071</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12,170</w:t>
            </w:r>
          </w:p>
        </w:tc>
        <w:tc>
          <w:tcPr/>
          <w:p>
            <w:pPr>
              <w:pStyle w:val="Compact"/>
            </w:pPr>
            <w:r>
              <w:rPr>
                <w:rFonts w:ascii="Calibri" w:hAnsi="Calibri"/>
                <w:sz w:val="20"/>
              </w:rPr>
              <w:t xml:space="preserve">14,514</w:t>
            </w:r>
          </w:p>
        </w:tc>
        <w:tc>
          <w:tcPr/>
          <w:p>
            <w:pPr>
              <w:pStyle w:val="Compact"/>
            </w:pPr>
            <w:r>
              <w:rPr>
                <w:rFonts w:ascii="Calibri" w:hAnsi="Calibri"/>
                <w:sz w:val="20"/>
              </w:rPr>
              <w:t xml:space="preserve">13,121</w:t>
            </w:r>
          </w:p>
        </w:tc>
        <w:tc>
          <w:tcPr/>
          <w:p>
            <w:pPr>
              <w:pStyle w:val="Compact"/>
            </w:pPr>
            <w:r>
              <w:rPr>
                <w:rFonts w:ascii="Calibri" w:hAnsi="Calibri"/>
                <w:sz w:val="20"/>
              </w:rPr>
              <w:t xml:space="preserve">0,923</w:t>
            </w:r>
          </w:p>
        </w:tc>
        <w:tc>
          <w:tcPr/>
          <w:p>
            <w:pPr>
              <w:pStyle w:val="Compact"/>
            </w:pPr>
            <w:r>
              <w:rPr>
                <w:rFonts w:ascii="Calibri" w:hAnsi="Calibri"/>
                <w:sz w:val="20"/>
              </w:rPr>
              <w:t xml:space="preserve">sí</w:t>
            </w:r>
          </w:p>
        </w:tc>
        <w:tc>
          <w:tcPr/>
          <w:p>
            <w:pPr>
              <w:pStyle w:val="Compact"/>
            </w:pPr>
            <w:r>
              <w:rPr>
                <w:rFonts w:ascii="Calibri" w:hAnsi="Calibri"/>
                <w:sz w:val="20"/>
              </w:rPr>
              <w:t xml:space="preserve">0,035</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12,057</w:t>
            </w:r>
          </w:p>
        </w:tc>
        <w:tc>
          <w:tcPr/>
          <w:p>
            <w:pPr>
              <w:pStyle w:val="Compact"/>
            </w:pPr>
            <w:r>
              <w:rPr>
                <w:rFonts w:ascii="Calibri" w:hAnsi="Calibri"/>
                <w:sz w:val="20"/>
              </w:rPr>
              <w:t xml:space="preserve">14,791</w:t>
            </w:r>
          </w:p>
        </w:tc>
        <w:tc>
          <w:tcPr/>
          <w:p>
            <w:pPr>
              <w:pStyle w:val="Compact"/>
            </w:pPr>
            <w:r>
              <w:rPr>
                <w:rFonts w:ascii="Calibri" w:hAnsi="Calibri"/>
                <w:sz w:val="20"/>
              </w:rPr>
              <w:t xml:space="preserve">13,167</w:t>
            </w:r>
          </w:p>
        </w:tc>
        <w:tc>
          <w:tcPr/>
          <w:p>
            <w:pPr>
              <w:pStyle w:val="Compact"/>
            </w:pPr>
            <w:r>
              <w:rPr>
                <w:rFonts w:ascii="Calibri" w:hAnsi="Calibri"/>
                <w:sz w:val="20"/>
              </w:rPr>
              <w:t xml:space="preserve">0,987</w:t>
            </w:r>
          </w:p>
        </w:tc>
        <w:tc>
          <w:tcPr/>
          <w:p>
            <w:pPr>
              <w:pStyle w:val="Compact"/>
            </w:pPr>
            <w:r>
              <w:rPr>
                <w:rFonts w:ascii="Calibri" w:hAnsi="Calibri"/>
                <w:sz w:val="20"/>
              </w:rPr>
              <w:t xml:space="preserve">sí</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11,984</w:t>
            </w:r>
          </w:p>
        </w:tc>
        <w:tc>
          <w:tcPr/>
          <w:p>
            <w:pPr>
              <w:pStyle w:val="Compact"/>
            </w:pPr>
            <w:r>
              <w:rPr>
                <w:rFonts w:ascii="Calibri" w:hAnsi="Calibri"/>
                <w:sz w:val="20"/>
              </w:rPr>
              <w:t xml:space="preserve">15,108</w:t>
            </w:r>
          </w:p>
        </w:tc>
        <w:tc>
          <w:tcPr/>
          <w:p>
            <w:pPr>
              <w:pStyle w:val="Compact"/>
            </w:pPr>
            <w:r>
              <w:rPr>
                <w:rFonts w:ascii="Calibri" w:hAnsi="Calibri"/>
                <w:sz w:val="20"/>
              </w:rPr>
              <w:t xml:space="preserve">13,251</w:t>
            </w:r>
          </w:p>
        </w:tc>
        <w:tc>
          <w:tcPr/>
          <w:p>
            <w:pPr>
              <w:pStyle w:val="Compact"/>
            </w:pPr>
            <w:r>
              <w:rPr>
                <w:rFonts w:ascii="Calibri" w:hAnsi="Calibri"/>
                <w:sz w:val="20"/>
              </w:rPr>
              <w:t xml:space="preserve">1,004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11,968</w:t>
            </w:r>
          </w:p>
        </w:tc>
        <w:tc>
          <w:tcPr/>
          <w:p>
            <w:pPr>
              <w:pStyle w:val="Compact"/>
            </w:pPr>
            <w:r>
              <w:rPr>
                <w:rFonts w:ascii="Calibri" w:hAnsi="Calibri"/>
                <w:sz w:val="20"/>
              </w:rPr>
              <w:t xml:space="preserve">15,483</w:t>
            </w:r>
          </w:p>
        </w:tc>
        <w:tc>
          <w:tcPr/>
          <w:p>
            <w:pPr>
              <w:pStyle w:val="Compact"/>
            </w:pPr>
            <w:r>
              <w:rPr>
                <w:rFonts w:ascii="Calibri" w:hAnsi="Calibri"/>
                <w:sz w:val="20"/>
              </w:rPr>
              <w:t xml:space="preserve">13,394</w:t>
            </w:r>
          </w:p>
        </w:tc>
        <w:tc>
          <w:tcPr/>
          <w:p>
            <w:pPr>
              <w:pStyle w:val="Compact"/>
            </w:pPr>
            <w:r>
              <w:rPr>
                <w:rFonts w:ascii="Calibri" w:hAnsi="Calibri"/>
                <w:sz w:val="20"/>
              </w:rPr>
              <w:t xml:space="preserve">1,027</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bookmarkEnd w:id="127"/>
    <w:bookmarkStart w:id="128" w:name="a.2-diagnósticos-de-los-residuos"/>
    <w:p>
      <w:pPr>
        <w:pStyle w:val="Heading2"/>
      </w:pPr>
      <w:r>
        <w:t xml:space="preserve">A.2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neta, valor nominal (principal)</w:t>
            </w:r>
          </w:p>
        </w:tc>
        <w:tc>
          <w:tcPr/>
          <w:p>
            <w:pPr>
              <w:pStyle w:val="Compact"/>
            </w:pPr>
            <w:r>
              <w:rPr>
                <w:rFonts w:ascii="Calibri" w:hAnsi="Calibri"/>
                <w:sz w:val="20"/>
              </w:rPr>
              <w:t xml:space="preserve">neta, valor libros</w:t>
            </w:r>
          </w:p>
        </w:tc>
        <w:tc>
          <w:tcPr/>
          <w:p>
            <w:pPr>
              <w:pStyle w:val="Compact"/>
            </w:pPr>
            <w:r>
              <w:rPr>
                <w:rFonts w:ascii="Calibri" w:hAnsi="Calibri"/>
                <w:sz w:val="20"/>
              </w:rPr>
              <w:t xml:space="preserve">bruta</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0,036</w:t>
            </w:r>
          </w:p>
        </w:tc>
        <w:tc>
          <w:tcPr/>
          <w:p>
            <w:pPr>
              <w:pStyle w:val="Compact"/>
            </w:pPr>
            <w:r>
              <w:rPr>
                <w:rFonts w:ascii="Calibri" w:hAnsi="Calibri"/>
                <w:sz w:val="20"/>
              </w:rPr>
              <w:t xml:space="preserve">0,030</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0,991</w:t>
            </w:r>
          </w:p>
        </w:tc>
        <w:tc>
          <w:tcPr/>
          <w:p>
            <w:pPr>
              <w:pStyle w:val="Compact"/>
            </w:pPr>
            <w:r>
              <w:rPr>
                <w:rFonts w:ascii="Calibri" w:hAnsi="Calibri"/>
                <w:sz w:val="20"/>
              </w:rPr>
              <w:t xml:space="preserve">0,988</w:t>
            </w:r>
          </w:p>
        </w:tc>
        <w:tc>
          <w:tcPr/>
          <w:p>
            <w:pPr>
              <w:pStyle w:val="Compact"/>
            </w:pPr>
            <w:r>
              <w:rPr>
                <w:rFonts w:ascii="Calibri" w:hAnsi="Calibri"/>
                <w:sz w:val="20"/>
              </w:rPr>
              <w:t xml:space="preserve">0,993</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0,989</w:t>
            </w:r>
          </w:p>
        </w:tc>
        <w:tc>
          <w:tcPr/>
          <w:p>
            <w:pPr>
              <w:pStyle w:val="Compact"/>
            </w:pPr>
            <w:r>
              <w:rPr>
                <w:rFonts w:ascii="Calibri" w:hAnsi="Calibri"/>
                <w:sz w:val="20"/>
              </w:rPr>
              <w:t xml:space="preserve">0,990</w:t>
            </w:r>
          </w:p>
        </w:tc>
        <w:tc>
          <w:tcPr/>
          <w:p>
            <w:pPr>
              <w:pStyle w:val="Compact"/>
            </w:pPr>
            <w:r>
              <w:rPr>
                <w:rFonts w:ascii="Calibri" w:hAnsi="Calibri"/>
                <w:sz w:val="20"/>
              </w:rPr>
              <w:t xml:space="preserve">0,978</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0,867</w:t>
            </w:r>
          </w:p>
        </w:tc>
        <w:tc>
          <w:tcPr/>
          <w:p>
            <w:pPr>
              <w:pStyle w:val="Compact"/>
            </w:pPr>
            <w:r>
              <w:rPr>
                <w:rFonts w:ascii="Calibri" w:hAnsi="Calibri"/>
                <w:sz w:val="20"/>
              </w:rPr>
              <w:t xml:space="preserve">0,824</w:t>
            </w:r>
          </w:p>
        </w:tc>
        <w:tc>
          <w:tcPr/>
          <w:p>
            <w:pPr>
              <w:pStyle w:val="Compact"/>
            </w:pPr>
            <w:r>
              <w:rPr>
                <w:rFonts w:ascii="Calibri" w:hAnsi="Calibri"/>
                <w:sz w:val="20"/>
              </w:rPr>
              <w:t xml:space="preserve">0,395</w:t>
            </w:r>
          </w:p>
        </w:tc>
      </w:tr>
    </w:tbl>
    <w:bookmarkEnd w:id="128"/>
    <w:bookmarkStart w:id="129" w:name="a.3-matriz-de-impacto-estructural"/>
    <w:p>
      <w:pPr>
        <w:pStyle w:val="Heading2"/>
      </w:pPr>
      <w:r>
        <w:t xml:space="preserve">A.3 Matriz de impacto estructural</w:t>
      </w:r>
    </w:p>
    <w:p>
      <w:pPr>
        <w:pStyle w:val="FirstParagraph"/>
      </w:pPr>
      <w:r>
        <w:t xml:space="preserve">Efecto en el mismo trimestre de un shock estructural de un desvío estándar (especificación principal). Los ceros son las restricciones de identificación de la sección 4.4. Los dos shocks 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Shock fiscal</w:t>
            </w:r>
          </w:p>
        </w:tc>
        <w:tc>
          <w:tcPr/>
          <w:p>
            <w:pPr>
              <w:pStyle w:val="Compact"/>
            </w:pPr>
            <w:r>
              <w:rPr>
                <w:rFonts w:ascii="Calibri" w:hAnsi="Calibri"/>
                <w:sz w:val="20"/>
              </w:rPr>
              <w:t xml:space="preserve">Shock de actividad</w:t>
            </w:r>
          </w:p>
        </w:tc>
        <w:tc>
          <w:tcPr/>
          <w:p>
            <w:pPr>
              <w:pStyle w:val="Compact"/>
            </w:pPr>
            <w:r>
              <w:rPr>
                <w:rFonts w:ascii="Calibri" w:hAnsi="Calibri"/>
                <w:sz w:val="20"/>
              </w:rPr>
              <w:t xml:space="preserve">Shock cambiario y de riesgo 1</w:t>
            </w:r>
          </w:p>
        </w:tc>
        <w:tc>
          <w:tcPr/>
          <w:p>
            <w:pPr>
              <w:pStyle w:val="Compact"/>
            </w:pPr>
            <w:r>
              <w:rPr>
                <w:rFonts w:ascii="Calibri" w:hAnsi="Calibri"/>
                <w:sz w:val="20"/>
              </w:rPr>
              <w:t xml:space="preserve">Shock 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1,509</w:t>
            </w:r>
          </w:p>
        </w:tc>
        <w:tc>
          <w:tcPr/>
          <w:p>
            <w:pPr>
              <w:pStyle w:val="Compact"/>
            </w:pPr>
            <w:r>
              <w:rPr>
                <w:rFonts w:ascii="Calibri" w:hAnsi="Calibri"/>
                <w:sz w:val="20"/>
              </w:rPr>
              <w:t xml:space="preserve">0,679</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-0,266</w:t>
            </w:r>
          </w:p>
        </w:tc>
        <w:tc>
          <w:tcPr/>
          <w:p>
            <w:pPr>
              <w:pStyle w:val="Compact"/>
            </w:pPr>
            <w:r>
              <w:rPr>
                <w:rFonts w:ascii="Calibri" w:hAnsi="Calibri"/>
                <w:sz w:val="20"/>
              </w:rPr>
              <w:t xml:space="preserve">2,717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-118,560</w:t>
            </w:r>
          </w:p>
        </w:tc>
        <w:tc>
          <w:tcPr/>
          <w:p>
            <w:pPr>
              <w:pStyle w:val="Compact"/>
            </w:pPr>
            <w:r>
              <w:rPr>
                <w:rFonts w:ascii="Calibri" w:hAnsi="Calibri"/>
                <w:sz w:val="20"/>
              </w:rPr>
              <w:t xml:space="preserve">-30,491</w:t>
            </w:r>
          </w:p>
        </w:tc>
        <w:tc>
          <w:tcPr/>
          <w:p>
            <w:pPr>
              <w:pStyle w:val="Compact"/>
            </w:pPr>
            <w:r>
              <w:rPr>
                <w:rFonts w:ascii="Calibri" w:hAnsi="Calibri"/>
                <w:sz w:val="20"/>
              </w:rPr>
              <w:t xml:space="preserve">449,797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0,022</w:t>
            </w:r>
          </w:p>
        </w:tc>
        <w:tc>
          <w:tcPr/>
          <w:p>
            <w:pPr>
              <w:pStyle w:val="Compact"/>
            </w:pPr>
            <w:r>
              <w:rPr>
                <w:rFonts w:ascii="Calibri" w:hAnsi="Calibri"/>
                <w:sz w:val="20"/>
              </w:rPr>
              <w:t xml:space="preserve">-0,014</w:t>
            </w:r>
          </w:p>
        </w:tc>
        <w:tc>
          <w:tcPr/>
          <w:p>
            <w:pPr>
              <w:pStyle w:val="Compact"/>
            </w:pPr>
            <w:r>
              <w:rPr>
                <w:rFonts w:ascii="Calibri" w:hAnsi="Calibri"/>
                <w:sz w:val="20"/>
              </w:rPr>
              <w:t xml:space="preserve">0,011</w:t>
            </w:r>
          </w:p>
        </w:tc>
        <w:tc>
          <w:tcPr/>
          <w:p>
            <w:pPr>
              <w:pStyle w:val="Compact"/>
            </w:pPr>
            <w:r>
              <w:rPr>
                <w:rFonts w:ascii="Calibri" w:hAnsi="Calibri"/>
                <w:sz w:val="20"/>
              </w:rPr>
              <w:t xml:space="preserve">0,096</w:t>
            </w:r>
          </w:p>
        </w:tc>
      </w:tr>
    </w:tbl>
    <w:bookmarkEnd w:id="129"/>
    <w:bookmarkStart w:id="130" w:name="a.4-ecuación-del-resultado-primario"/>
    <w:p>
      <w:pPr>
        <w:pStyle w:val="Heading2"/>
      </w:pPr>
      <w:r>
        <w:t xml:space="preserve">A.4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p-valores son los de MCO; el intervalo de la reacción de Bohn que se usa en el texto es el del bootstrap.</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0,5297</w:t>
            </w:r>
          </w:p>
        </w:tc>
        <w:tc>
          <w:tcPr/>
          <w:p>
            <w:pPr>
              <w:pStyle w:val="Compact"/>
            </w:pPr>
            <w:r>
              <w:rPr>
                <w:rFonts w:ascii="Calibri" w:hAnsi="Calibri"/>
                <w:sz w:val="20"/>
              </w:rPr>
              <w:t xml:space="preserve">0,5178</w:t>
            </w:r>
          </w:p>
        </w:tc>
        <w:tc>
          <w:tcPr/>
          <w:p>
            <w:pPr>
              <w:pStyle w:val="Compact"/>
            </w:pPr>
            <w:r>
              <w:rPr>
                <w:rFonts w:ascii="Calibri" w:hAnsi="Calibri"/>
                <w:sz w:val="20"/>
              </w:rPr>
              <w:t xml:space="preserve">0,306</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-0,7911</w:t>
            </w:r>
          </w:p>
        </w:tc>
        <w:tc>
          <w:tcPr/>
          <w:p>
            <w:pPr>
              <w:pStyle w:val="Compact"/>
            </w:pPr>
            <w:r>
              <w:rPr>
                <w:rFonts w:ascii="Calibri" w:hAnsi="Calibri"/>
                <w:sz w:val="20"/>
              </w:rPr>
              <w:t xml:space="preserve">0,5670</w:t>
            </w:r>
          </w:p>
        </w:tc>
        <w:tc>
          <w:tcPr/>
          <w:p>
            <w:pPr>
              <w:pStyle w:val="Compact"/>
            </w:pPr>
            <w:r>
              <w:rPr>
                <w:rFonts w:ascii="Calibri" w:hAnsi="Calibri"/>
                <w:sz w:val="20"/>
              </w:rPr>
              <w:t xml:space="preserve">0,163</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0,0030</w:t>
            </w:r>
          </w:p>
        </w:tc>
        <w:tc>
          <w:tcPr/>
          <w:p>
            <w:pPr>
              <w:pStyle w:val="Compact"/>
            </w:pPr>
            <w:r>
              <w:rPr>
                <w:rFonts w:ascii="Calibri" w:hAnsi="Calibri"/>
                <w:sz w:val="20"/>
              </w:rPr>
              <w:t xml:space="preserve">0,5160</w:t>
            </w:r>
          </w:p>
        </w:tc>
        <w:tc>
          <w:tcPr/>
          <w:p>
            <w:pPr>
              <w:pStyle w:val="Compact"/>
            </w:pPr>
            <w:r>
              <w:rPr>
                <w:rFonts w:ascii="Calibri" w:hAnsi="Calibri"/>
                <w:sz w:val="20"/>
              </w:rPr>
              <w:t xml:space="preserve">0,995</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-0,0253</w:t>
            </w:r>
          </w:p>
        </w:tc>
        <w:tc>
          <w:tcPr/>
          <w:p>
            <w:pPr>
              <w:pStyle w:val="Compact"/>
            </w:pPr>
            <w:r>
              <w:rPr>
                <w:rFonts w:ascii="Calibri" w:hAnsi="Calibri"/>
                <w:sz w:val="20"/>
              </w:rPr>
              <w:t xml:space="preserve">0,0319</w:t>
            </w:r>
          </w:p>
        </w:tc>
        <w:tc>
          <w:tcPr/>
          <w:p>
            <w:pPr>
              <w:pStyle w:val="Compact"/>
            </w:pPr>
            <w:r>
              <w:rPr>
                <w:rFonts w:ascii="Calibri" w:hAnsi="Calibri"/>
                <w:sz w:val="20"/>
              </w:rPr>
              <w:t xml:space="preserve">0,427</w:t>
            </w:r>
          </w:p>
        </w:tc>
      </w:tr>
      <w:tr>
        <w:tc>
          <w:tcPr/>
          <w:p>
            <w:pPr>
              <w:pStyle w:val="Compact"/>
            </w:pPr>
            <w:r>
              <w:rPr>
                <w:rFonts w:ascii="Calibri" w:hAnsi="Calibri"/>
                <w:sz w:val="20"/>
              </w:rPr>
              <w:t xml:space="preserve">Deuda consolidada neta, rezago 1 (reacción de Bohn)</w:t>
            </w:r>
          </w:p>
        </w:tc>
        <w:tc>
          <w:tcPr/>
          <w:p>
            <w:pPr>
              <w:pStyle w:val="Compact"/>
            </w:pPr>
            <w:r>
              <w:rPr>
                <w:rFonts w:ascii="Calibri" w:hAnsi="Calibri"/>
                <w:sz w:val="20"/>
              </w:rPr>
              <w:t xml:space="preserve">0,0505</w:t>
            </w:r>
          </w:p>
        </w:tc>
        <w:tc>
          <w:tcPr/>
          <w:p>
            <w:pPr>
              <w:pStyle w:val="Compact"/>
            </w:pPr>
            <w:r>
              <w:rPr>
                <w:rFonts w:ascii="Calibri" w:hAnsi="Calibri"/>
                <w:sz w:val="20"/>
              </w:rPr>
              <w:t xml:space="preserve">0,0215</w:t>
            </w:r>
          </w:p>
        </w:tc>
        <w:tc>
          <w:tcPr/>
          <w:p>
            <w:pPr>
              <w:pStyle w:val="Compact"/>
            </w:pPr>
            <w:r>
              <w:rPr>
                <w:rFonts w:ascii="Calibri" w:hAnsi="Calibri"/>
                <w:sz w:val="20"/>
              </w:rPr>
              <w:t xml:space="preserve">0,019</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0,3404</w:t>
            </w:r>
          </w:p>
        </w:tc>
        <w:tc>
          <w:tcPr/>
          <w:p>
            <w:pPr>
              <w:pStyle w:val="Compact"/>
            </w:pPr>
            <w:r>
              <w:rPr>
                <w:rFonts w:ascii="Calibri" w:hAnsi="Calibri"/>
                <w:sz w:val="20"/>
              </w:rPr>
              <w:t xml:space="preserve">0,1116</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0,0901</w:t>
            </w:r>
          </w:p>
        </w:tc>
        <w:tc>
          <w:tcPr/>
          <w:p>
            <w:pPr>
              <w:pStyle w:val="Compact"/>
            </w:pPr>
            <w:r>
              <w:rPr>
                <w:rFonts w:ascii="Calibri" w:hAnsi="Calibri"/>
                <w:sz w:val="20"/>
              </w:rPr>
              <w:t xml:space="preserve">0,0647</w:t>
            </w:r>
          </w:p>
        </w:tc>
        <w:tc>
          <w:tcPr/>
          <w:p>
            <w:pPr>
              <w:pStyle w:val="Compact"/>
            </w:pPr>
            <w:r>
              <w:rPr>
                <w:rFonts w:ascii="Calibri" w:hAnsi="Calibri"/>
                <w:sz w:val="20"/>
              </w:rPr>
              <w:t xml:space="preserve">0,164</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-0,0005</w:t>
            </w:r>
          </w:p>
        </w:tc>
        <w:tc>
          <w:tcPr/>
          <w:p>
            <w:pPr>
              <w:pStyle w:val="Compact"/>
            </w:pPr>
            <w:r>
              <w:rPr>
                <w:rFonts w:ascii="Calibri" w:hAnsi="Calibri"/>
                <w:sz w:val="20"/>
              </w:rPr>
              <w:t xml:space="preserve">0,0004</w:t>
            </w:r>
          </w:p>
        </w:tc>
        <w:tc>
          <w:tcPr/>
          <w:p>
            <w:pPr>
              <w:pStyle w:val="Compact"/>
            </w:pPr>
            <w:r>
              <w:rPr>
                <w:rFonts w:ascii="Calibri" w:hAnsi="Calibri"/>
                <w:sz w:val="20"/>
              </w:rPr>
              <w:t xml:space="preserve">0,189</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3,6341</w:t>
            </w:r>
          </w:p>
        </w:tc>
        <w:tc>
          <w:tcPr/>
          <w:p>
            <w:pPr>
              <w:pStyle w:val="Compact"/>
            </w:pPr>
            <w:r>
              <w:rPr>
                <w:rFonts w:ascii="Calibri" w:hAnsi="Calibri"/>
                <w:sz w:val="20"/>
              </w:rPr>
              <w:t xml:space="preserve">1,7183</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0,3739</w:t>
            </w:r>
          </w:p>
        </w:tc>
        <w:tc>
          <w:tcPr/>
          <w:p>
            <w:pPr>
              <w:pStyle w:val="Compact"/>
            </w:pPr>
            <w:r>
              <w:rPr>
                <w:rFonts w:ascii="Calibri" w:hAnsi="Calibri"/>
                <w:sz w:val="20"/>
              </w:rPr>
              <w:t xml:space="preserve">0,1190</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0,1250</w:t>
            </w:r>
          </w:p>
        </w:tc>
        <w:tc>
          <w:tcPr/>
          <w:p>
            <w:pPr>
              <w:pStyle w:val="Compact"/>
            </w:pPr>
            <w:r>
              <w:rPr>
                <w:rFonts w:ascii="Calibri" w:hAnsi="Calibri"/>
                <w:sz w:val="20"/>
              </w:rPr>
              <w:t xml:space="preserve">0,0633</w:t>
            </w:r>
          </w:p>
        </w:tc>
        <w:tc>
          <w:tcPr/>
          <w:p>
            <w:pPr>
              <w:pStyle w:val="Compact"/>
            </w:pPr>
            <w:r>
              <w:rPr>
                <w:rFonts w:ascii="Calibri" w:hAnsi="Calibri"/>
                <w:sz w:val="20"/>
              </w:rPr>
              <w:t xml:space="preserve">0,048</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0,0001</w:t>
            </w:r>
          </w:p>
        </w:tc>
        <w:tc>
          <w:tcPr/>
          <w:p>
            <w:pPr>
              <w:pStyle w:val="Compact"/>
            </w:pPr>
            <w:r>
              <w:rPr>
                <w:rFonts w:ascii="Calibri" w:hAnsi="Calibri"/>
                <w:sz w:val="20"/>
              </w:rPr>
              <w:t xml:space="preserve">0,0005</w:t>
            </w:r>
          </w:p>
        </w:tc>
        <w:tc>
          <w:tcPr/>
          <w:p>
            <w:pPr>
              <w:pStyle w:val="Compact"/>
            </w:pPr>
            <w:r>
              <w:rPr>
                <w:rFonts w:ascii="Calibri" w:hAnsi="Calibri"/>
                <w:sz w:val="20"/>
              </w:rPr>
              <w:t xml:space="preserve">0,850</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-2,9019</w:t>
            </w:r>
          </w:p>
        </w:tc>
        <w:tc>
          <w:tcPr/>
          <w:p>
            <w:pPr>
              <w:pStyle w:val="Compact"/>
            </w:pPr>
            <w:r>
              <w:rPr>
                <w:rFonts w:ascii="Calibri" w:hAnsi="Calibri"/>
                <w:sz w:val="20"/>
              </w:rPr>
              <w:t xml:space="preserve">2,3871</w:t>
            </w:r>
          </w:p>
        </w:tc>
        <w:tc>
          <w:tcPr/>
          <w:p>
            <w:pPr>
              <w:pStyle w:val="Compact"/>
            </w:pPr>
            <w:r>
              <w:rPr>
                <w:rFonts w:ascii="Calibri" w:hAnsi="Calibri"/>
                <w:sz w:val="20"/>
              </w:rPr>
              <w:t xml:space="preserve">0,224</w:t>
            </w:r>
          </w:p>
        </w:tc>
      </w:tr>
      <w:tr>
        <w:tc>
          <w:tcPr/>
          <w:p>
            <w:pPr>
              <w:pStyle w:val="Compact"/>
            </w:pPr>
            <w:r>
              <w:rPr>
                <w:rFonts w:ascii="Calibri" w:hAnsi="Calibri"/>
                <w:sz w:val="20"/>
              </w:rPr>
              <w:t xml:space="preserve">Resultado primario, rezago 3</w:t>
            </w:r>
          </w:p>
        </w:tc>
        <w:tc>
          <w:tcPr/>
          <w:p>
            <w:pPr>
              <w:pStyle w:val="Compact"/>
            </w:pPr>
            <w:r>
              <w:rPr>
                <w:rFonts w:ascii="Calibri" w:hAnsi="Calibri"/>
                <w:sz w:val="20"/>
              </w:rPr>
              <w:t xml:space="preserve">0,0149</w:t>
            </w:r>
          </w:p>
        </w:tc>
        <w:tc>
          <w:tcPr/>
          <w:p>
            <w:pPr>
              <w:pStyle w:val="Compact"/>
            </w:pPr>
            <w:r>
              <w:rPr>
                <w:rFonts w:ascii="Calibri" w:hAnsi="Calibri"/>
                <w:sz w:val="20"/>
              </w:rPr>
              <w:t xml:space="preserve">0,1154</w:t>
            </w:r>
          </w:p>
        </w:tc>
        <w:tc>
          <w:tcPr/>
          <w:p>
            <w:pPr>
              <w:pStyle w:val="Compact"/>
            </w:pPr>
            <w:r>
              <w:rPr>
                <w:rFonts w:ascii="Calibri" w:hAnsi="Calibri"/>
                <w:sz w:val="20"/>
              </w:rPr>
              <w:t xml:space="preserve">0,897</w:t>
            </w:r>
          </w:p>
        </w:tc>
      </w:tr>
      <w:tr>
        <w:tc>
          <w:tcPr/>
          <w:p>
            <w:pPr>
              <w:pStyle w:val="Compact"/>
            </w:pPr>
            <w:r>
              <w:rPr>
                <w:rFonts w:ascii="Calibri" w:hAnsi="Calibri"/>
                <w:sz w:val="20"/>
              </w:rPr>
              <w:t xml:space="preserve">Crecimiento, rezago 3</w:t>
            </w:r>
          </w:p>
        </w:tc>
        <w:tc>
          <w:tcPr/>
          <w:p>
            <w:pPr>
              <w:pStyle w:val="Compact"/>
            </w:pPr>
            <w:r>
              <w:rPr>
                <w:rFonts w:ascii="Calibri" w:hAnsi="Calibri"/>
                <w:sz w:val="20"/>
              </w:rPr>
              <w:t xml:space="preserve">-0,0330</w:t>
            </w:r>
          </w:p>
        </w:tc>
        <w:tc>
          <w:tcPr/>
          <w:p>
            <w:pPr>
              <w:pStyle w:val="Compact"/>
            </w:pPr>
            <w:r>
              <w:rPr>
                <w:rFonts w:ascii="Calibri" w:hAnsi="Calibri"/>
                <w:sz w:val="20"/>
              </w:rPr>
              <w:t xml:space="preserve">0,0605</w:t>
            </w:r>
          </w:p>
        </w:tc>
        <w:tc>
          <w:tcPr/>
          <w:p>
            <w:pPr>
              <w:pStyle w:val="Compact"/>
            </w:pPr>
            <w:r>
              <w:rPr>
                <w:rFonts w:ascii="Calibri" w:hAnsi="Calibri"/>
                <w:sz w:val="20"/>
              </w:rPr>
              <w:t xml:space="preserve">0,586</w:t>
            </w:r>
          </w:p>
        </w:tc>
      </w:tr>
      <w:tr>
        <w:tc>
          <w:tcPr/>
          <w:p>
            <w:pPr>
              <w:pStyle w:val="Compact"/>
            </w:pPr>
            <w:r>
              <w:rPr>
                <w:rFonts w:ascii="Calibri" w:hAnsi="Calibri"/>
                <w:sz w:val="20"/>
              </w:rPr>
              <w:t xml:space="preserve">EMBI+, rezago 3</w:t>
            </w:r>
          </w:p>
        </w:tc>
        <w:tc>
          <w:tcPr/>
          <w:p>
            <w:pPr>
              <w:pStyle w:val="Compact"/>
            </w:pPr>
            <w:r>
              <w:rPr>
                <w:rFonts w:ascii="Calibri" w:hAnsi="Calibri"/>
                <w:sz w:val="20"/>
              </w:rPr>
              <w:t xml:space="preserve">0,0002</w:t>
            </w:r>
          </w:p>
        </w:tc>
        <w:tc>
          <w:tcPr/>
          <w:p>
            <w:pPr>
              <w:pStyle w:val="Compact"/>
            </w:pPr>
            <w:r>
              <w:rPr>
                <w:rFonts w:ascii="Calibri" w:hAnsi="Calibri"/>
                <w:sz w:val="20"/>
              </w:rPr>
              <w:t xml:space="preserve">0,0004</w:t>
            </w:r>
          </w:p>
        </w:tc>
        <w:tc>
          <w:tcPr/>
          <w:p>
            <w:pPr>
              <w:pStyle w:val="Compact"/>
            </w:pPr>
            <w:r>
              <w:rPr>
                <w:rFonts w:ascii="Calibri" w:hAnsi="Calibri"/>
                <w:sz w:val="20"/>
              </w:rPr>
              <w:t xml:space="preserve">0,520</w:t>
            </w:r>
          </w:p>
        </w:tc>
      </w:tr>
      <w:tr>
        <w:tc>
          <w:tcPr/>
          <w:p>
            <w:pPr>
              <w:pStyle w:val="Compact"/>
            </w:pPr>
            <w:r>
              <w:rPr>
                <w:rFonts w:ascii="Calibri" w:hAnsi="Calibri"/>
                <w:sz w:val="20"/>
              </w:rPr>
              <w:t xml:space="preserve">TCRM, rezago 3</w:t>
            </w:r>
          </w:p>
        </w:tc>
        <w:tc>
          <w:tcPr/>
          <w:p>
            <w:pPr>
              <w:pStyle w:val="Compact"/>
            </w:pPr>
            <w:r>
              <w:rPr>
                <w:rFonts w:ascii="Calibri" w:hAnsi="Calibri"/>
                <w:sz w:val="20"/>
              </w:rPr>
              <w:t xml:space="preserve">-0,2936</w:t>
            </w:r>
          </w:p>
        </w:tc>
        <w:tc>
          <w:tcPr/>
          <w:p>
            <w:pPr>
              <w:pStyle w:val="Compact"/>
            </w:pPr>
            <w:r>
              <w:rPr>
                <w:rFonts w:ascii="Calibri" w:hAnsi="Calibri"/>
                <w:sz w:val="20"/>
              </w:rPr>
              <w:t xml:space="preserve">1,6455</w:t>
            </w:r>
          </w:p>
        </w:tc>
        <w:tc>
          <w:tcPr/>
          <w:p>
            <w:pPr>
              <w:pStyle w:val="Compact"/>
            </w:pPr>
            <w:r>
              <w:rPr>
                <w:rFonts w:ascii="Calibri" w:hAnsi="Calibri"/>
                <w:sz w:val="20"/>
              </w:rPr>
              <w:t xml:space="preserve">0,858</w:t>
            </w:r>
          </w:p>
        </w:tc>
      </w:tr>
    </w:tbl>
    <w:bookmarkEnd w:id="130"/>
    <w:bookmarkStart w:id="131" w:name="X75af1f7c14f81eb011f7e98c945663ad6c4e183"/>
    <w:p>
      <w:pPr>
        <w:pStyle w:val="Heading2"/>
      </w:pPr>
      <w:r>
        <w:t xml:space="preserve">A.5 Resultados completos de la simulación por especificación</w:t>
      </w:r>
    </w:p>
    <w:p>
      <w:pPr>
        <w:pStyle w:val="FirstParagraph"/>
      </w:pPr>
      <w:r>
        <w:t xml:space="preserve">Media entre réplicas de parámetros y, entre corchetes, percentiles 5 y 95 (300 réplicas por 400 trayectorias).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Indicador</w:t>
            </w:r>
          </w:p>
        </w:tc>
        <w:tc>
          <w:tcPr/>
          <w:p>
            <w:pPr>
              <w:pStyle w:val="Compact"/>
            </w:pPr>
            <w:r>
              <w:rPr>
                <w:rFonts w:ascii="Calibri" w:hAnsi="Calibri"/>
                <w:sz w:val="20"/>
              </w:rPr>
              <w:t xml:space="preserve">Neta (principal)</w:t>
            </w:r>
          </w:p>
        </w:tc>
        <w:tc>
          <w:tcPr/>
          <w:p>
            <w:pPr>
              <w:pStyle w:val="Compact"/>
            </w:pPr>
            <w:r>
              <w:rPr>
                <w:rFonts w:ascii="Calibri" w:hAnsi="Calibri"/>
                <w:sz w:val="20"/>
              </w:rPr>
              <w:t xml:space="preserve">Neta en libros</w:t>
            </w:r>
          </w:p>
        </w:tc>
        <w:tc>
          <w:tcPr/>
          <w:p>
            <w:pPr>
              <w:pStyle w:val="Compact"/>
            </w:pPr>
            <w:r>
              <w:rPr>
                <w:rFonts w:ascii="Calibri" w:hAnsi="Calibri"/>
                <w:sz w:val="20"/>
              </w:rPr>
              <w:t xml:space="preserve">Bruta</w:t>
            </w:r>
          </w:p>
        </w:tc>
        <w:tc>
          <w:tcPr/>
          <w:p>
            <w:pPr>
              <w:pStyle w:val="Compact"/>
            </w:pPr>
            <w:r>
              <w:rPr>
                <w:rFonts w:ascii="Calibri" w:hAnsi="Calibri"/>
                <w:sz w:val="20"/>
              </w:rPr>
              <w:t xml:space="preserve">Neta con tasas en pesos</w:t>
            </w:r>
          </w:p>
        </w:tc>
      </w:tr>
      <w:tr>
        <w:tc>
          <w:tcPr/>
          <w:p>
            <w:pPr>
              <w:pStyle w:val="Compact"/>
            </w:pPr>
            <w:r>
              <w:rPr>
                <w:rFonts w:ascii="Calibri" w:hAnsi="Calibri"/>
                <w:sz w:val="20"/>
              </w:rPr>
              <w:t xml:space="preserve">No estabilización 2030 (%)</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13,0 [9,0; 17,8]</w:t>
            </w:r>
          </w:p>
        </w:tc>
        <w:tc>
          <w:tcPr/>
          <w:p>
            <w:pPr>
              <w:pStyle w:val="Compact"/>
            </w:pPr>
            <w:r>
              <w:rPr>
                <w:rFonts w:ascii="Calibri" w:hAnsi="Calibri"/>
                <w:sz w:val="20"/>
              </w:rPr>
              <w:t xml:space="preserve">12,7 [9,0; 17,0]</w:t>
            </w:r>
          </w:p>
        </w:tc>
        <w:tc>
          <w:tcPr/>
          <w:p>
            <w:pPr>
              <w:pStyle w:val="Compact"/>
            </w:pPr>
            <w:r>
              <w:rPr>
                <w:rFonts w:ascii="Calibri" w:hAnsi="Calibri"/>
                <w:sz w:val="20"/>
              </w:rPr>
              <w:t xml:space="preserve">12,2 [8,5; 16,0]</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6,0 [3,0; 9,8]</w:t>
            </w:r>
          </w:p>
        </w:tc>
        <w:tc>
          <w:tcPr/>
          <w:p>
            <w:pPr>
              <w:pStyle w:val="Compact"/>
            </w:pPr>
            <w:r>
              <w:rPr>
                <w:rFonts w:ascii="Calibri" w:hAnsi="Calibri"/>
                <w:sz w:val="20"/>
              </w:rPr>
              <w:t xml:space="preserve">6,8 [3,2; 10,8]</w:t>
            </w:r>
          </w:p>
        </w:tc>
        <w:tc>
          <w:tcPr/>
          <w:p>
            <w:pPr>
              <w:pStyle w:val="Compact"/>
            </w:pPr>
            <w:r>
              <w:rPr>
                <w:rFonts w:ascii="Calibri" w:hAnsi="Calibri"/>
                <w:sz w:val="20"/>
              </w:rPr>
              <w:t xml:space="preserve">7,3 [4,0; 11,2]</w:t>
            </w:r>
          </w:p>
        </w:tc>
        <w:tc>
          <w:tcPr/>
          <w:p>
            <w:pPr>
              <w:pStyle w:val="Compact"/>
            </w:pPr>
            <w:r>
              <w:rPr>
                <w:rFonts w:ascii="Calibri" w:hAnsi="Calibri"/>
                <w:sz w:val="20"/>
              </w:rPr>
              <w:t xml:space="preserve">7,6 [3,7; 12,0]</w:t>
            </w:r>
          </w:p>
        </w:tc>
      </w:tr>
      <w:tr>
        <w:tc>
          <w:tcPr/>
          <w:p>
            <w:pPr>
              <w:pStyle w:val="Compact"/>
            </w:pPr>
            <w:r>
              <w:rPr>
                <w:rFonts w:ascii="Calibri" w:hAnsi="Calibri"/>
                <w:sz w:val="20"/>
              </w:rPr>
              <w:t xml:space="preserve">Deuda media 2035 (% PIB)</w:t>
            </w:r>
          </w:p>
        </w:tc>
        <w:tc>
          <w:tcPr/>
          <w:p>
            <w:pPr>
              <w:pStyle w:val="Compact"/>
            </w:pPr>
            <w:r>
              <w:rPr>
                <w:rFonts w:ascii="Calibri" w:hAnsi="Calibri"/>
                <w:sz w:val="20"/>
              </w:rPr>
              <w:t xml:space="preserve">18,0 [17,2; 19,2]</w:t>
            </w:r>
          </w:p>
        </w:tc>
        <w:tc>
          <w:tcPr/>
          <w:p>
            <w:pPr>
              <w:pStyle w:val="Compact"/>
            </w:pPr>
            <w:r>
              <w:rPr>
                <w:rFonts w:ascii="Calibri" w:hAnsi="Calibri"/>
                <w:sz w:val="20"/>
              </w:rPr>
              <w:t xml:space="preserve">19,7 [18,8; 21,0]</w:t>
            </w:r>
          </w:p>
        </w:tc>
        <w:tc>
          <w:tcPr/>
          <w:p>
            <w:pPr>
              <w:pStyle w:val="Compact"/>
            </w:pPr>
            <w:r>
              <w:rPr>
                <w:rFonts w:ascii="Calibri" w:hAnsi="Calibri"/>
                <w:sz w:val="20"/>
              </w:rPr>
              <w:t xml:space="preserve">25,8 [24,9; 26,9]</w:t>
            </w:r>
          </w:p>
        </w:tc>
        <w:tc>
          <w:tcPr/>
          <w:p>
            <w:pPr>
              <w:pStyle w:val="Compact"/>
            </w:pPr>
            <w:r>
              <w:rPr>
                <w:rFonts w:ascii="Calibri" w:hAnsi="Calibri"/>
                <w:sz w:val="20"/>
              </w:rPr>
              <w:t xml:space="preserve">18,6 [17,4; 20,3]</w:t>
            </w:r>
          </w:p>
        </w:tc>
      </w:tr>
      <w:tr>
        <w:tc>
          <w:tcPr/>
          <w:p>
            <w:pPr>
              <w:pStyle w:val="Compact"/>
            </w:pPr>
            <w:r>
              <w:rPr>
                <w:rFonts w:ascii="Calibri" w:hAnsi="Calibri"/>
                <w:sz w:val="20"/>
              </w:rPr>
              <w:t xml:space="preserve">Ancho p5-p95 2030</w:t>
            </w:r>
          </w:p>
        </w:tc>
        <w:tc>
          <w:tcPr/>
          <w:p>
            <w:pPr>
              <w:pStyle w:val="Compact"/>
            </w:pPr>
            <w:r>
              <w:rPr>
                <w:rFonts w:ascii="Calibri" w:hAnsi="Calibri"/>
                <w:sz w:val="20"/>
              </w:rPr>
              <w:t xml:space="preserve">19,4 [15,4; 24,3]</w:t>
            </w:r>
          </w:p>
        </w:tc>
        <w:tc>
          <w:tcPr/>
          <w:p>
            <w:pPr>
              <w:pStyle w:val="Compact"/>
            </w:pPr>
            <w:r>
              <w:rPr>
                <w:rFonts w:ascii="Calibri" w:hAnsi="Calibri"/>
                <w:sz w:val="20"/>
              </w:rPr>
              <w:t xml:space="preserve">19,9 [15,8; 24,6]</w:t>
            </w:r>
          </w:p>
        </w:tc>
        <w:tc>
          <w:tcPr/>
          <w:p>
            <w:pPr>
              <w:pStyle w:val="Compact"/>
            </w:pPr>
            <w:r>
              <w:rPr>
                <w:rFonts w:ascii="Calibri" w:hAnsi="Calibri"/>
                <w:sz w:val="20"/>
              </w:rPr>
              <w:t xml:space="preserve">20,9 [16,9; 26,0]</w:t>
            </w:r>
          </w:p>
        </w:tc>
        <w:tc>
          <w:tcPr/>
          <w:p>
            <w:pPr>
              <w:pStyle w:val="Compact"/>
            </w:pPr>
            <w:r>
              <w:rPr>
                <w:rFonts w:ascii="Calibri" w:hAnsi="Calibri"/>
                <w:sz w:val="20"/>
              </w:rPr>
              <w:t xml:space="preserve">21,3 [16,5; 27,2]</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19,4 [3,5; 41,2]</w:t>
            </w:r>
          </w:p>
        </w:tc>
        <w:tc>
          <w:tcPr/>
          <w:p>
            <w:pPr>
              <w:pStyle w:val="Compact"/>
            </w:pPr>
            <w:r>
              <w:rPr>
                <w:rFonts w:ascii="Calibri" w:hAnsi="Calibri"/>
                <w:sz w:val="20"/>
              </w:rPr>
              <w:t xml:space="preserve">18,7 [3,6; 38,9]</w:t>
            </w:r>
          </w:p>
        </w:tc>
        <w:tc>
          <w:tcPr/>
          <w:p>
            <w:pPr>
              <w:pStyle w:val="Compact"/>
            </w:pPr>
            <w:r>
              <w:rPr>
                <w:rFonts w:ascii="Calibri" w:hAnsi="Calibri"/>
                <w:sz w:val="20"/>
              </w:rPr>
              <w:t xml:space="preserve">21,4 [2,3; 50,0]</w:t>
            </w:r>
          </w:p>
        </w:tc>
        <w:tc>
          <w:tcPr/>
          <w:p>
            <w:pPr>
              <w:pStyle w:val="Compact"/>
            </w:pPr>
            <w:r>
              <w:rPr>
                <w:rFonts w:ascii="Calibri" w:hAnsi="Calibri"/>
                <w:sz w:val="20"/>
              </w:rPr>
              <w:t xml:space="preserve">16,8 [2,7; 38,8]</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21,6 [3,9; 49,9]</w:t>
            </w:r>
          </w:p>
        </w:tc>
        <w:tc>
          <w:tcPr/>
          <w:p>
            <w:pPr>
              <w:pStyle w:val="Compact"/>
            </w:pPr>
            <w:r>
              <w:rPr>
                <w:rFonts w:ascii="Calibri" w:hAnsi="Calibri"/>
                <w:sz w:val="20"/>
              </w:rPr>
              <w:t xml:space="preserve">22,8 [4,0; 54,2]</w:t>
            </w:r>
          </w:p>
        </w:tc>
        <w:tc>
          <w:tcPr/>
          <w:p>
            <w:pPr>
              <w:pStyle w:val="Compact"/>
            </w:pPr>
            <w:r>
              <w:rPr>
                <w:rFonts w:ascii="Calibri" w:hAnsi="Calibri"/>
                <w:sz w:val="20"/>
              </w:rPr>
              <w:t xml:space="preserve">27,4 [6,6; 58,4]</w:t>
            </w:r>
          </w:p>
        </w:tc>
        <w:tc>
          <w:tcPr/>
          <w:p>
            <w:pPr>
              <w:pStyle w:val="Compact"/>
            </w:pPr>
            <w:r>
              <w:rPr>
                <w:rFonts w:ascii="Calibri" w:hAnsi="Calibri"/>
                <w:sz w:val="20"/>
              </w:rPr>
              <w:t xml:space="preserve">16,3 [3,0; 40,3]</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59,0 [12,5; 89,5]</w:t>
            </w:r>
          </w:p>
        </w:tc>
        <w:tc>
          <w:tcPr/>
          <w:p>
            <w:pPr>
              <w:pStyle w:val="Compact"/>
            </w:pPr>
            <w:r>
              <w:rPr>
                <w:rFonts w:ascii="Calibri" w:hAnsi="Calibri"/>
                <w:sz w:val="20"/>
              </w:rPr>
              <w:t xml:space="preserve">58,4 [15,1; 88,8]</w:t>
            </w:r>
          </w:p>
        </w:tc>
        <w:tc>
          <w:tcPr/>
          <w:p>
            <w:pPr>
              <w:pStyle w:val="Compact"/>
            </w:pPr>
            <w:r>
              <w:rPr>
                <w:rFonts w:ascii="Calibri" w:hAnsi="Calibri"/>
                <w:sz w:val="20"/>
              </w:rPr>
              <w:t xml:space="preserve">51,2 [6,8; 86,5]</w:t>
            </w:r>
          </w:p>
        </w:tc>
        <w:tc>
          <w:tcPr/>
          <w:p>
            <w:pPr>
              <w:pStyle w:val="Compact"/>
            </w:pPr>
            <w:r>
              <w:rPr>
                <w:rFonts w:ascii="Calibri" w:hAnsi="Calibri"/>
                <w:sz w:val="20"/>
              </w:rPr>
              <w:t xml:space="preserve">66,9 [25,1; 92,3]</w:t>
            </w:r>
          </w:p>
        </w:tc>
      </w:tr>
      <w:tr>
        <w:tc>
          <w:tcPr/>
          <w:p>
            <w:pPr>
              <w:pStyle w:val="Compact"/>
            </w:pPr>
            <w:r>
              <w:rPr>
                <w:rFonts w:ascii="Calibri" w:hAnsi="Calibri"/>
                <w:sz w:val="20"/>
              </w:rPr>
              <w:t xml:space="preserve">H1a: no fiscal menos fiscal</w:t>
            </w:r>
          </w:p>
        </w:tc>
        <w:tc>
          <w:tcPr/>
          <w:p>
            <w:pPr>
              <w:pStyle w:val="Compact"/>
            </w:pPr>
            <w:r>
              <w:rPr>
                <w:rFonts w:ascii="Calibri" w:hAnsi="Calibri"/>
                <w:sz w:val="20"/>
              </w:rPr>
              <w:t xml:space="preserve">61,2 [17,5; 93,0]</w:t>
            </w:r>
          </w:p>
        </w:tc>
        <w:tc>
          <w:tcPr/>
          <w:p>
            <w:pPr>
              <w:pStyle w:val="Compact"/>
            </w:pPr>
            <w:r>
              <w:rPr>
                <w:rFonts w:ascii="Calibri" w:hAnsi="Calibri"/>
                <w:sz w:val="20"/>
              </w:rPr>
              <w:t xml:space="preserve">62,5 [22,3; 92,7]</w:t>
            </w:r>
          </w:p>
        </w:tc>
        <w:tc>
          <w:tcPr/>
          <w:p>
            <w:pPr>
              <w:pStyle w:val="Compact"/>
            </w:pPr>
            <w:r>
              <w:rPr>
                <w:rFonts w:ascii="Calibri" w:hAnsi="Calibri"/>
                <w:sz w:val="20"/>
              </w:rPr>
              <w:t xml:space="preserve">57,1 [0,1; 95,4]</w:t>
            </w:r>
          </w:p>
        </w:tc>
        <w:tc>
          <w:tcPr/>
          <w:p>
            <w:pPr>
              <w:pStyle w:val="Compact"/>
            </w:pPr>
            <w:r>
              <w:rPr>
                <w:rFonts w:ascii="Calibri" w:hAnsi="Calibri"/>
                <w:sz w:val="20"/>
              </w:rPr>
              <w:t xml:space="preserve">66,4 [22,4; 94,7]</w:t>
            </w:r>
          </w:p>
        </w:tc>
      </w:tr>
      <w:tr>
        <w:tc>
          <w:tcPr/>
          <w:p>
            <w:pPr>
              <w:pStyle w:val="Compact"/>
            </w:pPr>
            <w:r>
              <w:rPr>
                <w:rFonts w:ascii="Calibri" w:hAnsi="Calibri"/>
                <w:sz w:val="20"/>
              </w:rPr>
              <w:t xml:space="preserve">H2: FED 1 desvío, Δ probabilidad 2035 (pp)</w:t>
            </w:r>
          </w:p>
        </w:tc>
        <w:tc>
          <w:tcPr/>
          <w:p>
            <w:pPr>
              <w:pStyle w:val="Compact"/>
            </w:pPr>
            <w:r>
              <w:rPr>
                <w:rFonts w:ascii="Calibri" w:hAnsi="Calibri"/>
                <w:sz w:val="20"/>
              </w:rPr>
              <w:t xml:space="preserve">0,5 [0,0; 1,5]</w:t>
            </w:r>
          </w:p>
        </w:tc>
        <w:tc>
          <w:tcPr/>
          <w:p>
            <w:pPr>
              <w:pStyle w:val="Compact"/>
            </w:pPr>
            <w:r>
              <w:rPr>
                <w:rFonts w:ascii="Calibri" w:hAnsi="Calibri"/>
                <w:sz w:val="20"/>
              </w:rPr>
              <w:t xml:space="preserve">0,6 [0,0; 1,8]</w:t>
            </w:r>
          </w:p>
        </w:tc>
        <w:tc>
          <w:tcPr/>
          <w:p>
            <w:pPr>
              <w:pStyle w:val="Compact"/>
            </w:pPr>
            <w:r>
              <w:rPr>
                <w:rFonts w:ascii="Calibri" w:hAnsi="Calibri"/>
                <w:sz w:val="20"/>
              </w:rPr>
              <w:t xml:space="preserve">0,6 [0,0; 1,5]</w:t>
            </w:r>
          </w:p>
        </w:tc>
        <w:tc>
          <w:tcPr/>
          <w:p>
            <w:pPr>
              <w:pStyle w:val="Compact"/>
            </w:pPr>
            <w:r>
              <w:rPr>
                <w:rFonts w:ascii="Calibri" w:hAnsi="Calibri"/>
                <w:sz w:val="20"/>
              </w:rPr>
              <w:t xml:space="preserve">0,7 [0,0; 1,8]</w:t>
            </w:r>
          </w:p>
        </w:tc>
      </w:tr>
      <w:tr>
        <w:tc>
          <w:tcPr/>
          <w:p>
            <w:pPr>
              <w:pStyle w:val="Compact"/>
            </w:pPr>
            <w:r>
              <w:rPr>
                <w:rFonts w:ascii="Calibri" w:hAnsi="Calibri"/>
                <w:sz w:val="20"/>
              </w:rPr>
              <w:t xml:space="preserve">H2: FED 2022-2023, Δ probabilidad 2035 (pp)</w:t>
            </w:r>
          </w:p>
        </w:tc>
        <w:tc>
          <w:tcPr/>
          <w:p>
            <w:pPr>
              <w:pStyle w:val="Compact"/>
            </w:pPr>
            <w:r>
              <w:rPr>
                <w:rFonts w:ascii="Calibri" w:hAnsi="Calibri"/>
                <w:sz w:val="20"/>
              </w:rPr>
              <w:t xml:space="preserve">7,7 [2,5; 16,0]</w:t>
            </w:r>
          </w:p>
        </w:tc>
        <w:tc>
          <w:tcPr/>
          <w:p>
            <w:pPr>
              <w:pStyle w:val="Compact"/>
            </w:pPr>
            <w:r>
              <w:rPr>
                <w:rFonts w:ascii="Calibri" w:hAnsi="Calibri"/>
                <w:sz w:val="20"/>
              </w:rPr>
              <w:t xml:space="preserve">8,2 [3,0; 17,3]</w:t>
            </w:r>
          </w:p>
        </w:tc>
        <w:tc>
          <w:tcPr/>
          <w:p>
            <w:pPr>
              <w:pStyle w:val="Compact"/>
            </w:pPr>
            <w:r>
              <w:rPr>
                <w:rFonts w:ascii="Calibri" w:hAnsi="Calibri"/>
                <w:sz w:val="20"/>
              </w:rPr>
              <w:t xml:space="preserve">7,2 [2,0; 13,2]</w:t>
            </w:r>
          </w:p>
        </w:tc>
        <w:tc>
          <w:tcPr/>
          <w:p>
            <w:pPr>
              <w:pStyle w:val="Compact"/>
            </w:pPr>
            <w:r>
              <w:rPr>
                <w:rFonts w:ascii="Calibri" w:hAnsi="Calibri"/>
                <w:sz w:val="20"/>
              </w:rPr>
              <w:t xml:space="preserve">9,0 [2,2; 20,5]</w:t>
            </w:r>
          </w:p>
        </w:tc>
      </w:tr>
      <w:tr>
        <w:tc>
          <w:tcPr/>
          <w:p>
            <w:pPr>
              <w:pStyle w:val="Compact"/>
            </w:pPr>
            <w:r>
              <w:rPr>
                <w:rFonts w:ascii="Calibri" w:hAnsi="Calibri"/>
                <w:sz w:val="20"/>
              </w:rPr>
              <w:t xml:space="preserve">H2: FED 2022-2023, Δ deuda 2035 (pp PIB)</w:t>
            </w:r>
          </w:p>
        </w:tc>
        <w:tc>
          <w:tcPr/>
          <w:p>
            <w:pPr>
              <w:pStyle w:val="Compact"/>
            </w:pPr>
            <w:r>
              <w:rPr>
                <w:rFonts w:ascii="Calibri" w:hAnsi="Calibri"/>
                <w:sz w:val="20"/>
              </w:rPr>
              <w:t xml:space="preserve">7,0 [1,4; 16,0]</w:t>
            </w:r>
          </w:p>
        </w:tc>
        <w:tc>
          <w:tcPr/>
          <w:p>
            <w:pPr>
              <w:pStyle w:val="Compact"/>
            </w:pPr>
            <w:r>
              <w:rPr>
                <w:rFonts w:ascii="Calibri" w:hAnsi="Calibri"/>
                <w:sz w:val="20"/>
              </w:rPr>
              <w:t xml:space="preserve">7,5 [1,4; 17,1]</w:t>
            </w:r>
          </w:p>
        </w:tc>
        <w:tc>
          <w:tcPr/>
          <w:p>
            <w:pPr>
              <w:pStyle w:val="Compact"/>
            </w:pPr>
            <w:r>
              <w:rPr>
                <w:rFonts w:ascii="Calibri" w:hAnsi="Calibri"/>
                <w:sz w:val="20"/>
              </w:rPr>
              <w:t xml:space="preserve">6,8 [0,1; 15,0]</w:t>
            </w:r>
          </w:p>
        </w:tc>
        <w:tc>
          <w:tcPr/>
          <w:p>
            <w:pPr>
              <w:pStyle w:val="Compact"/>
            </w:pPr>
            <w:r>
              <w:rPr>
                <w:rFonts w:ascii="Calibri" w:hAnsi="Calibri"/>
                <w:sz w:val="20"/>
              </w:rPr>
              <w:t xml:space="preserve">7,6 [0,4; 19,5]</w:t>
            </w:r>
          </w:p>
        </w:tc>
      </w:tr>
    </w:tbl>
    <w:bookmarkEnd w:id="131"/>
    <w:bookmarkEnd w:id="132"/>
    <w:bookmarkStart w:id="133" w:name="referencias"/>
    <w:p>
      <w:pPr>
        <w:pStyle w:val="Heading1"/>
      </w:pPr>
      <w:r>
        <w:t xml:space="preserve">Referencias</w:t>
      </w:r>
    </w:p>
    <w:p>
      <w:pPr>
        <w:pStyle w:val="Compact"/>
        <w:numPr>
          <w:ilvl w:val="0"/>
          <w:numId w:val="1018"/>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8"/>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8"/>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8"/>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8"/>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8"/>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8"/>
        </w:numPr>
      </w:pPr>
      <w:r>
        <w:t xml:space="preserve">Banco Central de la República Argentina.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8"/>
        </w:numPr>
      </w:pPr>
      <w:r>
        <w:t xml:space="preserve">Banco Central de la República Argentina.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8"/>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8"/>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8"/>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8"/>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8"/>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8"/>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8"/>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8"/>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8"/>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8"/>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8"/>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8"/>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8"/>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8"/>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8"/>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8"/>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8"/>
        </w:numPr>
      </w:pPr>
      <w:r>
        <w:t xml:space="preserve">Chequeado. (2025, diciembre).</w:t>
      </w:r>
      <w:r>
        <w:t xml:space="preserve"> </w:t>
      </w:r>
      <w:r>
        <w:rPr>
          <w:i/>
          <w:iCs/>
        </w:rPr>
        <w:t xml:space="preserve">Luis Caputo anunció la colocación de un bono por US$ 910 millones: qué implica el regreso al mercado de deuda</w:t>
      </w:r>
      <w:r>
        <w:t xml:space="preserve">. https://chequeado.com/el-explicador/luis-caputo-anuncio-un-bono-a-4-anos-que-significa-que-el-pais-vuelva-al-mercado-de-deuda/</w:t>
      </w:r>
    </w:p>
    <w:p>
      <w:pPr>
        <w:pStyle w:val="Compact"/>
        <w:numPr>
          <w:ilvl w:val="0"/>
          <w:numId w:val="1018"/>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8"/>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8"/>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8"/>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8"/>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8"/>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8"/>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8"/>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8"/>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8"/>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8"/>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8"/>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8"/>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8"/>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8"/>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8"/>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8"/>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8"/>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8"/>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8"/>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8"/>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8"/>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8"/>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8"/>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8"/>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8"/>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8"/>
        </w:numPr>
      </w:pPr>
      <w:r>
        <w:t xml:space="preserve">Ley 27.541 de Solidaridad Social y Reactivación Productiva en el Marco de la Emergencia Pública (2019). Boletín Oficial de la República Argentina, 23 de diciembre de 2019.</w:t>
      </w:r>
    </w:p>
    <w:p>
      <w:pPr>
        <w:pStyle w:val="Compact"/>
        <w:numPr>
          <w:ilvl w:val="0"/>
          <w:numId w:val="1018"/>
        </w:numPr>
      </w:pPr>
      <w:r>
        <w:t xml:space="preserve">Ley 27.612 de Fortalecimiento de la Sostenibilidad de la Deuda Pública (2021). Boletín Oficial de la República Argentina, 3 de marzo de 2021.</w:t>
      </w:r>
    </w:p>
    <w:p>
      <w:pPr>
        <w:pStyle w:val="Compact"/>
        <w:numPr>
          <w:ilvl w:val="0"/>
          <w:numId w:val="1018"/>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8"/>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8"/>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8"/>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8"/>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8"/>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8"/>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8"/>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8"/>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8"/>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8"/>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8"/>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8"/>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8"/>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2013]. Federal Reserve Bank of Kansas City. Versión en NBER Working Paper No. 21162 (2015, rev. 2018).</w:t>
      </w:r>
    </w:p>
    <w:p>
      <w:pPr>
        <w:pStyle w:val="Compact"/>
        <w:numPr>
          <w:ilvl w:val="0"/>
          <w:numId w:val="1018"/>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8"/>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8"/>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8"/>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8"/>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8"/>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8"/>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8"/>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8"/>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8"/>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8"/>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8"/>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133"/>
    <w:bookmarkStart w:id="138" w:name="X94fa00cbba88d80644c76c995e4abd03512405e"/>
    <w:p>
      <w:pPr>
        <w:pStyle w:val="Heading1"/>
      </w:pPr>
      <w:r>
        <w:t xml:space="preserve">Notas para el grupo (no forman parte del texto de la tesis)</w:t>
      </w:r>
    </w:p>
    <w:bookmarkStart w:id="134"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134"/>
    <w:bookmarkStart w:id="135"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35"/>
    <w:bookmarkStart w:id="136"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9"/>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9"/>
        </w:numPr>
      </w:pPr>
      <w:r>
        <w:rPr>
          <w:b/>
          <w:bCs/>
        </w:rPr>
        <w:t xml:space="preserve">Citas corregidas:</w:t>
      </w:r>
    </w:p>
    <w:p>
      <w:pPr>
        <w:pStyle w:val="Compact"/>
        <w:numPr>
          <w:ilvl w:val="1"/>
          <w:numId w:val="1020"/>
        </w:numPr>
      </w:pPr>
      <w:r>
        <w:t xml:space="preserve">Reinhart et al. (2003) se usa ahora para la intolerancia a la deuda.</w:t>
      </w:r>
    </w:p>
    <w:p>
      <w:pPr>
        <w:pStyle w:val="Compact"/>
        <w:numPr>
          <w:ilvl w:val="1"/>
          <w:numId w:val="1020"/>
        </w:numPr>
      </w:pPr>
      <w:r>
        <w:t xml:space="preserve">Mendoza y Oviedo (2007), para la incertidumbre y el límite de deuda.</w:t>
      </w:r>
    </w:p>
    <w:p>
      <w:pPr>
        <w:pStyle w:val="Compact"/>
        <w:numPr>
          <w:ilvl w:val="1"/>
          <w:numId w:val="1020"/>
        </w:numPr>
      </w:pPr>
      <w:r>
        <w:t xml:space="preserve">La fatiga fiscal pasa a Ghosh et al. (2013).</w:t>
      </w:r>
    </w:p>
    <w:p>
      <w:pPr>
        <w:pStyle w:val="Compact"/>
        <w:numPr>
          <w:ilvl w:val="1"/>
          <w:numId w:val="1020"/>
        </w:numPr>
      </w:pPr>
      <w:r>
        <w:t xml:space="preserve">Ando et al. queda con año 2025.</w:t>
      </w:r>
    </w:p>
    <w:p>
      <w:pPr>
        <w:pStyle w:val="Compact"/>
        <w:numPr>
          <w:ilvl w:val="1"/>
          <w:numId w:val="1020"/>
        </w:numPr>
      </w:pPr>
      <w:r>
        <w:t xml:space="preserve">Se sacan Garud y la tesis propia.</w:t>
      </w:r>
    </w:p>
    <w:p>
      <w:pPr>
        <w:pStyle w:val="Compact"/>
        <w:numPr>
          <w:ilvl w:val="0"/>
          <w:numId w:val="1019"/>
        </w:numPr>
      </w:pPr>
      <w:r>
        <w:rPr>
          <w:b/>
          <w:bCs/>
        </w:rPr>
        <w:t xml:space="preserve">Canal cuasifiscal del shock de la FED:</w:t>
      </w:r>
      <w:r>
        <w:t xml:space="preserve"> </w:t>
      </w:r>
      <w:r>
        <w:t xml:space="preserve">se redacta en pasado.</w:t>
      </w:r>
    </w:p>
    <w:p>
      <w:pPr>
        <w:pStyle w:val="Compact"/>
        <w:numPr>
          <w:ilvl w:val="0"/>
          <w:numId w:val="1019"/>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9"/>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21"/>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21"/>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21"/>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22"/>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22"/>
        </w:numPr>
      </w:pPr>
      <w:r>
        <w:rPr>
          <w:b/>
          <w:bCs/>
        </w:rPr>
        <w:t xml:space="preserve">Párrafo cortado:</w:t>
      </w:r>
      <w:r>
        <w:t xml:space="preserve"> </w:t>
      </w:r>
      <w:r>
        <w:t xml:space="preserve">el párrafo de Santiago sobre la subordinación del BCRA, que estaba cortado, se completó y quedó marcado para verificar.</w:t>
      </w:r>
    </w:p>
    <w:bookmarkEnd w:id="136"/>
    <w:bookmarkStart w:id="137" w:name="nota-4.-pendientes"/>
    <w:p>
      <w:pPr>
        <w:pStyle w:val="Heading2"/>
      </w:pPr>
      <w:r>
        <w:t xml:space="preserve">Nota 4. Pendientes</w:t>
      </w:r>
    </w:p>
    <w:p>
      <w:pPr>
        <w:pStyle w:val="Compact"/>
        <w:numPr>
          <w:ilvl w:val="0"/>
          <w:numId w:val="1023"/>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23"/>
        </w:numPr>
      </w:pPr>
      <w:r>
        <w:t xml:space="preserve">Klemm et al. (2014) y Adler y Magud (2014) salieron del texto: no se pudo leer el capítulo de Klemm et al., y en Adler y Magud no está definido el índice que se les atribuía.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repentina de los flujos de capital.</w:t>
      </w:r>
    </w:p>
  </w:footnote>
  <w:footnote w:id="16">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2">
    <w:p>
      <w:pPr>
        <w:pStyle w:val="FootnoteText"/>
      </w:pPr>
      <w:r>
        <w:rPr>
          <w:rStyle w:val="FootnoteReference"/>
        </w:rPr>
        <w:footnoteRef/>
      </w:r>
      <w:r>
        <w:t xml:space="preserve"> </w:t>
      </w:r>
      <w:r>
        <w:t xml:space="preserve">Acreedores que rechazan una reestructuración y reclaman judicialmente el pago completo.</w:t>
      </w:r>
    </w:p>
  </w:footnote>
  <w:footnote w:id="26">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7">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png"/><Relationship Id="rId73" Type="http://schemas.openxmlformats.org/officeDocument/2006/relationships/image" Target="media/rId73.png"/><Relationship Id="rId76" Type="http://schemas.openxmlformats.org/officeDocument/2006/relationships/image" Target="media/rId76.png"/><Relationship Id="rId95" Type="http://schemas.openxmlformats.org/officeDocument/2006/relationships/image" Target="media/rId95.png"/><Relationship Id="rId99" Type="http://schemas.openxmlformats.org/officeDocument/2006/relationships/image" Target="media/rId99.png"/><Relationship Id="rId103" Type="http://schemas.openxmlformats.org/officeDocument/2006/relationships/image" Target="media/rId103.png"/><Relationship Id="rId109" Type="http://schemas.openxmlformats.org/officeDocument/2006/relationships/image" Target="media/rId109.png"/><Relationship Id="rId115" Type="http://schemas.openxmlformats.org/officeDocument/2006/relationships/image" Target="media/rId115.png"/><Relationship Id="rId118" Type="http://schemas.openxmlformats.org/officeDocument/2006/relationships/image" Target="media/rId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2026-10-11T21:29:37Z</dcterms:created>
  <dcterms:modified xsi:type="dcterms:W3CDTF">2026-10-11T21:29:37Z</dcterms:modified>
</cp:coreProperties>
</file>

<file path=docProps/custom.xml><?xml version="1.0" encoding="utf-8"?>
<Properties xmlns="http://schemas.openxmlformats.org/officeDocument/2006/custom-properties" xmlns:vt="http://schemas.openxmlformats.org/officeDocument/2006/docPropsVTypes"/>
</file>