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61612fe187051a3aa252d97cebe9d574d2e7f68"/>
    <w:p>
      <w:pPr>
        <w:pStyle w:val="Heading1"/>
      </w:pPr>
      <w:r>
        <w:t xml:space="preserve">Guía de defensa: qué hicimos, por qué y qué nos pueden discutir</w:t>
      </w:r>
    </w:p>
    <w:p>
      <w:pPr>
        <w:pStyle w:val="FirstParagraph"/>
      </w:pPr>
      <w:r>
        <w:t xml:space="preserve">Documento interno del grupo. No forma parte de la tesis. Resume cada paso del trabajo empírico con su justificación, lo que corrigió la revisión adversarial del 11/10/2026 y las críticas que todavía puede hacer un jurado, con la respuesta.</w:t>
      </w:r>
    </w:p>
    <w:bookmarkStart w:id="18" w:name="parte-1.-qué-hicimos-paso-a-paso"/>
    <w:p>
      <w:pPr>
        <w:pStyle w:val="Heading2"/>
      </w:pPr>
      <w:r>
        <w:t xml:space="preserve">Parte 1. Qué hicimos, paso a paso</w:t>
      </w:r>
    </w:p>
    <w:bookmarkStart w:id="9" w:name="paso-1.-pregunta-e-hipótesis"/>
    <w:p>
      <w:pPr>
        <w:pStyle w:val="Heading3"/>
      </w:pPr>
      <w:r>
        <w:t xml:space="preserve">Paso 1. Pregunta e hipótesis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Origen.</w:t>
      </w:r>
      <w:r>
        <w:t xml:space="preserve"> </w:t>
      </w:r>
      <w:r>
        <w:t xml:space="preserve">La pregunta, los objetivos y las hipótesis salen de la Introducción corregida de Santiago (7/10/2026), con los comentarios de Pablo del 15/9 incorporados.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H1a</w:t>
      </w:r>
      <w:r>
        <w:t xml:space="preserve"> </w:t>
      </w:r>
      <w:r>
        <w:t xml:space="preserve">(texto de Santiago): los determinantes condicionan la sostenibilidad y el superávit, por sí solo, no basta para estabilizar la deuda.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H1b:</w:t>
      </w:r>
      <w:r>
        <w:t xml:space="preserve"> </w:t>
      </w:r>
      <w:r>
        <w:t xml:space="preserve">nuestra probabilidad de no estabilización es mayor que la del FMI en 2031 y en 2035.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un endurecimiento de la FED eleva la deuda y la probabilidad de no estabilización.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Umbrales:</w:t>
      </w:r>
      <w:r>
        <w:t xml:space="preserve"> </w:t>
      </w:r>
      <w:r>
        <w:t xml:space="preserve">son los del análisis de sostenibilidad más reciente del FMI (2026, Artículo IV y segunda revisión): 1% a mediano plazo y menos de 3% en su abanico de diez años. El umbral de 100% del PIB que había antes no tenía fuente y se sacó.</w:t>
      </w:r>
    </w:p>
    <w:bookmarkEnd w:id="9"/>
    <w:bookmarkStart w:id="10" w:name="paso-2.-datos"/>
    <w:p>
      <w:pPr>
        <w:pStyle w:val="Heading3"/>
      </w:pPr>
      <w:r>
        <w:t xml:space="preserve">Paso 2. Datos</w:t>
      </w:r>
    </w:p>
    <w:p>
      <w:pPr>
        <w:pStyle w:val="FirstParagraph"/>
      </w:pPr>
      <w:r>
        <w:t xml:space="preserve">Todas las series salen de fuentes primarias con scripts reproducibles, sin intervención manual.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Serie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Construcción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Por qué así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consolidada neta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MECON y BCRA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bruta del Tesoro + pasivos remunerados del BCRA − deuda del Tesoro en poder del BCRA (Letras a valor nominal) − depósitos del Tesoro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consolidación del FMI (2021, anexo II)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Denominador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INDEC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PIB nominal de los últimos cuatro trimestres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mezcla un stock con un flujo trimestral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Resultado primario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MECON, esquema ahorro-inversión-financiamiento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Flujo trimestral anualizado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suma móvil crea autocorrelación artificial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PIB real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INDEC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1993 empalmada a base 2004 (k = 1,751)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base 2004 empieza en 2004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EMBI+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J.P. Morgan;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stripped spread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Brady antes de 1999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Promedio trimestral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EMBI+ empieza en 1999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TCRM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BCRA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Promedio trimestral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índice que usa el FMI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Tasa de la FED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FRED y tasa sombra de Wu y Xia (2016)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Sombra en el límite cero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En el límite cero la tasa efectiva no refleja la política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Controles contra el FMI.</w:t>
      </w:r>
      <w:r>
        <w:t xml:space="preserve"> </w:t>
      </w:r>
      <w:r>
        <w:t xml:space="preserve">La deuda neta da 119,0%, 61,1% y 61,0% del PIB en 2023, 2024 y 2025, contra 111,1%, 53,6% y 52,1% del FMI (2026). La diferencia (de 7,5 a 8,9 puntos) es compatible con las tenencias del FGS, que el FMI descuenta y nosotros no. Las LEFI de 2024-2025 están incluidas en la deuda del Tesoro (informe del MECON al 31/12/2024, hoja A.1.7).</w:t>
      </w:r>
    </w:p>
    <w:bookmarkEnd w:id="10"/>
    <w:bookmarkStart w:id="11" w:name="paso-3.-el-modelo-un-svarx"/>
    <w:p>
      <w:pPr>
        <w:pStyle w:val="Heading3"/>
      </w:pPr>
      <w:r>
        <w:t xml:space="preserve">Paso 3. El modelo: un SVARX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Variables:</w:t>
      </w:r>
      <w:r>
        <w:t xml:space="preserve"> </w:t>
      </w:r>
      <w:r>
        <w:t xml:space="preserve">cuatro endógenas (resultado primario, crecimiento, EMBI+, TCRM); exógenas: variación de la tasa de la FED con dos rezagos, VIX, binarias estacionales y binarias de los quiebres de Bai y Perron (2001T4, 2006T2, 2018T1). La deuda rezagada entra en todas las ecuaciones.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 qué un VAR:</w:t>
      </w:r>
      <w:r>
        <w:t xml:space="preserve"> </w:t>
      </w:r>
      <w:r>
        <w:t xml:space="preserve">las cuatro variables se determinan juntas; es la arquitectura del abanico estocástico del FMI (Celasun et al., 2006).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 qué la FED es exógena:</w:t>
      </w:r>
      <w:r>
        <w:t xml:space="preserve"> </w:t>
      </w:r>
      <w:r>
        <w:t xml:space="preserve">Argentina es una economía pequeña y abierta (Cushman y Zha, 1997; Canova, 2005).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 qué en niveles:</w:t>
      </w:r>
      <w:r>
        <w:t xml:space="preserve"> </w:t>
      </w:r>
      <w:r>
        <w:t xml:space="preserve">las estimaciones son consistentes sin imponer cointegración (Sims et al., 1990); la inferencia se hace con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porque la distribución de algunos estimadores no es la estándar.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Propiedades de las series</w:t>
      </w:r>
      <w:r>
        <w:t xml:space="preserve"> </w:t>
      </w:r>
      <w:r>
        <w:t xml:space="preserve">(lo pedía la metodología de Santiago): ADF, KPSS, Zivot-Andrews, Bai-Perron y Johansen, en el Apéndice A.1.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Rezagos:</w:t>
      </w:r>
      <w:r>
        <w:t xml:space="preserve"> </w:t>
      </w:r>
      <w:r>
        <w:t xml:space="preserve">el mayor orden estable que no supera al del AIC: tres. Ivanov y Kilian (2005) recomiendan el AIC para respuestas al impulso con datos trimestrales. Con dos rezagos (el que elige el AIC entre los estables) los resultados se mantienen.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Muestra:</w:t>
      </w:r>
      <w:r>
        <w:t xml:space="preserve"> </w:t>
      </w:r>
      <w:r>
        <w:t xml:space="preserve">1998T2-2025T4 (111 trimestres) para todas las especificaciones.</w:t>
      </w:r>
    </w:p>
    <w:bookmarkEnd w:id="11"/>
    <w:bookmarkStart w:id="12" w:name="paso-4.-identificación-de-los-shocks"/>
    <w:p>
      <w:pPr>
        <w:pStyle w:val="Heading3"/>
      </w:pPr>
      <w:r>
        <w:t xml:space="preserve">Paso 4. Identificación de los</w:t>
      </w:r>
      <w:r>
        <w:t xml:space="preserve"> </w:t>
      </w:r>
      <w:r>
        <w:rPr>
          <w:i/>
          <w:iCs/>
        </w:rPr>
        <w:t xml:space="preserve">shocks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Fiscal:</w:t>
      </w:r>
      <w:r>
        <w:t xml:space="preserve"> </w:t>
      </w:r>
      <w:r>
        <w:t xml:space="preserve">se descuenta la respuesta automática al ciclo con una elasticidad de 0,25 (Blanchard y Perotti, 2002; Girouard y André, 2005).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Actividad:</w:t>
      </w:r>
      <w:r>
        <w:t xml:space="preserve"> </w:t>
      </w:r>
      <w:r>
        <w:t xml:space="preserve">puede responder al</w:t>
      </w:r>
      <w:r>
        <w:t xml:space="preserve"> </w:t>
      </w:r>
      <w:r>
        <w:rPr>
          <w:i/>
          <w:iCs/>
        </w:rPr>
        <w:t xml:space="preserve">shock</w:t>
      </w:r>
      <w:r>
        <w:t xml:space="preserve"> </w:t>
      </w:r>
      <w:r>
        <w:t xml:space="preserve">fiscal en el trimestre.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Bloque cambiario y de riesgo:</w:t>
      </w:r>
      <w:r>
        <w:t xml:space="preserve"> </w:t>
      </w:r>
      <w:r>
        <w:t xml:space="preserve">el EMBI+ y el TCRM sin orden entre sí; solo se interpreta el efecto conjunto (Christiano et al., 1999). El resultado primario y el crecimiento no responden en el trimestre a ese bloque.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Robusteces:</w:t>
      </w:r>
      <w:r>
        <w:t xml:space="preserve"> </w:t>
      </w:r>
      <w:r>
        <w:t xml:space="preserve">Cholesky con el resultado primario primero y último, y elasticidades de 0 y 0,5.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Dato clave:</w:t>
      </w:r>
      <w:r>
        <w:t xml:space="preserve"> </w:t>
      </w:r>
      <w:r>
        <w:t xml:space="preserve">la identificación no cambia la probabilidad de no estabilización (H1b), porque los</w:t>
      </w:r>
      <w:r>
        <w:t xml:space="preserve"> </w:t>
      </w:r>
      <w:r>
        <w:rPr>
          <w:i/>
          <w:iCs/>
        </w:rPr>
        <w:t xml:space="preserve">shocks</w:t>
      </w:r>
      <w:r>
        <w:t xml:space="preserve"> </w:t>
      </w:r>
      <w:r>
        <w:t xml:space="preserve">reconstruyen los mismos residuos. Solo cambia la descomposición de la varianza.</w:t>
      </w:r>
    </w:p>
    <w:bookmarkEnd w:id="12"/>
    <w:bookmarkStart w:id="13" w:name="X67ccc8ea3871c5365d02679c7c0430f730730bf"/>
    <w:p>
      <w:pPr>
        <w:pStyle w:val="Heading3"/>
      </w:pPr>
      <w:r>
        <w:t xml:space="preserve">Paso 5. Retroalimentación entre la deuda y las variables</w:t>
      </w:r>
    </w:p>
    <w:p>
      <w:pPr>
        <w:pStyle w:val="FirstParagraph"/>
      </w:pPr>
      <w:r>
        <w:t xml:space="preserve">Es la</w:t>
      </w:r>
      <w:r>
        <w:t xml:space="preserve"> </w:t>
      </w:r>
      <w:r>
        <w:t xml:space="preserve">“arquitectura B”</w:t>
      </w:r>
      <w:r>
        <w:t xml:space="preserve"> </w:t>
      </w:r>
      <w:r>
        <w:t xml:space="preserve">de Santiago: la deuda rezagada entra en las cuatro ecuaciones y, en la simulación, vuelve como desvío acumulado respecto de la senda base. La deuda se asocia con más superávit (0,051) y más crecimiento; con el EMBI+ la estimación es de 22 puntos básicos por punto de deuda, pero el intervalo incluye el cero. Sin retroalimentación (arquitectura A), las probabilidades casi no cambian.</w:t>
      </w:r>
    </w:p>
    <w:bookmarkEnd w:id="13"/>
    <w:bookmarkStart w:id="14" w:name="paso-6.-inferencia"/>
    <w:p>
      <w:pPr>
        <w:pStyle w:val="Heading3"/>
      </w:pPr>
      <w:r>
        <w:t xml:space="preserve">Paso 6. Inferencia</w:t>
      </w:r>
    </w:p>
    <w:p>
      <w:pPr>
        <w:pStyle w:val="FirstParagraph"/>
      </w:pPr>
      <w:r>
        <w:rPr>
          <w:i/>
          <w:iCs/>
        </w:rPr>
        <w:t xml:space="preserve">Bootstrap</w:t>
      </w:r>
      <w:r>
        <w:t xml:space="preserve"> </w:t>
      </w:r>
      <w:r>
        <w:t xml:space="preserve">salvaje de diseño recursivo (Gonçalves y Kilian, 2004). En cada réplica se regenera también la deuda, con un VAR auxiliar que la incluye. Los coeficientes de rezago se corrigen por el sesgo de muestra chica (Kilian, 1998). Semilla fija.</w:t>
      </w:r>
    </w:p>
    <w:bookmarkEnd w:id="14"/>
    <w:bookmarkStart w:id="15" w:name="paso-7.-simulación"/>
    <w:p>
      <w:pPr>
        <w:pStyle w:val="Heading3"/>
      </w:pPr>
      <w:r>
        <w:t xml:space="preserve">Paso 7. Simulación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Escenario base del FMI (2026, cuadro 6):</w:t>
      </w:r>
      <w:r>
        <w:t xml:space="preserve"> </w:t>
      </w:r>
      <w:r>
        <w:t xml:space="preserve">crecimiento, deflactor, tasa efectiva, resultado primario, ajuste stock-flujo e inflación relativa. Se verifica que la identidad reproduzca la senda de deuda del FMI (desvío máximo de 0,1 puntos).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Desvíos:</w:t>
      </w:r>
      <w:r>
        <w:t xml:space="preserve"> </w:t>
      </w:r>
      <w:r>
        <w:t xml:space="preserve">el SVARX se simula trimestre a trimestre con</w:t>
      </w:r>
      <w:r>
        <w:t xml:space="preserve"> </w:t>
      </w:r>
      <w:r>
        <w:rPr>
          <w:i/>
          <w:iCs/>
        </w:rPr>
        <w:t xml:space="preserve">shocks</w:t>
      </w:r>
      <w:r>
        <w:t xml:space="preserve"> </w:t>
      </w:r>
      <w:r>
        <w:t xml:space="preserve">históricos remuestreados.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Identidad:</w:t>
      </w:r>
      <w:r>
        <w:t xml:space="preserve"> </w:t>
      </w:r>
      <w:r>
        <w:t xml:space="preserve">separa moneda local (42%) y extranjera (58%); la tasa en dólares se reprecia 28% por año.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Métrica del FMI:</w:t>
      </w:r>
      <w:r>
        <w:t xml:space="preserve"> </w:t>
      </w:r>
      <w:r>
        <w:t xml:space="preserve">la deuda no se estabiliza en T si el superávit del escenario base es menor que el que la estabilizaría. Se mide en 2031 y 2035.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Estimación central:</w:t>
      </w:r>
      <w:r>
        <w:t xml:space="preserve"> </w:t>
      </w:r>
      <w:r>
        <w:t xml:space="preserve">parámetros corregidos y 20.000 trayectorias (error de Monte Carlo de 0,3 puntos).</w:t>
      </w:r>
      <w:r>
        <w:t xml:space="preserve"> </w:t>
      </w:r>
      <w:r>
        <w:rPr>
          <w:b/>
          <w:bCs/>
        </w:rPr>
        <w:t xml:space="preserve">Intervalos:</w:t>
      </w:r>
      <w:r>
        <w:t xml:space="preserve"> </w:t>
      </w:r>
      <w:r>
        <w:t xml:space="preserve">200 réplicas con 1.000 trayectorias.</w:t>
      </w:r>
    </w:p>
    <w:bookmarkEnd w:id="15"/>
    <w:bookmarkStart w:id="16" w:name="paso-8.-contrastes"/>
    <w:p>
      <w:pPr>
        <w:pStyle w:val="Heading3"/>
      </w:pPr>
      <w:r>
        <w:t xml:space="preserve">Paso 8. Contrastes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Hipótesis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Medida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Superávit necesario en 2031 para llevar la probabilidad al 1% del FMI; descomposición de la varianza como complemento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basta si el necesario supera el máximo histórico del SPN (3,6% en 2004)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Probabilidad de no estabilización en 2031 y 2035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Límite inferior de 90% mayor que 1% y 3%; se informa también Bonferroni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Diferencia de probabilidad y de deuda con la FED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Intervalo de 90% que excluye el cero</w:t>
            </w:r>
          </w:p>
        </w:tc>
      </w:tr>
    </w:tbl>
    <w:bookmarkEnd w:id="16"/>
    <w:bookmarkStart w:id="17" w:name="paso-9.-resultados"/>
    <w:p>
      <w:pPr>
        <w:pStyle w:val="Heading3"/>
      </w:pPr>
      <w:r>
        <w:t xml:space="preserve">Paso 9. Resultados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H1b, respaldada y robusta.</w:t>
      </w:r>
      <w:r>
        <w:t xml:space="preserve"> </w:t>
      </w:r>
      <w:r>
        <w:t xml:space="preserve">No estabilización de 25,2% en 2031 [19,0; 27,7] y 22,3% en 2035 [15,6; 24,9]. Se cumple en las 18 especificaciones y con el método del FMI (23,7%).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H1a, respaldada por suficiencia.</w:t>
      </w:r>
      <w:r>
        <w:t xml:space="preserve"> </w:t>
      </w:r>
      <w:r>
        <w:t xml:space="preserve">Hace falta un superávit de 7,0% del PIB, el doble del máximo histórico. La descomposición de la varianza (cambiario y de riesgo 59%, fiscal 32%) no es significativa.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H2, respaldada de manera débil.</w:t>
      </w:r>
      <w:r>
        <w:t xml:space="preserve"> </w:t>
      </w:r>
      <w:r>
        <w:t xml:space="preserve">La senda de 2022-2025 suma 13 puntos de probabilidad en 2035 [1,0; 24,8]. No se sostiene con Bonferroni y el efecto sobre la deuda no es significativo. El 60% del efecto es el costo directo de la deuda en dólares.</w:t>
      </w:r>
    </w:p>
    <w:bookmarkEnd w:id="17"/>
    <w:bookmarkEnd w:id="18"/>
    <w:bookmarkStart w:id="19" w:name="X142af6c961f9a91cc06f927e070f0cdd45c8024"/>
    <w:p>
      <w:pPr>
        <w:pStyle w:val="Heading2"/>
      </w:pPr>
      <w:r>
        <w:t xml:space="preserve">Parte 2. Qué encontró la revisión adversarial y cómo se corrigió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Problema encontrado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Corrección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identidad omitía la inflación relativa del escenario del FMI, que es la valuación de la deuda en dólares. Con eso, la senda base caía el doble que la del FMI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incorporó, y ahora un control exige reproducir la senda del FMI antes de simular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retroalimentación usaba la sorpresa del año en lugar del desvío acumulado de la deuda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Corregido: desvío respecto de la senda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informaban medias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en lugar de la estimación puntual, y 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subestimaba la persistencia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Estimación central con corrección de sesgo de Kilian (1998) y 20.000 trayectorias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no regeneraba la deuda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VAR auxiliar con la deuda como quinta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horizonte de mediano plazo del FMI es 2031, no 2030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mide en 2031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escenario de la FED dejaba la tasa 5,25 puntos más alta durante diez años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Ahora repite la senda real 2022-2025 (sube y después baja)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 de H1a (varianza) no medía si el superávit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“alcanza”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Contraste de suficiencia como criterio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Afirmaciones de robustez que no se cumplían (H1a con deuda bruta, H1b con el escenario de 2025)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Corregidas; la tesis informa dónde se sostiene cada resultado y dónde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Errores de texto: un error algebraico en 3.2, atribuciones equivocadas (Eichengreen, Everaert), un marcador sin borrar, rutas de código en el texto, nombre de un autor en una tabla, referencias sin citar y citas sin referencia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Corregidos</w:t>
            </w:r>
          </w:p>
        </w:tc>
      </w:tr>
    </w:tbl>
    <w:bookmarkEnd w:id="19"/>
    <w:bookmarkStart w:id="20" w:name="X0554f3801119bbcb2f590528e039617e301b2b8"/>
    <w:p>
      <w:pPr>
        <w:pStyle w:val="Heading2"/>
      </w:pPr>
      <w:r>
        <w:t xml:space="preserve">Parte 3. Lo que todavía nos pueden discutir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“H1a cambió de criterio.”</w:t>
      </w:r>
      <w:r>
        <w:t xml:space="preserve"> </w:t>
      </w:r>
      <w:r>
        <w:t xml:space="preserve">Respuesta: el criterio de varianza no mide si el superávit alcanza; el de suficiencia mide exactamente lo que dice la hipótesis. La varianza se sigue informando y la tesis dice con claridad que no es robusta.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“¿Por qué su probabilidad es 25 veces la del FMI?”</w:t>
      </w:r>
      <w:r>
        <w:t xml:space="preserve"> </w:t>
      </w:r>
      <w:r>
        <w:t xml:space="preserve">Respuesta: no lo explican el perímetro, el punto de partida ni la identificación; con el método del propio FMI sobre nuestros datos da casi lo mismo (23,7%). La diferencia viene de la historia argentina con la que se generan los</w:t>
      </w:r>
      <w:r>
        <w:t xml:space="preserve"> </w:t>
      </w:r>
      <w:r>
        <w:rPr>
          <w:i/>
          <w:iCs/>
        </w:rPr>
        <w:t xml:space="preserve">shocks</w:t>
      </w:r>
      <w:r>
        <w:t xml:space="preserve">, que el FMI no publica. La tesis no afirma más que eso.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“El escenario del FMI es para la deuda federal bruta y ustedes lo aplican a la consolidada.”</w:t>
      </w:r>
      <w:r>
        <w:t xml:space="preserve"> </w:t>
      </w:r>
      <w:r>
        <w:t xml:space="preserve">Es cierto; con el ajuste stock-flujo en cero, con la deuda solo del Tesoro o partiendo de la deuda del FMI, las conclusiones no cambian.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“La autocorrelación residual y el remuestreo independiente.”</w:t>
      </w:r>
      <w:r>
        <w:t xml:space="preserve"> </w:t>
      </w:r>
      <w:r>
        <w:t xml:space="preserve">Es cierto (p = 0,036); está declarado como limitación.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“El EMBI+ del período de cesación de pagos.”</w:t>
      </w:r>
      <w:r>
        <w:t xml:space="preserve"> </w:t>
      </w:r>
      <w:r>
        <w:t xml:space="preserve">Sin esos trimestres en el remuestreo, la probabilidad baja a 23,7%; la conclusión no cambia.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“La elasticidad de 0,25 es de la OCDE.”</w:t>
      </w:r>
      <w:r>
        <w:t xml:space="preserve"> </w:t>
      </w:r>
      <w:r>
        <w:t xml:space="preserve">Solo afecta la descomposición de la varianza, no la probabilidad ni la suficiencia.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“H2 es débil.”</w:t>
      </w:r>
      <w:r>
        <w:t xml:space="preserve"> </w:t>
      </w:r>
      <w:r>
        <w:t xml:space="preserve">Es cierto y así se dice: dirección correcta, poca precisión, y el efecto pasa sobre todo por el costo de la deuda en dólares.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“El autovalor corregido es 0,9998, casi una raíz unitaria.”</w:t>
      </w:r>
      <w:r>
        <w:t xml:space="preserve"> </w:t>
      </w:r>
      <w:r>
        <w:t xml:space="preserve">La corrección de Kilian aumenta la persistencia y se la reduce para mantener la estabilidad; con dos rezagos, el modelo es menos persistente y los resultados se mantienen.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Endogeneidad del riesgo país</w:t>
      </w:r>
      <w:r>
        <w:t xml:space="preserve"> </w:t>
      </w:r>
      <w:r>
        <w:t xml:space="preserve">(no está en el texto por decisión de Pablo): en series de tiempo todo es endógeno salvo los</w:t>
      </w:r>
      <w:r>
        <w:t xml:space="preserve"> </w:t>
      </w:r>
      <w:r>
        <w:rPr>
          <w:i/>
          <w:iCs/>
        </w:rPr>
        <w:t xml:space="preserve">shocks</w:t>
      </w:r>
      <w:r>
        <w:t xml:space="preserve"> </w:t>
      </w:r>
      <w:r>
        <w:t xml:space="preserve">de mayor frecuencia que el sistema; por eso el VIX y la tasa de la FED entran como exógenas.</w:t>
      </w:r>
    </w:p>
    <w:bookmarkEnd w:id="20"/>
    <w:bookmarkStart w:id="21" w:name="parte-4.-pendientes"/>
    <w:p>
      <w:pPr>
        <w:pStyle w:val="Heading2"/>
      </w:pPr>
      <w:r>
        <w:t xml:space="preserve">Parte 4. Pendientes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FGS.</w:t>
      </w:r>
      <w:r>
        <w:t xml:space="preserve"> </w:t>
      </w:r>
      <w:r>
        <w:t xml:space="preserve">Hay que bajar a mano los informes de ANSES; la sensibilidad partiendo de la deuda del FMI ya está hecha.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Citas.</w:t>
      </w:r>
      <w:r>
        <w:t xml:space="preserve"> </w:t>
      </w:r>
      <w:r>
        <w:t xml:space="preserve">Braun y Joy (1968), sin acceso al original; Adler et al. (2016), verificada sobre el documento de trabajo.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Revisión.</w:t>
      </w:r>
      <w:r>
        <w:t xml:space="preserve"> </w:t>
      </w:r>
      <w:r>
        <w:t xml:space="preserve">Que el grupo y Pablo lean el texto completo.</w:t>
      </w:r>
    </w:p>
    <w:bookmarkEnd w:id="21"/>
    <w:bookmarkStart w:id="22" w:name="parte-5.-números-para-tener-a-mano"/>
    <w:p>
      <w:pPr>
        <w:pStyle w:val="Heading2"/>
      </w:pPr>
      <w:r>
        <w:t xml:space="preserve">Parte 5. Números para tener a mano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Número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61,0% del PIB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consolidada neta a diciembre de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0,051 [0,010; 0,103]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Reacción fiscal de Bohn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25,2% [19,0; 27,7]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estabilización en 2031 (FMI: 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22,3% [15,6; 24,9]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estabilización en 2035 (FMI: menos de 3%)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7,0% del PIB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Superávit necesario para llegar al 1% del FMI (máximo histórico: 3,6%)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59% / 32% / 9%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Varianza de la deuda en 2035: cambiario y de riesgo / fiscal / actividad (no robusto)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+13 pp [1; 25]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Efecto de la senda de la FED 2022-2025 sobre la probabilidad en 2035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35,3 contra 71,5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Ancho del abanico en 2031: nuestro contra el del FMI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 rezagos, 111 trimestres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Especificación del VAR</w:t>
            </w:r>
          </w:p>
        </w:tc>
      </w:tr>
    </w:tbl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2026-10-12T02:30:22Z</dcterms:created>
  <dcterms:modified xsi:type="dcterms:W3CDTF">2026-10-12T02:30:22Z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