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FMI, con el escenario base del FMI. Desde el 11/10/2026 se usa el análisis más reciente (FMI, 2026: 1,0% a mediano plazo y menos de 3% a diez años); el de abril de 2025 (3%) queda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diagnóstico. El escenario y el umbral se toman siempre del mismo informe.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Son los dos horizontes del FMI (2026): el abanico de mediano plazo y el de diez años, que termina en 2035.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Resultados corregidos tras la revisión adversarial del 11/10 (inflación relativa del FMI en la identidad, retroalimentación sobre el desvío acumulado, corrección de sesgo de Kilian, deuda regenerada en el bootstrap, horizonte 2031, senda real de la FED 2022-2025). H1b respaldada y robusta: 25,2% en 2031 [19,0; 27,7] contra 1%, y 22,3% en 2035 contra menos de 3%, en las 18 especificaciones. H1a respaldada por suficiencia: hace falta un superávit de 7,0% del PIB, el doble del máximo histórico (3,6%); la descomposición de la varianza no es robusta. H2 respaldada de manera débil: +13 puntos de probabilidad en 2035 [1; 25], que no se sostienen con Bonferroni.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no estaban en la deuda del Tesoro, faltaban en la consolidada.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Verificado en el Informe de Deuda del MECON al 31/12/2024 (hoja A.1.7): la LeFi/$/TNAPM/17-07-2025 figura en el stock de títulos y letras del Tesoro en moneda nacional, por 23,0 billones de pesos. Está en la deuda bruta, y la parte en poder del BCRA se resta como tenencia del BCRA. No falta nada.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Resuelto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Criterio de H1a (decidido el 11/10, para revisar con el grupo).</w:t>
      </w:r>
      <w:r>
        <w:t xml:space="preserve"> </w:t>
      </w:r>
      <w:r>
        <w:t xml:space="preserve">La descomposición de la varianza no mide si el superávit alcanza, y con las correcciones no es significativa ni robusta. El criterio principal pasa a ser el contraste de suficiencia: el superávit que haría falta para llevar la probabilidad de no estabilización al 1% del FMI, comparado con el máximo histórico del Sector Público Nacional. La varianza se sigue informando. Conviene que Santiago y Pablo lo validen, porque es un cambio de criterio.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Santiago): un punto más de deuda sube el EMBI+ 22 puntos básicos [11; 41], y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proponía Santiago.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Escenario base del FMI actualizado (11/10/2026).</w:t>
      </w:r>
      <w:r>
        <w:t xml:space="preserve"> </w:t>
      </w:r>
      <w:r>
        <w:t xml:space="preserve">El FMI publicó dos análisis de sostenibilidad posteriores al de abril de 2025: la primera revisión (Informe 25/219, agosto de 2025) y el Artículo IV con la segunda revisión (Informe 26/105, mayo de 2026). Se pasó al de mayo de 2026, extraído del PDF con</w:t>
      </w:r>
      <w:r>
        <w:t xml:space="preserve"> </w:t>
      </w:r>
      <w:r>
        <w:rPr>
          <w:rStyle w:val="VerbatimChar"/>
        </w:rPr>
        <w:t xml:space="preserve">codigo/ingesta_datos/extraer_escenario_base_fmi_cr26105.py</w:t>
      </w:r>
      <w:r>
        <w:t xml:space="preserve">. La tesis, los gráficos y la guía de defensa ya usan esas cifras.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2026-10-12T02:30:21Z</dcterms:created>
  <dcterms:modified xsi:type="dcterms:W3CDTF">2026-10-12T02:30:21Z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