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hacia el final del horizonte de proyección,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45"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3"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3"/>
    <w:bookmarkStart w:id="38" w:name="Xa279cf3229c29106283bb4d1e58e9229cedcf6a"/>
    <w:p>
      <w:pPr>
        <w:pStyle w:val="Heading2"/>
      </w:pPr>
      <w:r>
        <w:t xml:space="preserve">3.2 Solvencia intertemporal, la regla de Bohn y la identidad de la deuda</w:t>
      </w:r>
    </w:p>
    <w:bookmarkStart w:id="34"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4"/>
    <w:bookmarkStart w:id="35"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5"/>
    <w:bookmarkStart w:id="36"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εₜ,</w:t>
      </w:r>
    </w:p>
    <w:p>
      <w:pPr>
        <w:pStyle w:val="BodyText"/>
      </w:pPr>
      <w:r>
        <w:t xml:space="preserve">con zₜ un conjunto de determinantes cíclicos. Si ρ &gt; 0, εₜ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como ocurre en la muestra de la tesis, no permite concluir que la política sea insostenible, y por eso el sistema se estima en niveles sin imponer relaciones de cointegración.</w:t>
      </w:r>
    </w:p>
    <w:bookmarkEnd w:id="36"/>
    <w:bookmarkStart w:id="37"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εₜ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7"/>
    <w:bookmarkEnd w:id="38"/>
    <w:bookmarkStart w:id="39"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es el que se conoce como dominancia fiscal (Leeper, 1991).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39"/>
    <w:bookmarkStart w:id="40"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0"/>
    <w:bookmarkStart w:id="41"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de Estados Unidos desplaza el costo del crédito en el exterior al cambiar la percepción global del riesgo, con efectos más intensos sobre los emergentes que sobre las economías avanzadas, y que ese efecto llega a los spreads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amortiguan de manera importante los shocks de incertidumbre global y de manera más limitada los de la tasa larga de Estados Unidos. Esto justifica incluir a la vez la tasa de la FED y el VIX, que no se confunden entre sí.</w:t>
      </w:r>
    </w:p>
    <w:bookmarkEnd w:id="41"/>
    <w:bookmarkStart w:id="42"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Recomienda incorporar una función de reacción fiscal en los escenarios de sostenibilidad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2"/>
    <w:bookmarkStart w:id="43"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3"/>
    <w:bookmarkStart w:id="44"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4"/>
    <w:bookmarkEnd w:id="45"/>
    <w:bookmarkStart w:id="54"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6"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6"/>
    <w:bookmarkStart w:id="47"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7"/>
    <w:bookmarkStart w:id="49"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8"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8"/>
    <w:bookmarkEnd w:id="49"/>
    <w:bookmarkStart w:id="50"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0"/>
    <w:bookmarkStart w:id="51"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elige cuatro rezagos, un año completo de datos trimestrales, pero ese modelo tiene una raíz de módulo 1,02, por lo que se usan tres rezagos (raíz máxima de 0,96). Con la deuda bruta, los cuatro rezagos del AIC ya son estables. La autocorrelación residual se informa como diagnóstico.</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w:t>
      </w:r>
      <w:r>
        <w:t xml:space="preserve"> </w:t>
      </w:r>
      <w:r>
        <w:t xml:space="preserve">muestran volatilidad cambiante en el tiempo (heterocedasticidad condicional; ver Capítulo 6).</w:t>
      </w:r>
      <w:r>
        <w:t xml:space="preserve"> </w:t>
      </w:r>
      <w:r>
        <w:t xml:space="preserve">Por eso los intervalos se calculan con un</w:t>
      </w:r>
      <w:r>
        <w:t xml:space="preserve"> </w:t>
      </w:r>
      <w:r>
        <w:rPr>
          <w:i/>
          <w:iCs/>
        </w:rPr>
        <w:t xml:space="preserve">bootstrap</w:t>
      </w:r>
      <w:r>
        <w:t xml:space="preserve"> </w:t>
      </w:r>
      <w:r>
        <w:t xml:space="preserve">robusto a esa heterocedasticidad (Gonçalves y</w:t>
      </w:r>
      <w:r>
        <w:t xml:space="preserve"> </w:t>
      </w:r>
      <w:r>
        <w:t xml:space="preserve">Kilian, 2004), con semilla fija para que sean reproducibles.</w:t>
      </w:r>
    </w:p>
    <w:bookmarkEnd w:id="51"/>
    <w:bookmarkStart w:id="52"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w:t>
      </w:r>
    </w:p>
    <w:bookmarkEnd w:id="52"/>
    <w:bookmarkStart w:id="53"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w:t>
            </w:r>
          </w:p>
        </w:tc>
        <w:tc>
          <w:tcPr/>
          <w:p>
            <w:pPr>
              <w:pStyle w:val="Compact"/>
            </w:pPr>
            <w:r>
              <w:rPr>
                <w:rFonts w:ascii="Calibri" w:hAnsi="Calibri"/>
                <w:sz w:val="20"/>
              </w:rPr>
              <w:t xml:space="preserve">El límite inferior del intervalo de 90% supera el 3% del FMI (contraste unilateral al 5%).</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3"/>
    <w:bookmarkEnd w:id="54"/>
    <w:bookmarkStart w:id="84"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Todas las cifras que aparecen aquí se recalcularon desde los archivos del repositorio citados en cada sección. Cuando una serie tiene una limitación, se declara junto con la dirección probable de su sesgo.</w:t>
      </w:r>
    </w:p>
    <w:bookmarkStart w:id="55"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datos/procesados/deuda_consolidada_neta_1996_2025.csv</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Componente y serie de robustez</w:t>
            </w:r>
          </w:p>
        </w:tc>
        <w:tc>
          <w:tcPr/>
          <w:p>
            <w:pPr>
              <w:pStyle w:val="Compact"/>
            </w:pPr>
            <w:r>
              <w:rPr>
                <w:rStyle w:val="VerbatimChar"/>
                <w:rFonts w:ascii="Calibri" w:hAnsi="Calibri"/>
                <w:sz w:val="20"/>
              </w:rPr>
              <w:t xml:space="preserve">datos/procesados/deuda_consolidada_1996_2025.csv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..._neta_...csv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MECON</w:t>
            </w:r>
          </w:p>
        </w:tc>
        <w:tc>
          <w:tcPr/>
          <w:p>
            <w:pPr>
              <w:pStyle w:val="Compact"/>
            </w:pPr>
            <w:r>
              <w:rPr>
                <w:rFonts w:ascii="Calibri" w:hAnsi="Calibri"/>
                <w:sz w:val="20"/>
              </w:rPr>
              <w:t xml:space="preserve">1996-2003 empalmado; 2004-2025 ver 5.7</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w:t>
            </w:r>
          </w:p>
        </w:tc>
        <w:tc>
          <w:tcPr/>
          <w:p>
            <w:pPr>
              <w:pStyle w:val="Compact"/>
            </w:pPr>
            <w:r>
              <w:rPr>
                <w:rFonts w:ascii="Calibri" w:hAnsi="Calibri"/>
                <w:sz w:val="20"/>
              </w:rPr>
              <w:t xml:space="preserve">1996-2003 empalmado;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la deuda ya no sale de un diccionario escrito a mano. Se calcula como cociente entre stocks en pesos tomados de los informes de deuda del MECON y el PIB nominal. Esa construcción es trazable a archivos y reproducible con los scripts del repositorio.</w:t>
      </w:r>
    </w:p>
    <w:bookmarkEnd w:id="55"/>
    <w:bookmarkStart w:id="56"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6"/>
    <w:bookmarkStart w:id="63" w:name="deuda-consolidada-neta-y-sus-componentes"/>
    <w:p>
      <w:pPr>
        <w:pStyle w:val="Heading2"/>
      </w:pPr>
      <w:r>
        <w:t xml:space="preserve">5.3 Deuda consolidada neta y sus componentes</w:t>
      </w:r>
    </w:p>
    <w:bookmarkStart w:id="57"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7"/>
    <w:bookmarkStart w:id="58"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8"/>
    <w:bookmarkStart w:id="59"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59"/>
    <w:bookmarkStart w:id="60" w:name="X622ddecccf45ef7e7c8a11981f2dd5e43b630d9"/>
    <w:p>
      <w:pPr>
        <w:pStyle w:val="Heading3"/>
      </w:pPr>
      <w:r>
        <w:t xml:space="preserve">5.3.4 Deuda del Tesoro en poder del BCRA (T_BCRA)</w:t>
      </w:r>
    </w:p>
    <w:p>
      <w:pPr>
        <w:pStyle w:val="Compact"/>
        <w:numPr>
          <w:ilvl w:val="0"/>
          <w:numId w:val="1008"/>
        </w:numPr>
      </w:pPr>
      <w:r>
        <w:rPr>
          <w:b/>
          <w:bCs/>
        </w:rPr>
        <w:t xml:space="preserve">Fuente.</w:t>
      </w:r>
      <w:r>
        <w:t xml:space="preserve"> </w:t>
      </w:r>
      <w:r>
        <w:t xml:space="preserve">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Se verifica que el total sea igual a la suma de sus dos partes en todos los trimestres.</w:t>
      </w:r>
    </w:p>
    <w:p>
      <w:pPr>
        <w:pStyle w:val="Compact"/>
        <w:numPr>
          <w:ilvl w:val="0"/>
          <w:numId w:val="1008"/>
        </w:numPr>
      </w:pPr>
      <w:r>
        <w:rPr>
          <w:b/>
          <w:bCs/>
        </w:rPr>
        <w:t xml:space="preserve">Valuación.</w:t>
      </w:r>
      <w:r>
        <w:t xml:space="preserve"> </w:t>
      </w:r>
      <w:r>
        <w:t xml:space="preserve">Es valor contable del BCRA. Esto es relevante desde diciembre de 2019 (ajuste de las Letras Intransferibles) y desde mayo de 2024 (costo amortizado), según documenta el script de construcción. El FMI usa el stock de deuda del Tesoro. La sección 5.9 cuantifica el efecto en 2024.</w:t>
      </w:r>
    </w:p>
    <w:bookmarkEnd w:id="60"/>
    <w:bookmarkStart w:id="61"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1"/>
    <w:bookmarkStart w:id="62"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(68,31). La identidad que el FMI usa en el Cuadro 2 (línea 6 = 2 + 4 − 5) también se cumple con sus cifras: 92,9 + 18,4 − 0,5 = 110,8 y 51,4 + 2,2 − 2,1 = 51,5.</w:t>
      </w:r>
    </w:p>
    <w:bookmarkEnd w:id="62"/>
    <w:bookmarkEnd w:id="63"/>
    <w:bookmarkStart w:id="64" w:name="resultado-primario"/>
    <w:p>
      <w:pPr>
        <w:pStyle w:val="Heading2"/>
      </w:pPr>
      <w:r>
        <w:t xml:space="preserve">5.4 Resultado primario</w:t>
      </w:r>
    </w:p>
    <w:p>
      <w:pPr>
        <w:pStyle w:val="Compact"/>
        <w:numPr>
          <w:ilvl w:val="0"/>
          <w:numId w:val="1009"/>
        </w:numPr>
      </w:pPr>
      <w:r>
        <w:rPr>
          <w:b/>
          <w:bCs/>
        </w:rPr>
        <w:t xml:space="preserve">Definición.</w:t>
      </w:r>
      <w:r>
        <w:t xml:space="preserve"> </w:t>
      </w:r>
      <w:r>
        <w:t xml:space="preserve">Resultado primario del sector público nacional como porcentaje del PIB; positivo es superávit. Cada trimestre repite el nivel anual del ratio (la suma de los cuatro trimestres de un año es cuatro veces el ratio), de modo que el promedio anual de la serie es el ratio anual.</w:t>
      </w:r>
    </w:p>
    <w:p>
      <w:pPr>
        <w:pStyle w:val="Compact"/>
        <w:numPr>
          <w:ilvl w:val="0"/>
          <w:numId w:val="1009"/>
        </w:numPr>
      </w:pPr>
      <w:r>
        <w:rPr>
          <w:b/>
          <w:bCs/>
        </w:rPr>
        <w:t xml:space="preserve">1996-2003.</w:t>
      </w:r>
      <w:r>
        <w:t xml:space="preserve"> </w:t>
      </w:r>
      <w:r>
        <w:rPr>
          <w:i/>
          <w:iCs/>
        </w:rPr>
        <w:t xml:space="preserve">Compendio Fiscal 1993-2006</w:t>
      </w:r>
      <w:r>
        <w:t xml:space="preserve"> </w:t>
      </w:r>
      <w:r>
        <w:t xml:space="preserve">(MECON, Secretaría de Hacienda, Oficina Nacional de Presupuesto), capítulo I.1.3, fila</w:t>
      </w:r>
      <w:r>
        <w:t xml:space="preserve"> </w:t>
      </w:r>
      <w:r>
        <w:t xml:space="preserve">“Resultado primario”</w:t>
      </w:r>
      <w:r>
        <w:t xml:space="preserve"> </w:t>
      </w:r>
      <w:r>
        <w:t xml:space="preserve">(anual). Se multiplica por un coeficiente de enlace calculado en 2004 y se desagrega a trimestres con el método de Denton sin indicador (Denton, 1971), que minimiza las diferencias cuadráticas entre trimestres con el promedio anual fijo. Se justifica el enlace porque el Compendio y la serie posterior no miden el mismo perímetro, y se prefiere trasladar esa diferencia a un parámetro explícito antes que ignorarla. Se justifica Denton porque no existe un indicador trimestral confiable para todo 1996-2003.</w:t>
      </w:r>
    </w:p>
    <w:p>
      <w:pPr>
        <w:pStyle w:val="Compact"/>
        <w:numPr>
          <w:ilvl w:val="0"/>
          <w:numId w:val="1009"/>
        </w:numPr>
      </w:pPr>
      <w:r>
        <w:rPr>
          <w:b/>
          <w:bCs/>
        </w:rPr>
        <w:t xml:space="preserve">Limitación declarada.</w:t>
      </w:r>
      <w:r>
        <w:t xml:space="preserve"> </w:t>
      </w:r>
      <w:r>
        <w:t xml:space="preserve">El coeficiente de enlace es inestable (la razón Compendio sobre serie vigente pasa de 1,12 en 2004 a 2,07 en 2006), lo que apunta a una diferencia de perímetro más profunda que la valuación. Es la aproximación menos confiable del empalme. Las 32 observaciones están marcadas con</w:t>
      </w:r>
      <w:r>
        <w:t xml:space="preserve"> </w:t>
      </w:r>
      <w:r>
        <w:rPr>
          <w:rStyle w:val="VerbatimChar"/>
        </w:rPr>
        <w:t xml:space="preserve">es_interpolado = 1</w:t>
      </w:r>
      <w:r>
        <w:t xml:space="preserve">.</w:t>
      </w:r>
    </w:p>
    <w:p>
      <w:pPr>
        <w:pStyle w:val="Compact"/>
        <w:numPr>
          <w:ilvl w:val="0"/>
          <w:numId w:val="1009"/>
        </w:numPr>
      </w:pPr>
      <w:r>
        <w:rPr>
          <w:b/>
          <w:bCs/>
        </w:rPr>
        <w:t xml:space="preserve">2004-2025.</w:t>
      </w:r>
      <w:r>
        <w:t xml:space="preserve"> </w:t>
      </w:r>
      <w:r>
        <w:t xml:space="preserve">Los valores provienen de una tabla escrita en el código de ingesta (</w:t>
      </w:r>
      <w:r>
        <w:rPr>
          <w:rStyle w:val="VerbatimChar"/>
        </w:rPr>
        <w:t xml:space="preserve">PB_PIB_TRIM</w:t>
      </w:r>
      <w:r>
        <w:t xml:space="preserve"> </w:t>
      </w:r>
      <w:r>
        <w:t xml:space="preserve">en</w:t>
      </w:r>
      <w:r>
        <w:t xml:space="preserve"> </w:t>
      </w:r>
      <w:r>
        <w:rPr>
          <w:rStyle w:val="VerbatimChar"/>
        </w:rPr>
        <w:t xml:space="preserve">ingesta_mecon_indec.py</w:t>
      </w:r>
      <w:r>
        <w:t xml:space="preserve">), con un decimal, rotulada como</w:t>
      </w:r>
      <w:r>
        <w:t xml:space="preserve"> </w:t>
      </w:r>
      <w:r>
        <w:t xml:space="preserve">“MECON, Sector Público Consolidado”</w:t>
      </w:r>
      <w:r>
        <w:t xml:space="preserve">. El identificador de datos.gob.ar previsto (11.3_RDP_0_0_32) devuelve error HTTP 400. A diferencia de la deuda,</w:t>
      </w:r>
      <w:r>
        <w:t xml:space="preserve"> </w:t>
      </w:r>
      <w:r>
        <w:rPr>
          <w:b/>
          <w:bCs/>
        </w:rPr>
        <w:t xml:space="preserve">esta serie no fue reconstruida desde archivos primarios</w:t>
      </w:r>
      <w:r>
        <w:t xml:space="preserve"> </w:t>
      </w:r>
      <w:r>
        <w:t xml:space="preserve">y es la limitación más relevante de trazabilidad que persiste. La sección 5.8 la contrasta con el FMI. Se recomienda sustituirla por las series fiscales trimestrales del MECON antes de la defensa.</w:t>
      </w:r>
    </w:p>
    <w:bookmarkEnd w:id="64"/>
    <w:bookmarkStart w:id="65"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cuentas nacionales, PIB a precios constantes de 2004, serie 143.3_NO_PR_2004_A_21 de datos.gob.ar (índice de volumen). Según la auditoría del script de ingesta, se obtiene en vivo, sin pasar por el diccionario de contingencia.</w:t>
      </w:r>
    </w:p>
    <w:p>
      <w:pPr>
        <w:pStyle w:val="Compact"/>
        <w:numPr>
          <w:ilvl w:val="0"/>
          <w:numId w:val="1010"/>
        </w:numPr>
      </w:pPr>
      <w:r>
        <w:rPr>
          <w:b/>
          <w:bCs/>
        </w:rPr>
        <w:t xml:space="preserve">Fuente 1996T1-2003T4.</w:t>
      </w:r>
      <w:r>
        <w:t xml:space="preserve"> </w:t>
      </w:r>
      <w:r>
        <w:t xml:space="preserve">No hay serie trimestral de base compatible. Se parte del nivel anual de 2004 (media del índice trimestral) y se encadena hacia atrás con las tasas anuales de crecimiento 1997-2004 (+8,1 %, +3,8 %, −3,4 %, −0,5 %, −4,5 %, −10,9 %, +8,8 %, +9,0 %), tomadas de INDEC y del Banco Mundial según el script</w:t>
      </w:r>
      <w:r>
        <w:t xml:space="preserve"> </w:t>
      </w:r>
      <w:r>
        <w:rPr>
          <w:rStyle w:val="VerbatimChar"/>
        </w:rPr>
        <w:t xml:space="preserve">empalme_pib_real_pre2004.py</w:t>
      </w:r>
      <w:r>
        <w:t xml:space="preserve">. La desagregación trimestral usa el mismo Denton anclado en 2004T1-2006T4 para evitar un salto en la unión. A diferencia del resultado primario, aquí no se usa coeficiente de enlace, porque la tasa de crecimiento real no tiene ambigüedad de perímetro. Las tasas están escritas en el script y no se contrastaron aquí contra la publicación primaria de INDEC.</w:t>
      </w:r>
    </w:p>
    <w:p>
      <w:pPr>
        <w:pStyle w:val="Compact"/>
        <w:numPr>
          <w:ilvl w:val="0"/>
          <w:numId w:val="1010"/>
        </w:numPr>
      </w:pPr>
      <w:r>
        <w:rPr>
          <w:b/>
          <w:bCs/>
        </w:rPr>
        <w:t xml:space="preserve">Transformación.</w:t>
      </w:r>
      <w:r>
        <w:t xml:space="preserve"> </w:t>
      </w:r>
      <w:r>
        <w:t xml:space="preserve">El crecimiento que entra en el sistema es</w:t>
      </w:r>
      <w:r>
        <w:t xml:space="preserve"> </w:t>
      </w:r>
      <w:r>
        <w:rPr>
          <w:rStyle w:val="VerbatimChar"/>
        </w:rPr>
        <w:t xml:space="preserve">crec = 100 × Δln(PIB real)</w:t>
      </w:r>
      <w:r>
        <w:t xml:space="preserve">, trimestral. Es lo que aparece en la identidad de la deuda (Capítulo 4, sección 4.2). El crecimiento pierde la primera observación, así que tiene 119 datos.</w:t>
      </w:r>
    </w:p>
    <w:p>
      <w:pPr>
        <w:pStyle w:val="Compact"/>
        <w:numPr>
          <w:ilvl w:val="0"/>
          <w:numId w:val="1010"/>
        </w:numPr>
      </w:pPr>
      <w:r>
        <w:rPr>
          <w:b/>
          <w:bCs/>
        </w:rPr>
        <w:t xml:space="preserve">Efecto del Denton.</w:t>
      </w:r>
      <w:r>
        <w:t xml:space="preserve"> </w:t>
      </w:r>
      <w:r>
        <w:t xml:space="preserve">La desagregación suaviza el perfil intra-anual de 1996-2003. La variación trimestral de ese tramo refleja el filtro y no un dato observado. Es una limitación declarada.</w:t>
      </w:r>
    </w:p>
    <w:bookmarkEnd w:id="65"/>
    <w:bookmarkStart w:id="70" w:name="variables-financieras"/>
    <w:p>
      <w:pPr>
        <w:pStyle w:val="Heading2"/>
      </w:pPr>
      <w:r>
        <w:t xml:space="preserve">5.6 Variables financieras</w:t>
      </w:r>
    </w:p>
    <w:bookmarkStart w:id="66"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66"/>
    <w:bookmarkStart w:id="67"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67"/>
    <w:bookmarkStart w:id="68"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68"/>
    <w:bookmarkStart w:id="69"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bookmarkEnd w:id="69"/>
    <w:bookmarkEnd w:id="70"/>
    <w:bookmarkStart w:id="71"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71"/>
    <w:bookmarkStart w:id="76"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 68 del PDF; datos en</w:t>
      </w:r>
      <w:r>
        <w:t xml:space="preserve"> </w:t>
      </w:r>
      <w:r>
        <w:rPr>
          <w:rStyle w:val="VerbatimChar"/>
        </w:rPr>
        <w:t xml:space="preserve">datos/procesados/escenario_base_fmi_cr2595.csv</w:t>
      </w:r>
      <w:r>
        <w:t xml:space="preserve">). El FMI publica ese cuadro solo para 2023-2026.</w:t>
      </w:r>
    </w:p>
    <w:bookmarkStart w:id="72"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13,2 (solo BCRA)</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−20,7</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68,3</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+16,8</w:t>
            </w:r>
          </w:p>
        </w:tc>
      </w:tr>
    </w:tbl>
    <w:p>
      <w:pPr>
        <w:pStyle w:val="BodyText"/>
      </w:pPr>
      <w:r>
        <w:t xml:space="preserve">Fuentes: columnas propias en</w:t>
      </w:r>
      <w:r>
        <w:t xml:space="preserve"> </w:t>
      </w:r>
      <w:r>
        <w:rPr>
          <w:rStyle w:val="VerbatimChar"/>
        </w:rPr>
        <w:t xml:space="preserve">deuda_consolidada_neta_1996_2025.csv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brecha de la deuda neta no se explica por esas partidas: se concentra en la línea 3.</w:t>
      </w:r>
    </w:p>
    <w:bookmarkEnd w:id="72"/>
    <w:bookmarkStart w:id="73"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+20,7</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+16,8</w:t>
            </w:r>
          </w:p>
        </w:tc>
      </w:tr>
    </w:tbl>
    <w:p>
      <w:pPr>
        <w:pStyle w:val="BodyText"/>
      </w:pPr>
      <w:r>
        <w:t xml:space="preserve">El 100 % del exceso de nuestra deuda neta sobre la del FMI proviene del neteo incompleto de las tenencias intra-públicas.</w:t>
      </w:r>
    </w:p>
    <w:bookmarkEnd w:id="73"/>
    <w:bookmarkStart w:id="74" w:name="otras-comparaciones"/>
    <w:p>
      <w:pPr>
        <w:pStyle w:val="Heading3"/>
      </w:pPr>
      <w:r>
        <w:t xml:space="preserve">5.8.3 Otras comparaciones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Resultado primario 2023 (promedio anual)</w:t>
            </w:r>
          </w:p>
        </w:tc>
        <w:tc>
          <w:tcPr/>
          <w:p>
            <w:pPr>
              <w:pStyle w:val="Compact"/>
            </w:pPr>
            <w:r>
              <w:rPr>
                <w:rFonts w:ascii="Calibri" w:hAnsi="Calibri"/>
                <w:sz w:val="20"/>
              </w:rPr>
              <w:t xml:space="preserve">−2,05 % PIB</w:t>
            </w:r>
          </w:p>
        </w:tc>
        <w:tc>
          <w:tcPr/>
          <w:p>
            <w:pPr>
              <w:pStyle w:val="Compact"/>
            </w:pPr>
            <w:r>
              <w:rPr>
                <w:rFonts w:ascii="Calibri" w:hAnsi="Calibri"/>
                <w:sz w:val="20"/>
              </w:rPr>
              <w:t xml:space="preserve">−2,8 % PIB</w:t>
            </w:r>
          </w:p>
        </w:tc>
        <w:tc>
          <w:tcPr/>
          <w:p>
            <w:pPr>
              <w:pStyle w:val="Compact"/>
            </w:pPr>
            <w:r>
              <w:rPr>
                <w:rFonts w:ascii="Calibri" w:hAnsi="Calibri"/>
                <w:sz w:val="20"/>
              </w:rPr>
              <w:t xml:space="preserve">FMI (2025), gobierno federal</w:t>
            </w:r>
          </w:p>
        </w:tc>
      </w:tr>
      <w:tr>
        <w:tc>
          <w:tcPr/>
          <w:p>
            <w:pPr>
              <w:pStyle w:val="Compact"/>
            </w:pPr>
            <w:r>
              <w:rPr>
                <w:rFonts w:ascii="Calibri" w:hAnsi="Calibri"/>
                <w:sz w:val="20"/>
              </w:rPr>
              <w:t xml:space="preserve">Resultado primario 2024</w:t>
            </w:r>
          </w:p>
        </w:tc>
        <w:tc>
          <w:tcPr/>
          <w:p>
            <w:pPr>
              <w:pStyle w:val="Compact"/>
            </w:pPr>
            <w:r>
              <w:rPr>
                <w:rFonts w:ascii="Calibri" w:hAnsi="Calibri"/>
                <w:sz w:val="20"/>
              </w:rPr>
              <w:t xml:space="preserve">+1,58 % PIB</w:t>
            </w:r>
          </w:p>
        </w:tc>
        <w:tc>
          <w:tcPr/>
          <w:p>
            <w:pPr>
              <w:pStyle w:val="Compact"/>
            </w:pPr>
            <w:r>
              <w:rPr>
                <w:rFonts w:ascii="Calibri" w:hAnsi="Calibri"/>
                <w:sz w:val="20"/>
              </w:rPr>
              <w:t xml:space="preserve">+1,8 % PIB</w:t>
            </w:r>
          </w:p>
        </w:tc>
        <w:tc>
          <w:tcPr/>
          <w:p>
            <w:pPr>
              <w:pStyle w:val="Compact"/>
            </w:pPr>
            <w:r>
              <w:rPr>
                <w:rFonts w:ascii="Calibri" w:hAnsi="Calibri"/>
                <w:sz w:val="20"/>
              </w:rPr>
              <w:t xml:space="preserve">FMI (2025), gobierno federal</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El resultado primario del FMI corresponde al gobierno federal, y el propio al sector público nacional con la serie descripta en 5.4, de modo que la comparación solo sirve como orden de magnitud. En ambos años los signos coinciden y la diferencia es de 0,2 a 0,75 puntos. No se pudo contrastar contra los informes mensuales del MECON porque la serie de 2004-2025 no tiene archivo de origen.</w:t>
      </w:r>
    </w:p>
    <w:bookmarkEnd w:id="74"/>
    <w:bookmarkStart w:id="75"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propia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Diferencia: nominal menos contable (puntos del PIB)</w:t>
            </w:r>
          </w:p>
        </w:tc>
        <w:tc>
          <w:tcPr/>
          <w:p>
            <w:pPr>
              <w:pStyle w:val="Compact"/>
            </w:pPr>
            <w:r>
              <w:rPr>
                <w:rFonts w:ascii="Calibri" w:hAnsi="Calibri"/>
                <w:sz w:val="20"/>
              </w:rPr>
              <w:t xml:space="preserve">−9,2 (contable mayor)</w:t>
            </w:r>
          </w:p>
        </w:tc>
        <w:tc>
          <w:tcPr/>
          <w:p>
            <w:pPr>
              <w:pStyle w:val="Compact"/>
            </w:pPr>
            <w:r>
              <w:rPr>
                <w:rFonts w:ascii="Calibri" w:hAnsi="Calibri"/>
                <w:sz w:val="20"/>
              </w:rPr>
              <w:t xml:space="preserve">+7,2</w:t>
            </w:r>
          </w:p>
        </w:tc>
      </w:tr>
    </w:tbl>
    <w:p>
      <w:pPr>
        <w:pStyle w:val="BodyText"/>
      </w:pPr>
      <w:r>
        <w:t xml:space="preserve">En 2023 la columna contable de moneda extranjera incluye otros títulos en dólares, por lo que supera al nominal de las Letras. En 2024, en cambio, el nominal de las Letras (69,3 mil millones de USD) supera en 40,7 mil millones de USD (7,2 puntos del PIB) a toda la tenencia del BCRA en moneda extranjera que registra el Balance. Eso confirma que el valor contable subestima la tenencia en 2024 por al menos esa magnitud (ver 5.9.3).</w:t>
      </w:r>
    </w:p>
    <w:bookmarkEnd w:id="75"/>
    <w:bookmarkEnd w:id="76"/>
    <w:bookmarkStart w:id="81" w:name="X53893ea74fc765be5bc0650fe40c4402adf70cb"/>
    <w:p>
      <w:pPr>
        <w:pStyle w:val="Heading2"/>
      </w:pPr>
      <w:r>
        <w:t xml:space="preserve">5.9 La diferencia con el FGS-ANSES y otras limitaciones de la deuda neta</w:t>
      </w:r>
    </w:p>
    <w:bookmarkStart w:id="77"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Es un concepto de deuda consolidada del sector público en sentido amplio. El FMI (2025, Annex II, Table 2) lo aplica en la línea 3,</w:t>
      </w:r>
      <w:r>
        <w:t xml:space="preserve"> </w:t>
      </w:r>
      <w:r>
        <w:t xml:space="preserve">“Deuda del Tesoro intra-sector público (BCRA y FGS)”</w:t>
      </w:r>
      <w:r>
        <w:t xml:space="preserve">.</w:t>
      </w:r>
    </w:p>
    <w:p>
      <w:pPr>
        <w:pStyle w:val="FirstParagraph"/>
      </w:pPr>
      <w:r>
        <w:t xml:space="preserve">Con el FMI (2021) en la mano, nuestra serie netea el BCRA pero</w:t>
      </w:r>
      <w:r>
        <w:t xml:space="preserve"> </w:t>
      </w:r>
      <w:r>
        <w:rPr>
          <w:b/>
          <w:bCs/>
        </w:rPr>
        <w:t xml:space="preserve">no netea las tenencias del FGS-ANSES ni las de otros tenedores públicos</w:t>
      </w:r>
      <w:r>
        <w:t xml:space="preserve">. No se trata de una omisión por criterio, sino de falta de datos.</w:t>
      </w:r>
    </w:p>
    <w:bookmarkEnd w:id="77"/>
    <w:bookmarkStart w:id="78"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el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78"/>
    <w:bookmarkStart w:id="79"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13,2 (solo BCRA). La diferencia es 13,9 y 20,7 puntos, y se traslada uno a uno a la deuda neta: nuestra serie está por encima de la del FMI en 8,2 y 16,8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Según 5.8.4, en 2024 al menos 7,2 puntos de la brecha de 20,7 se deben a que el BCRA registra las Letras Intransferibles a costo amortizado (desde el 7 de mayo de 2024, Res. 128/24, según el script) en vez de a valor nominal, que es el que usa el FMI. El resto (13,5 puntos en 2024 y la totalidad de los 13,9 de 2023) es un residuo que incluye al FGS, a otros tenedores públicos y a diferencias de cobertura.</w:t>
      </w:r>
      <w:r>
        <w:t xml:space="preserve"> </w:t>
      </w:r>
      <w:r>
        <w:rPr>
          <w:b/>
          <w:bCs/>
        </w:rPr>
        <w:t xml:space="preserve">No se puede asignar entre ellos con los datos disponibles.</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sin embargo,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a valor contable en vez de nominal (desde 2019 y sobre todo desde 2024)</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17 puntos del PIB en esos dos años de control.</w:t>
      </w:r>
    </w:p>
    <w:bookmarkEnd w:id="79"/>
    <w:bookmarkStart w:id="80"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Esa condición no se cumple entre 2023 y 2024, años en que la brecha pasa de 14 a 21 puntos. El sistema se estima con la deuda bruta como serie de contraste (</w:t>
      </w:r>
      <w:r>
        <w:rPr>
          <w:rStyle w:val="VerbatimChar"/>
        </w:rPr>
        <w:t xml:space="preserve">deuda_consolidada_1996_2025.csv</w:t>
      </w:r>
      <w:r>
        <w:t xml:space="preserve">), que es homogénea y verificable en todo el período, de modo que la conclusión pueda evaluarse con ambas medidas. El cierre de la brecha exige tres insumos: las series de tenencias del FGS en ANSES (descarga manual), el stock nominal de Letras Intransferibles y adelantos por tenedor (MECON) y el saldo del swap activado (estados contables del BCRA).</w:t>
      </w:r>
    </w:p>
    <w:bookmarkEnd w:id="80"/>
    <w:bookmarkEnd w:id="81"/>
    <w:bookmarkStart w:id="82" w:name="estadísticos-descriptivos"/>
    <w:p>
      <w:pPr>
        <w:pStyle w:val="Heading2"/>
      </w:pPr>
      <w:r>
        <w:t xml:space="preserve">5.10 Estadísticos descriptivos</w:t>
      </w:r>
    </w:p>
    <w:p>
      <w:pPr>
        <w:pStyle w:val="FirstParagraph"/>
      </w:pPr>
      <w:r>
        <w:t xml:space="preserve">Muestra 1996T1-2025T4. El crecimiento y la variación de la Fed pierden una observación por la primera diferencia. Las variables en niveles del sistema de estimación son las filas 1, 6 a 9 y 11.</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 PIB)</w:t>
            </w:r>
          </w:p>
        </w:tc>
        <w:tc>
          <w:tcPr/>
          <w:p>
            <w:pPr>
              <w:pStyle w:val="Compact"/>
            </w:pPr>
            <w:r>
              <w:rPr>
                <w:rFonts w:ascii="Calibri" w:hAnsi="Calibri"/>
                <w:sz w:val="20"/>
              </w:rPr>
              <w:t xml:space="preserve">12,40</w:t>
            </w:r>
          </w:p>
        </w:tc>
        <w:tc>
          <w:tcPr/>
          <w:p>
            <w:pPr>
              <w:pStyle w:val="Compact"/>
            </w:pPr>
            <w:r>
              <w:rPr>
                <w:rFonts w:ascii="Calibri" w:hAnsi="Calibri"/>
                <w:sz w:val="20"/>
              </w:rPr>
              <w:t xml:space="preserve">7,77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Depósitos del Tesoro en el BCRA (% PIB)</w:t>
            </w:r>
          </w:p>
        </w:tc>
        <w:tc>
          <w:tcPr/>
          <w:p>
            <w:pPr>
              <w:pStyle w:val="Compact"/>
            </w:pPr>
            <w:r>
              <w:rPr>
                <w:rFonts w:ascii="Calibri" w:hAnsi="Calibri"/>
                <w:sz w:val="20"/>
              </w:rPr>
              <w:t xml:space="preserve">0,64</w:t>
            </w:r>
          </w:p>
        </w:tc>
        <w:tc>
          <w:tcPr/>
          <w:p>
            <w:pPr>
              <w:pStyle w:val="Compact"/>
            </w:pPr>
            <w:r>
              <w:rPr>
                <w:rFonts w:ascii="Calibri" w:hAnsi="Calibri"/>
                <w:sz w:val="20"/>
              </w:rPr>
              <w:t xml:space="preserve">0,77</w:t>
            </w:r>
          </w:p>
        </w:tc>
        <w:tc>
          <w:tcPr/>
          <w:p>
            <w:pPr>
              <w:pStyle w:val="Compact"/>
            </w:pPr>
            <w:r>
              <w:rPr>
                <w:rFonts w:ascii="Calibri" w:hAnsi="Calibri"/>
                <w:sz w:val="20"/>
              </w:rPr>
              <w:t xml:space="preserve">0,01</w:t>
            </w:r>
          </w:p>
        </w:tc>
        <w:tc>
          <w:tcPr/>
          <w:p>
            <w:pPr>
              <w:pStyle w:val="Compact"/>
            </w:pPr>
            <w:r>
              <w:rPr>
                <w:rFonts w:ascii="Calibri" w:hAnsi="Calibri"/>
                <w:sz w:val="20"/>
              </w:rPr>
              <w:t xml:space="preserve">3,74</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−0,27</w:t>
            </w:r>
          </w:p>
        </w:tc>
        <w:tc>
          <w:tcPr/>
          <w:p>
            <w:pPr>
              <w:pStyle w:val="Compact"/>
            </w:pPr>
            <w:r>
              <w:rPr>
                <w:rFonts w:ascii="Calibri" w:hAnsi="Calibri"/>
                <w:sz w:val="20"/>
              </w:rPr>
              <w:t xml:space="preserve">1,73</w:t>
            </w:r>
          </w:p>
        </w:tc>
        <w:tc>
          <w:tcPr/>
          <w:p>
            <w:pPr>
              <w:pStyle w:val="Compact"/>
            </w:pPr>
            <w:r>
              <w:rPr>
                <w:rFonts w:ascii="Calibri" w:hAnsi="Calibri"/>
                <w:sz w:val="20"/>
              </w:rPr>
              <w:t xml:space="preserve">−3,80</w:t>
            </w:r>
          </w:p>
        </w:tc>
        <w:tc>
          <w:tcPr/>
          <w:p>
            <w:pPr>
              <w:pStyle w:val="Compact"/>
            </w:pPr>
            <w:r>
              <w:rPr>
                <w:rFonts w:ascii="Calibri" w:hAnsi="Calibri"/>
                <w:sz w:val="20"/>
              </w:rPr>
              <w:t xml:space="preserve">4,08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0,43</w:t>
            </w:r>
          </w:p>
        </w:tc>
        <w:tc>
          <w:tcPr/>
          <w:p>
            <w:pPr>
              <w:pStyle w:val="Compact"/>
            </w:pPr>
            <w:r>
              <w:rPr>
                <w:rFonts w:ascii="Calibri" w:hAnsi="Calibri"/>
                <w:sz w:val="20"/>
              </w:rPr>
              <w:t xml:space="preserve">6,47</w:t>
            </w:r>
          </w:p>
        </w:tc>
        <w:tc>
          <w:tcPr/>
          <w:p>
            <w:pPr>
              <w:pStyle w:val="Compact"/>
            </w:pPr>
            <w:r>
              <w:rPr>
                <w:rFonts w:ascii="Calibri" w:hAnsi="Calibri"/>
                <w:sz w:val="20"/>
              </w:rPr>
              <w:t xml:space="preserve">−12,23</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FEDFUNDS (%)</w:t>
            </w:r>
          </w:p>
        </w:tc>
        <w:tc>
          <w:tcPr/>
          <w:p>
            <w:pPr>
              <w:pStyle w:val="Compact"/>
            </w:pPr>
            <w:r>
              <w:rPr>
                <w:rFonts w:ascii="Calibri" w:hAnsi="Calibri"/>
                <w:sz w:val="20"/>
              </w:rPr>
              <w:t xml:space="preserve">2,44</w:t>
            </w:r>
          </w:p>
        </w:tc>
        <w:tc>
          <w:tcPr/>
          <w:p>
            <w:pPr>
              <w:pStyle w:val="Compact"/>
            </w:pPr>
            <w:r>
              <w:rPr>
                <w:rFonts w:ascii="Calibri" w:hAnsi="Calibri"/>
                <w:sz w:val="20"/>
              </w:rPr>
              <w:t xml:space="preserve">2,20</w:t>
            </w:r>
          </w:p>
        </w:tc>
        <w:tc>
          <w:tcPr/>
          <w:p>
            <w:pPr>
              <w:pStyle w:val="Compact"/>
            </w:pPr>
            <w:r>
              <w:rPr>
                <w:rFonts w:ascii="Calibri" w:hAnsi="Calibri"/>
                <w:sz w:val="20"/>
              </w:rPr>
              <w:t xml:space="preserve">0,06</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El crecimiento del PIB tiene un desvío alto porque el tramo 1996-2003 contiene variaciones trimestrales de la crisis de 2001-2002, y no por ruido de medición. El máximo de la deuda neta ocurre en 2002T3 y el mínimo en 2013T3. El máximo del EMBI+ ocurre en 2002T3 y el mínimo en 2007T1.</w:t>
      </w:r>
    </w:p>
    <w:bookmarkEnd w:id="82"/>
    <w:bookmarkStart w:id="83"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(secciones 5.8 y 5.9).</w:t>
      </w:r>
    </w:p>
    <w:p>
      <w:pPr>
        <w:pStyle w:val="Compact"/>
        <w:numPr>
          <w:ilvl w:val="0"/>
          <w:numId w:val="1016"/>
        </w:numPr>
      </w:pPr>
      <w:r>
        <w:rPr>
          <w:b/>
          <w:bCs/>
        </w:rPr>
        <w:t xml:space="preserve">Resultado primario 2004-2025.</w:t>
      </w:r>
      <w:r>
        <w:t xml:space="preserve"> </w:t>
      </w:r>
      <w:r>
        <w:t xml:space="preserve">Serie de un decimal que no se reconstruyó desde archivos. Su contraste con el FMI es solo de orden de magnitud.</w:t>
      </w:r>
    </w:p>
    <w:p>
      <w:pPr>
        <w:pStyle w:val="Compact"/>
        <w:numPr>
          <w:ilvl w:val="0"/>
          <w:numId w:val="1016"/>
        </w:numPr>
      </w:pPr>
      <w:r>
        <w:rPr>
          <w:b/>
          <w:bCs/>
        </w:rPr>
        <w:t xml:space="preserve">Empalme 1996-2003</w:t>
      </w:r>
      <w:r>
        <w:t xml:space="preserve"> </w:t>
      </w:r>
      <w:r>
        <w:t xml:space="preserve">de resultado primario, PIB real y PIB nominal. Incertidumbre de nivel por el coeficiente de enlace.</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Valuación contable</w:t>
      </w:r>
      <w:r>
        <w:t xml:space="preserve"> </w:t>
      </w:r>
      <w:r>
        <w:t xml:space="preserve">de la deuda en poder del BCRA.</w:t>
      </w:r>
    </w:p>
    <w:p>
      <w:pPr>
        <w:pStyle w:val="Compact"/>
        <w:numPr>
          <w:ilvl w:val="0"/>
          <w:numId w:val="1016"/>
        </w:numPr>
      </w:pPr>
      <w:r>
        <w:rPr>
          <w:b/>
          <w:bCs/>
        </w:rPr>
        <w:t xml:space="preserve">Denominador</w:t>
      </w:r>
      <w:r>
        <w:t xml:space="preserve"> </w:t>
      </w:r>
      <w:r>
        <w:t xml:space="preserve">con rezago en períodos de inflación alta.</w:t>
      </w:r>
    </w:p>
    <w:bookmarkEnd w:id="83"/>
    <w:bookmarkEnd w:id="84"/>
    <w:bookmarkStart w:id="85" w:name="referencias"/>
    <w:p>
      <w:pPr>
        <w:pStyle w:val="Heading1"/>
      </w:pPr>
      <w:r>
        <w:t xml:space="preserve">Referencias</w:t>
      </w:r>
    </w:p>
    <w:p>
      <w:pPr>
        <w:pStyle w:val="Compact"/>
        <w:numPr>
          <w:ilvl w:val="0"/>
          <w:numId w:val="1017"/>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7"/>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7"/>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7"/>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7"/>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7"/>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7"/>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7"/>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7"/>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7"/>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7"/>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7"/>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7"/>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7"/>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7"/>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7"/>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7"/>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7"/>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7"/>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7"/>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7"/>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7"/>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7"/>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7"/>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7"/>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7"/>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7"/>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7"/>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7"/>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7"/>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7"/>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7"/>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7"/>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7"/>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7"/>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7"/>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7"/>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7"/>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7"/>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7"/>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7"/>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7"/>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7"/>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7"/>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7"/>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7"/>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7"/>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7"/>
        </w:numPr>
      </w:pPr>
      <w:r>
        <w:t xml:space="preserve">Ley 27.541 de Solidaridad Social y Reactivación Productiva en el Marco de la Emergencia Pública (2019). Boletín Oficial de la República Argentina, 23 de diciembre de 2019.</w:t>
      </w:r>
    </w:p>
    <w:p>
      <w:pPr>
        <w:pStyle w:val="Compact"/>
        <w:numPr>
          <w:ilvl w:val="0"/>
          <w:numId w:val="1017"/>
        </w:numPr>
      </w:pPr>
      <w:r>
        <w:t xml:space="preserve">Ley 27.612 de Fortalecimiento de la Sostenibilidad de la Deuda Pública (2021). Boletín Oficial de la República Argentina, 3 de marzo de 2021.</w:t>
      </w:r>
    </w:p>
    <w:p>
      <w:pPr>
        <w:pStyle w:val="Compact"/>
        <w:numPr>
          <w:ilvl w:val="0"/>
          <w:numId w:val="1017"/>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7"/>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7"/>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7"/>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7"/>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7"/>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7"/>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7"/>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7"/>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7"/>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7"/>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7"/>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7"/>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7"/>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Federal Reserve Bank of Kansas City.</w:t>
      </w:r>
    </w:p>
    <w:p>
      <w:pPr>
        <w:pStyle w:val="Compact"/>
        <w:numPr>
          <w:ilvl w:val="0"/>
          <w:numId w:val="1017"/>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7"/>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7"/>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7"/>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7"/>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7"/>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7"/>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7"/>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7"/>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7"/>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7"/>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7"/>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85"/>
    <w:bookmarkStart w:id="90" w:name="X94fa00cbba88d80644c76c995e4abd03512405e"/>
    <w:p>
      <w:pPr>
        <w:pStyle w:val="Heading1"/>
      </w:pPr>
      <w:r>
        <w:t xml:space="preserve">Notas para el grupo (no forman parte del texto de la tesis)</w:t>
      </w:r>
    </w:p>
    <w:bookmarkStart w:id="86"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86"/>
    <w:bookmarkStart w:id="87" w:name="X6e923efd645ab780f33626d97e87b3009ff5b88"/>
    <w:p>
      <w:pPr>
        <w:pStyle w:val="Heading2"/>
      </w:pPr>
      <w:r>
        <w:t xml:space="preserve">Nota 2.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87"/>
    <w:bookmarkStart w:id="88"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8"/>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8"/>
        </w:numPr>
      </w:pPr>
      <w:r>
        <w:rPr>
          <w:b/>
          <w:bCs/>
        </w:rPr>
        <w:t xml:space="preserve">Citas corregidas:</w:t>
      </w:r>
    </w:p>
    <w:p>
      <w:pPr>
        <w:pStyle w:val="Compact"/>
        <w:numPr>
          <w:ilvl w:val="1"/>
          <w:numId w:val="1019"/>
        </w:numPr>
      </w:pPr>
      <w:r>
        <w:t xml:space="preserve">Reinhart et al. (2003) se usa ahora para la intolerancia a la deuda.</w:t>
      </w:r>
    </w:p>
    <w:p>
      <w:pPr>
        <w:pStyle w:val="Compact"/>
        <w:numPr>
          <w:ilvl w:val="1"/>
          <w:numId w:val="1019"/>
        </w:numPr>
      </w:pPr>
      <w:r>
        <w:t xml:space="preserve">Mendoza y Oviedo (2007), para la incertidumbre y el límite de deuda.</w:t>
      </w:r>
    </w:p>
    <w:p>
      <w:pPr>
        <w:pStyle w:val="Compact"/>
        <w:numPr>
          <w:ilvl w:val="1"/>
          <w:numId w:val="1019"/>
        </w:numPr>
      </w:pPr>
      <w:r>
        <w:t xml:space="preserve">La fatiga fiscal pasa a Ghosh et al. (2013).</w:t>
      </w:r>
    </w:p>
    <w:p>
      <w:pPr>
        <w:pStyle w:val="Compact"/>
        <w:numPr>
          <w:ilvl w:val="1"/>
          <w:numId w:val="1019"/>
        </w:numPr>
      </w:pPr>
      <w:r>
        <w:t xml:space="preserve">Ando et al. queda con año 2025.</w:t>
      </w:r>
    </w:p>
    <w:p>
      <w:pPr>
        <w:pStyle w:val="Compact"/>
        <w:numPr>
          <w:ilvl w:val="1"/>
          <w:numId w:val="1019"/>
        </w:numPr>
      </w:pPr>
      <w:r>
        <w:t xml:space="preserve">Se sacan Garud y la tesis propia.</w:t>
      </w:r>
    </w:p>
    <w:p>
      <w:pPr>
        <w:pStyle w:val="Compact"/>
        <w:numPr>
          <w:ilvl w:val="0"/>
          <w:numId w:val="1018"/>
        </w:numPr>
      </w:pPr>
      <w:r>
        <w:rPr>
          <w:b/>
          <w:bCs/>
        </w:rPr>
        <w:t xml:space="preserve">Canal cuasifiscal del shock de la FED:</w:t>
      </w:r>
      <w:r>
        <w:t xml:space="preserve"> </w:t>
      </w:r>
      <w:r>
        <w:t xml:space="preserve">se redacta en pasado.</w:t>
      </w:r>
    </w:p>
    <w:p>
      <w:pPr>
        <w:pStyle w:val="Compact"/>
        <w:numPr>
          <w:ilvl w:val="0"/>
          <w:numId w:val="1018"/>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8"/>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0"/>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0"/>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0"/>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1"/>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1"/>
        </w:numPr>
      </w:pPr>
      <w:r>
        <w:rPr>
          <w:b/>
          <w:bCs/>
        </w:rPr>
        <w:t xml:space="preserve">Párrafo cortado:</w:t>
      </w:r>
      <w:r>
        <w:t xml:space="preserve"> </w:t>
      </w:r>
      <w:r>
        <w:t xml:space="preserve">el párrafo de Santiago sobre la subordinación del BCRA, que estaba cortado, se completó y quedó marcado para verificar.</w:t>
      </w:r>
    </w:p>
    <w:bookmarkEnd w:id="88"/>
    <w:bookmarkStart w:id="89" w:name="nota-4.-pendientes"/>
    <w:p>
      <w:pPr>
        <w:pStyle w:val="Heading2"/>
      </w:pPr>
      <w:r>
        <w:t xml:space="preserve">Nota 4. Pendientes</w:t>
      </w:r>
    </w:p>
    <w:p>
      <w:pPr>
        <w:pStyle w:val="Compact"/>
        <w:numPr>
          <w:ilvl w:val="0"/>
          <w:numId w:val="1022"/>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2"/>
        </w:numPr>
      </w:pPr>
      <w:r>
        <w:t xml:space="preserve">Klemm et al. (2014) y Adler y Magud (2014) salieron del texto: no se pudo leer el capítulo de Klemm et al., y en Adler y Magud no está definido el índice que se les atribuía.</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2026-10-11T15:20:38Z</dcterms:created>
  <dcterms:modified xsi:type="dcterms:W3CDTF">2026-10-11T15:20:38Z</dcterms:modified>
</cp:coreProperties>
</file>

<file path=docProps/custom.xml><?xml version="1.0" encoding="utf-8"?>
<Properties xmlns="http://schemas.openxmlformats.org/officeDocument/2006/custom-properties" xmlns:vt="http://schemas.openxmlformats.org/officeDocument/2006/docPropsVTypes"/>
</file>