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19" w:name="introducción"/>
    <w:p>
      <w:pPr>
        <w:pStyle w:val="Heading1"/>
      </w:pPr>
      <w:r>
        <w:t xml:space="preserve">1. Introducción</w:t>
      </w:r>
    </w:p>
    <w:bookmarkStart w:id="10"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9"/>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0"/>
    <w:bookmarkStart w:id="11"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1"/>
    <w:bookmarkStart w:id="12"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2"/>
    <w:bookmarkStart w:id="13"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3"/>
    <w:bookmarkStart w:id="14"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hacia el final del horizonte de proyección,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[DECIDIR el tamaño del shock con criterio justificado: ver nota 2 al final del archivo.]</w:t>
      </w:r>
    </w:p>
    <w:bookmarkEnd w:id="14"/>
    <w:bookmarkStart w:id="16"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5"/>
      </w:r>
      <w:r>
        <w:t xml:space="preserve"> </w:t>
      </w:r>
      <w:r>
        <w:t xml:space="preserve">y en las métricas que utiliza el FMI para evaluar el riesgo soberano.</w:t>
      </w:r>
    </w:p>
    <w:bookmarkEnd w:id="16"/>
    <w:bookmarkStart w:id="17"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7"/>
    <w:bookmarkStart w:id="18"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8"/>
    <w:bookmarkEnd w:id="19"/>
    <w:bookmarkStart w:id="32"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0"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0"/>
    <w:bookmarkStart w:id="22"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1"/>
      </w:r>
      <w:r>
        <w:t xml:space="preserve">.</w:t>
      </w:r>
    </w:p>
    <w:bookmarkEnd w:id="22"/>
    <w:bookmarkStart w:id="23"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3"/>
    <w:bookmarkStart w:id="24"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4"/>
    <w:bookmarkStart w:id="27"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5"/>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6"/>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7"/>
    <w:bookmarkStart w:id="28"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8"/>
    <w:bookmarkStart w:id="29"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29"/>
    <w:bookmarkStart w:id="30"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0"/>
    <w:bookmarkStart w:id="31"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del BCRA se hayan reducido a niveles mínimos: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1"/>
    <w:bookmarkEnd w:id="32"/>
    <w:bookmarkStart w:id="45"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3"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3"/>
    <w:bookmarkStart w:id="38" w:name="Xa279cf3229c29106283bb4d1e58e9229cedcf6a"/>
    <w:p>
      <w:pPr>
        <w:pStyle w:val="Heading2"/>
      </w:pPr>
      <w:r>
        <w:t xml:space="preserve">3.2 Solvencia intertemporal, la regla de Bohn y la identidad de la deuda</w:t>
      </w:r>
    </w:p>
    <w:bookmarkStart w:id="34"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4"/>
    <w:bookmarkStart w:id="35"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5"/>
    <w:bookmarkStart w:id="36"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como ocurre en la muestra de la tesis, no permite concluir que la política sea insostenible, y por eso el sistema se estima en niveles sin imponer relaciones de cointegración.</w:t>
      </w:r>
    </w:p>
    <w:bookmarkEnd w:id="36"/>
    <w:bookmarkStart w:id="37"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7"/>
    <w:bookmarkEnd w:id="38"/>
    <w:bookmarkStart w:id="39"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es el que se conoce como dominancia fiscal (Leeper, 1991).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39"/>
    <w:bookmarkStart w:id="40"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0"/>
    <w:bookmarkStart w:id="41"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de Estados Unidos desplaza el costo del crédito en el exterior al cambiar la percepción global del riesgo, con efectos más intensos sobre los emergentes que sobre las economías avanzadas, y que ese efecto llega a los spreads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amortiguan de manera importante los shocks de incertidumbre global y de manera más limitada los de la tasa larga de Estados Unidos. Esto justifica incluir a la vez la tasa de la FED y el VIX, que no se confunden entre sí.</w:t>
      </w:r>
    </w:p>
    <w:bookmarkEnd w:id="41"/>
    <w:bookmarkStart w:id="42"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Recomienda incorporar una función de reacción fiscal en los escenarios de sostenibilidad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2"/>
    <w:bookmarkStart w:id="43"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3"/>
    <w:bookmarkStart w:id="44"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4"/>
    <w:bookmarkEnd w:id="45"/>
    <w:bookmarkStart w:id="54"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6"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6"/>
    <w:bookmarkStart w:id="47"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7"/>
    <w:bookmarkStart w:id="49"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8"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8"/>
    <w:bookmarkEnd w:id="49"/>
    <w:bookmarkStart w:id="50"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0"/>
    <w:bookmarkStart w:id="51"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elige cinco rezagos, pero los modelos de cuatro y cinco rezagos son inestables (raíz máxima de 1,02), por lo que se usan tres (raíz máxima de 0,96). Con la deuda bruta, el mayor orden estable es cuatro (raíz máxima de 0,99). La prueba de Portmanteau detecta autocorrelación residual leve en todos los órdenes (p entre 0,02 y 0,04 en los modelos estables), que se informa como limitación.</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w:t>
      </w:r>
      <w:r>
        <w:t xml:space="preserve"> </w:t>
      </w:r>
      <w:r>
        <w:t xml:space="preserve">muestran volatilidad cambiante en el tiempo (heterocedasticidad condicional; ver Capítulo 6).</w:t>
      </w:r>
      <w:r>
        <w:t xml:space="preserve"> </w:t>
      </w:r>
      <w:r>
        <w:t xml:space="preserve">Por eso los intervalos se calculan con un</w:t>
      </w:r>
      <w:r>
        <w:t xml:space="preserve"> </w:t>
      </w:r>
      <w:r>
        <w:rPr>
          <w:i/>
          <w:iCs/>
        </w:rPr>
        <w:t xml:space="preserve">bootstrap</w:t>
      </w:r>
      <w:r>
        <w:t xml:space="preserve"> </w:t>
      </w:r>
      <w:r>
        <w:t xml:space="preserve">robusto a esa heterocedasticidad (Gonçalves y</w:t>
      </w:r>
      <w:r>
        <w:t xml:space="preserve"> </w:t>
      </w:r>
      <w:r>
        <w:t xml:space="preserve">Kilian, 2004), con semilla fija para que sean reproducibles.</w:t>
      </w:r>
    </w:p>
    <w:bookmarkEnd w:id="51"/>
    <w:bookmarkStart w:id="52"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FMI (2025): crecimiento, resultado primario, tasa</w:t>
      </w:r>
      <w:r>
        <w:t xml:space="preserve"> </w:t>
      </w:r>
      <w:r>
        <w:t xml:space="preserve">efectiva y ajuste stock-flujo. Así la comparación con su 3% de no estabilización es directa.</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w:t>
      </w:r>
    </w:p>
    <w:bookmarkEnd w:id="52"/>
    <w:bookmarkStart w:id="53"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w:t>
            </w:r>
          </w:p>
        </w:tc>
        <w:tc>
          <w:tcPr/>
          <w:p>
            <w:pPr>
              <w:pStyle w:val="Compact"/>
            </w:pPr>
            <w:r>
              <w:rPr>
                <w:rFonts w:ascii="Calibri" w:hAnsi="Calibri"/>
                <w:sz w:val="20"/>
              </w:rPr>
              <w:t xml:space="preserve">El límite inferior del intervalo de 90% supera el 3% del FMI (contraste unilateral al 5%).</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3"/>
    <w:bookmarkEnd w:id="54"/>
    <w:bookmarkStart w:id="84" w:name="datos"/>
    <w:p>
      <w:pPr>
        <w:pStyle w:val="Heading1"/>
      </w:pPr>
      <w:r>
        <w:t xml:space="preserve">5. Datos</w:t>
      </w:r>
    </w:p>
    <w:p>
      <w:pPr>
        <w:pStyle w:val="FirstParagraph"/>
      </w:pPr>
      <w:r>
        <w:t xml:space="preserve">Este capítulo documenta cada serie del modelo: qué mide, de dónde sale, qué transformaciones se le aplicaron y por qué. La muestra es trimestral, 1996T1-2025T4 (120 observaciones). La muestra efectiva de estimación es 1996T4-2025T4 (117 observaciones), porque el crecimiento pierde la primera observación y los dos rezagos de la tasa de la Fed consumen las siguientes. Todas las cifras que aparecen aquí se recalcularon desde los archivos del repositorio citados en cada sección. Cuando una serie tiene una limitación, se declara junto con la dirección probable de su sesgo.</w:t>
      </w:r>
    </w:p>
    <w:bookmarkStart w:id="55" w:name="resumen-de-las-series"/>
    <w:p>
      <w:pPr>
        <w:pStyle w:val="Heading2"/>
      </w:pPr>
      <w:r>
        <w:t xml:space="preserve">5.1 Resumen de las series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 del modelo</w:t>
            </w:r>
          </w:p>
        </w:tc>
        <w:tc>
          <w:tcPr/>
          <w:p>
            <w:pPr>
              <w:pStyle w:val="Compact"/>
            </w:pPr>
            <w:r>
              <w:rPr>
                <w:rFonts w:ascii="Calibri" w:hAnsi="Calibri"/>
                <w:sz w:val="20"/>
              </w:rPr>
              <w:t xml:space="preserve">Rol (Capítulo 4)</w:t>
            </w:r>
          </w:p>
        </w:tc>
        <w:tc>
          <w:tcPr/>
          <w:p>
            <w:pPr>
              <w:pStyle w:val="Compact"/>
            </w:pPr>
            <w:r>
              <w:rPr>
                <w:rFonts w:ascii="Calibri" w:hAnsi="Calibri"/>
                <w:sz w:val="20"/>
              </w:rPr>
              <w:t xml:space="preserve">Archivo</w:t>
            </w:r>
          </w:p>
        </w:tc>
        <w:tc>
          <w:tcPr/>
          <w:p>
            <w:pPr>
              <w:pStyle w:val="Compact"/>
            </w:pPr>
            <w:r>
              <w:rPr>
                <w:rFonts w:ascii="Calibri" w:hAnsi="Calibri"/>
                <w:sz w:val="20"/>
              </w:rPr>
              <w:t xml:space="preserve">Fuente primaria</w:t>
            </w:r>
          </w:p>
        </w:tc>
        <w:tc>
          <w:tcPr/>
          <w:p>
            <w:pPr>
              <w:pStyle w:val="Compact"/>
            </w:pPr>
            <w:r>
              <w:rPr>
                <w:rFonts w:ascii="Calibri" w:hAnsi="Calibri"/>
                <w:sz w:val="20"/>
              </w:rPr>
              <w:t xml:space="preserve">Cobertura real</w:t>
            </w:r>
          </w:p>
        </w:tc>
      </w:tr>
      <w:tr>
        <w:tc>
          <w:tcPr/>
          <w:p>
            <w:pPr>
              <w:pStyle w:val="Compact"/>
            </w:pPr>
            <w:r>
              <w:rPr>
                <w:rFonts w:ascii="Calibri" w:hAnsi="Calibri"/>
                <w:sz w:val="20"/>
              </w:rPr>
              <w:t xml:space="preserve">Deuda consolidada neta, tenencia del BCRA a valor nominal, variante piso (% PIB)</w:t>
            </w:r>
          </w:p>
        </w:tc>
        <w:tc>
          <w:tcPr/>
          <w:p>
            <w:pPr>
              <w:pStyle w:val="Compact"/>
            </w:pPr>
            <w:r>
              <w:rPr>
                <w:rFonts w:ascii="Calibri" w:hAnsi="Calibri"/>
                <w:sz w:val="20"/>
              </w:rPr>
              <w:t xml:space="preserve">Rezagada en las ecuaciones</w:t>
            </w:r>
          </w:p>
        </w:tc>
        <w:tc>
          <w:tcPr/>
          <w:p>
            <w:pPr>
              <w:pStyle w:val="Compact"/>
            </w:pPr>
            <w:r>
              <w:rPr>
                <w:rStyle w:val="VerbatimChar"/>
                <w:rFonts w:ascii="Calibri" w:hAnsi="Calibri"/>
                <w:sz w:val="20"/>
              </w:rPr>
              <w:t xml:space="preserve">datos/procesados/deuda_consolidada_neta_nominal_1996_2025.csv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deuda_consolidada_neta_nominal_piso_pib</w:t>
            </w:r>
            <w:r>
              <w:rPr>
                <w:rFonts w:ascii="Calibri" w:hAnsi="Calibri"/>
                <w:sz w:val="20"/>
              </w:rPr>
              <w:t xml:space="preserve">)</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1996T1-2025T4, sin FGS; nominal en 80 de 120 trimestres (ver 5.3.4)</w:t>
            </w:r>
          </w:p>
        </w:tc>
      </w:tr>
      <w:tr>
        <w:tc>
          <w:tcPr/>
          <w:p>
            <w:pPr>
              <w:pStyle w:val="Compact"/>
            </w:pPr>
            <w:r>
              <w:rPr>
                <w:rFonts w:ascii="Calibri" w:hAnsi="Calibri"/>
                <w:sz w:val="20"/>
              </w:rPr>
              <w:t xml:space="preserve">Deuda neta a valor de libros y deuda federal bruta (% PIB)</w:t>
            </w:r>
          </w:p>
        </w:tc>
        <w:tc>
          <w:tcPr/>
          <w:p>
            <w:pPr>
              <w:pStyle w:val="Compact"/>
            </w:pPr>
            <w:r>
              <w:rPr>
                <w:rFonts w:ascii="Calibri" w:hAnsi="Calibri"/>
                <w:sz w:val="20"/>
              </w:rPr>
              <w:t xml:space="preserve">Series de robustez y componente</w:t>
            </w:r>
          </w:p>
        </w:tc>
        <w:tc>
          <w:tcPr/>
          <w:p>
            <w:pPr>
              <w:pStyle w:val="Compact"/>
            </w:pPr>
            <w:r>
              <w:rPr>
                <w:rStyle w:val="VerbatimChar"/>
                <w:rFonts w:ascii="Calibri" w:hAnsi="Calibri"/>
                <w:sz w:val="20"/>
              </w:rPr>
              <w:t xml:space="preserve">datos/procesados/deuda_consolidada_neta_1996_2025.csv</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datos/procesados/deuda_consolidada_1996_2025.csv</w:t>
            </w:r>
          </w:p>
        </w:tc>
        <w:tc>
          <w:tcPr/>
          <w:p>
            <w:pPr>
              <w:pStyle w:val="Compact"/>
            </w:pPr>
            <w:r>
              <w:rPr>
                <w:rFonts w:ascii="Calibri" w:hAnsi="Calibri"/>
                <w:sz w:val="20"/>
              </w:rPr>
              <w:t xml:space="preserve">MECON, Informe de Deuda 31/12/2025</w:t>
            </w:r>
          </w:p>
        </w:tc>
        <w:tc>
          <w:tcPr/>
          <w:p>
            <w:pPr>
              <w:pStyle w:val="Compact"/>
            </w:pPr>
            <w:r>
              <w:rPr>
                <w:rFonts w:ascii="Calibri" w:hAnsi="Calibri"/>
                <w:sz w:val="20"/>
              </w:rPr>
              <w:t xml:space="preserve">1996T1-2025T4 (6 trimestres interpolados)</w:t>
            </w:r>
          </w:p>
        </w:tc>
      </w:tr>
      <w:tr>
        <w:tc>
          <w:tcPr/>
          <w:p>
            <w:pPr>
              <w:pStyle w:val="Compact"/>
            </w:pPr>
            <w:r>
              <w:rPr>
                <w:rFonts w:ascii="Calibri" w:hAnsi="Calibri"/>
                <w:sz w:val="20"/>
              </w:rPr>
              <w:t xml:space="preserve">Pasivos remunerados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w:t>
            </w:r>
          </w:p>
        </w:tc>
        <w:tc>
          <w:tcPr/>
          <w:p>
            <w:pPr>
              <w:pStyle w:val="Compact"/>
            </w:pPr>
            <w:r>
              <w:rPr>
                <w:rFonts w:ascii="Calibri" w:hAnsi="Calibri"/>
                <w:sz w:val="20"/>
              </w:rPr>
              <w:t xml:space="preserve">1996T1-2025T4 (sin swap del PBoC)</w:t>
            </w:r>
          </w:p>
        </w:tc>
      </w:tr>
      <w:tr>
        <w:tc>
          <w:tcPr/>
          <w:p>
            <w:pPr>
              <w:pStyle w:val="Compact"/>
            </w:pPr>
            <w:r>
              <w:rPr>
                <w:rFonts w:ascii="Calibri" w:hAnsi="Calibri"/>
                <w:sz w:val="20"/>
              </w:rPr>
              <w:t xml:space="preserve">Deuda del Tesoro en poder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BCRA, Balance histórico</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 id 1264</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Resultado primario (% PIB, flujo trimestral anualizado)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datos/procesados/resultado_primario_1996_2025.csv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pb_pib_trim</w:t>
            </w:r>
            <w:r>
              <w:rPr>
                <w:rFonts w:ascii="Calibri" w:hAnsi="Calibri"/>
                <w:sz w:val="20"/>
              </w:rPr>
              <w:t xml:space="preserve">)</w:t>
            </w:r>
          </w:p>
        </w:tc>
        <w:tc>
          <w:tcPr/>
          <w:p>
            <w:pPr>
              <w:pStyle w:val="Compact"/>
            </w:pPr>
            <w:r>
              <w:rPr>
                <w:rFonts w:ascii="Calibri" w:hAnsi="Calibri"/>
                <w:sz w:val="20"/>
              </w:rPr>
              <w:t xml:space="preserve">MECON, Secretaría de Hacienda, esquema Ahorro-Inversión-Financiamiento (datos.gob.ar, dataset 379)</w:t>
            </w:r>
          </w:p>
        </w:tc>
        <w:tc>
          <w:tcPr/>
          <w:p>
            <w:pPr>
              <w:pStyle w:val="Compact"/>
            </w:pPr>
            <w:r>
              <w:rPr>
                <w:rFonts w:ascii="Calibri" w:hAnsi="Calibri"/>
                <w:sz w:val="20"/>
              </w:rPr>
              <w:t xml:space="preserve">1996T1-2025T4, mensual, sin desagregación</w:t>
            </w:r>
          </w:p>
        </w:tc>
      </w:tr>
      <w:tr>
        <w:tc>
          <w:tcPr/>
          <w:p>
            <w:pPr>
              <w:pStyle w:val="Compact"/>
            </w:pPr>
            <w:r>
              <w:rPr>
                <w:rFonts w:ascii="Calibri" w:hAnsi="Calibri"/>
                <w:sz w:val="20"/>
              </w:rPr>
              <w:t xml:space="preserve">PIB real y crecimiento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datos/procesados/pib_real_empalme_indec_1996_2003.csv</w:t>
            </w:r>
            <w:r>
              <w:rPr>
                <w:rFonts w:ascii="Calibri" w:hAnsi="Calibri"/>
                <w:sz w:val="20"/>
              </w:rPr>
              <w:t xml:space="preserve"> </w:t>
            </w:r>
            <w:r>
              <w:rPr>
                <w:rFonts w:ascii="Calibri" w:hAnsi="Calibri"/>
                <w:sz w:val="20"/>
              </w:rPr>
              <w:t xml:space="preserve">y</w:t>
            </w:r>
            <w:r>
              <w:rPr>
                <w:rFonts w:ascii="Calibri" w:hAnsi="Calibri"/>
                <w:sz w:val="20"/>
              </w:rPr>
              <w:t xml:space="preserve"> </w:t>
            </w:r>
            <w:r>
              <w:rPr>
                <w:rStyle w:val="VerbatimChar"/>
                <w:rFonts w:ascii="Calibri" w:hAnsi="Calibri"/>
                <w:sz w:val="20"/>
              </w:rPr>
              <w:t xml:space="preserve">datos/dataset_consolidado_1996_2025.csv</w:t>
            </w:r>
          </w:p>
        </w:tc>
        <w:tc>
          <w:tcPr/>
          <w:p>
            <w:pPr>
              <w:pStyle w:val="Compact"/>
            </w:pPr>
            <w:r>
              <w:rPr>
                <w:rFonts w:ascii="Calibri" w:hAnsi="Calibri"/>
                <w:sz w:val="20"/>
              </w:rPr>
              <w:t xml:space="preserve">INDEC, Oferta y Demanda Globales</w:t>
            </w:r>
          </w:p>
        </w:tc>
        <w:tc>
          <w:tcPr/>
          <w:p>
            <w:pPr>
              <w:pStyle w:val="Compact"/>
            </w:pPr>
            <w:r>
              <w:rPr>
                <w:rFonts w:ascii="Calibri" w:hAnsi="Calibri"/>
                <w:sz w:val="20"/>
              </w:rPr>
              <w:t xml:space="preserve">1996-2003 base 1993 empalmada a base 2004; 2004-2025 directo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JP Morgan vía Ámbito; spread Brady</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BCRA,</w:t>
            </w:r>
            <w:r>
              <w:rPr>
                <w:rFonts w:ascii="Calibri" w:hAnsi="Calibri"/>
                <w:sz w:val="20"/>
              </w:rPr>
              <w:t xml:space="preserve"> </w:t>
            </w:r>
            <w:r>
              <w:rPr>
                <w:rStyle w:val="VerbatimChar"/>
                <w:rFonts w:ascii="Calibri" w:hAnsi="Calibri"/>
                <w:sz w:val="20"/>
              </w:rPr>
              <w:t xml:space="preserve">ITCRMSerie.xlsx</w:t>
            </w:r>
          </w:p>
        </w:tc>
        <w:tc>
          <w:tcPr/>
          <w:p>
            <w:pPr>
              <w:pStyle w:val="Compact"/>
            </w:pPr>
            <w:r>
              <w:rPr>
                <w:rFonts w:ascii="Calibri" w:hAnsi="Calibri"/>
                <w:sz w:val="20"/>
              </w:rPr>
              <w:t xml:space="preserve">1997T1-2025T4; 1996 retropolado</w:t>
            </w:r>
          </w:p>
        </w:tc>
      </w:tr>
      <w:tr>
        <w:tc>
          <w:tcPr/>
          <w:p>
            <w:pPr>
              <w:pStyle w:val="Compact"/>
            </w:pPr>
            <w:r>
              <w:rPr>
                <w:rFonts w:ascii="Calibri" w:hAnsi="Calibri"/>
                <w:sz w:val="20"/>
              </w:rPr>
              <w:t xml:space="preserve">Tasa de la Fed (con tasa sombra)</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datos/procesados/tasa_fed_trimestral_1996_2025.csv</w:t>
            </w:r>
          </w:p>
        </w:tc>
        <w:tc>
          <w:tcPr/>
          <w:p>
            <w:pPr>
              <w:pStyle w:val="Compact"/>
            </w:pPr>
            <w:r>
              <w:rPr>
                <w:rFonts w:ascii="Calibri" w:hAnsi="Calibri"/>
                <w:sz w:val="20"/>
              </w:rPr>
              <w:t xml:space="preserve">FRED y Atlanta Fed</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datos/procesados/instrumentos_1996_2025.csv</w:t>
            </w:r>
          </w:p>
        </w:tc>
        <w:tc>
          <w:tcPr/>
          <w:p>
            <w:pPr>
              <w:pStyle w:val="Compact"/>
            </w:pPr>
            <w:r>
              <w:rPr>
                <w:rFonts w:ascii="Calibri" w:hAnsi="Calibri"/>
                <w:sz w:val="20"/>
              </w:rPr>
              <w:t xml:space="preserve">Yahoo Finance, ^VIX</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PIB nominal de cuatro trimestres</w:t>
            </w:r>
          </w:p>
        </w:tc>
        <w:tc>
          <w:tcPr/>
          <w:p>
            <w:pPr>
              <w:pStyle w:val="Compact"/>
            </w:pPr>
            <w:r>
              <w:rPr>
                <w:rFonts w:ascii="Calibri" w:hAnsi="Calibri"/>
                <w:sz w:val="20"/>
              </w:rPr>
              <w:t xml:space="preserve">Denominador</w:t>
            </w:r>
          </w:p>
        </w:tc>
        <w:tc>
          <w:tcPr/>
          <w:p>
            <w:pPr>
              <w:pStyle w:val="Compact"/>
            </w:pPr>
            <w:r>
              <w:rPr>
                <w:rStyle w:val="VerbatimChar"/>
                <w:rFonts w:ascii="Calibri" w:hAnsi="Calibri"/>
                <w:sz w:val="20"/>
              </w:rPr>
              <w:t xml:space="preserve">deuda_consolidada_1996_2025.csv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pib_4t_mm</w:t>
            </w:r>
            <w:r>
              <w:rPr>
                <w:rFonts w:ascii="Calibri" w:hAnsi="Calibri"/>
                <w:sz w:val="20"/>
              </w:rPr>
              <w:t xml:space="preserve">)</w:t>
            </w:r>
          </w:p>
        </w:tc>
        <w:tc>
          <w:tcPr/>
          <w:p>
            <w:pPr>
              <w:pStyle w:val="Compact"/>
            </w:pPr>
            <w:r>
              <w:rPr>
                <w:rFonts w:ascii="Calibri" w:hAnsi="Calibri"/>
                <w:sz w:val="20"/>
              </w:rPr>
              <w:t xml:space="preserve">INDEC</w:t>
            </w:r>
          </w:p>
        </w:tc>
        <w:tc>
          <w:tcPr/>
          <w:p>
            <w:pPr>
              <w:pStyle w:val="Compact"/>
            </w:pPr>
            <w:r>
              <w:rPr>
                <w:rFonts w:ascii="Calibri" w:hAnsi="Calibri"/>
                <w:sz w:val="20"/>
              </w:rPr>
              <w:t xml:space="preserve">1996T1-2025T4 (32 trimestres empalmados)</w:t>
            </w:r>
          </w:p>
        </w:tc>
      </w:tr>
    </w:tbl>
    <w:p>
      <w:pPr>
        <w:pStyle w:val="BodyText"/>
      </w:pPr>
      <w:r>
        <w:t xml:space="preserve">Un cambio metodológico respecto de versiones anteriores: ninguna serie fiscal ni de deuda sale ya de un diccionario escrito a mano. La deuda es el cociente entre stocks en pesos tomados de los informes del MECON y el PIB nominal. El resultado primario se lee de las planillas mensuales de Hacienda y el PIB real de 1996-2003 se empalma con las series publicadas por INDEC. Todas las construcciones son trazables a archivos y reproducibles con los scripts de</w:t>
      </w:r>
      <w:r>
        <w:t xml:space="preserve"> </w:t>
      </w:r>
      <w:r>
        <w:rPr>
          <w:rStyle w:val="VerbatimChar"/>
        </w:rPr>
        <w:t xml:space="preserve">codigo/ingesta_datos/</w:t>
      </w:r>
      <w:r>
        <w:t xml:space="preserve">.</w:t>
      </w:r>
    </w:p>
    <w:bookmarkEnd w:id="55"/>
    <w:bookmarkStart w:id="56" w:name="X9551ff4f8fe6138b2157a69a2c063d63865295b"/>
    <w:p>
      <w:pPr>
        <w:pStyle w:val="Heading2"/>
      </w:pPr>
      <w:r>
        <w:t xml:space="preserve">5.2 Denominador: PIB nominal de los últimos cuatro trimestres</w:t>
      </w:r>
    </w:p>
    <w:p>
      <w:pPr>
        <w:pStyle w:val="FirstParagraph"/>
      </w:pPr>
      <w:r>
        <w:t xml:space="preserve">Un stock de fin de período es una variable de fin de período y el PIB es un flujo anual. Dividir el stock por el PIB de un solo trimestre anualizado mezcla estacionalidad y, con inflación alta, infla el denominador. El denominador elegido es la suma de los últimos cuatro flujos trimestrales del PIB nominal (</w:t>
      </w:r>
      <w:r>
        <w:rPr>
          <w:rStyle w:val="VerbatimChar"/>
        </w:rPr>
        <w:t xml:space="preserve">pib_4t_mm</w:t>
      </w:r>
      <w:r>
        <w:t xml:space="preserve">, millones de pesos corrientes). En el cuarto trimestre coincide con la convención del FMI, que divide por el PIB del año (FMI, 2025, Annex II, Table 2, nota 1).</w:t>
      </w:r>
    </w:p>
    <w:p>
      <w:pPr>
        <w:pStyle w:val="Compact"/>
        <w:numPr>
          <w:ilvl w:val="0"/>
          <w:numId w:val="1005"/>
        </w:numPr>
      </w:pPr>
      <w:r>
        <w:rPr>
          <w:b/>
          <w:bCs/>
        </w:rPr>
        <w:t xml:space="preserve">Fuente.</w:t>
      </w:r>
      <w:r>
        <w:t xml:space="preserve"> </w:t>
      </w:r>
      <w:r>
        <w:t xml:space="preserve">INDEC, PIB a precios de comprador corrientes. Para 2004T1-2025T4, serie 4.4_OGP_2004_T_17 de datos.gob.ar (88 trimestres). Para 1996T1-2003T4, serie 2.4_OGP_1993_T_17 (base 1993), empalmada con un coeficiente de enlace de 1,0837. Ese coeficiente es la razón entre las medias de 2004 en base 2004 y en base 1993 (32 trimestres, marcados</w:t>
      </w:r>
      <w:r>
        <w:t xml:space="preserve"> </w:t>
      </w:r>
      <w:r>
        <w:rPr>
          <w:rStyle w:val="VerbatimChar"/>
        </w:rPr>
        <w:t xml:space="preserve">base1993_empalmada</w:t>
      </w:r>
      <w:r>
        <w:t xml:space="preserve"> </w:t>
      </w:r>
      <w:r>
        <w:t xml:space="preserve">en</w:t>
      </w:r>
      <w:r>
        <w:t xml:space="preserve"> </w:t>
      </w:r>
      <w:r>
        <w:rPr>
          <w:rStyle w:val="VerbatimChar"/>
        </w:rPr>
        <w:t xml:space="preserve">pib_origen</w:t>
      </w:r>
      <w:r>
        <w:t xml:space="preserve">).</w:t>
      </w:r>
    </w:p>
    <w:p>
      <w:pPr>
        <w:pStyle w:val="Compact"/>
        <w:numPr>
          <w:ilvl w:val="0"/>
          <w:numId w:val="1005"/>
        </w:numPr>
      </w:pPr>
      <w:r>
        <w:rPr>
          <w:b/>
          <w:bCs/>
        </w:rPr>
        <w:t xml:space="preserve">Límite.</w:t>
      </w:r>
      <w:r>
        <w:t xml:space="preserve"> </w:t>
      </w:r>
      <w:r>
        <w:t xml:space="preserve">La razón entre bases no es constante a lo largo de 2004 (varía entre 1,07 y 1,12 por trimestre) y se aleja más en años posteriores. El nivel del PIB nominal anterior a 2004 tiene, por lo tanto, una incertidumbre que se traslada a todos los ratios de ese tramo.</w:t>
      </w:r>
    </w:p>
    <w:p>
      <w:pPr>
        <w:pStyle w:val="Compact"/>
        <w:numPr>
          <w:ilvl w:val="0"/>
          <w:numId w:val="1005"/>
        </w:numPr>
      </w:pPr>
      <w:r>
        <w:rPr>
          <w:b/>
          <w:bCs/>
        </w:rPr>
        <w:t xml:space="preserve">Costo conocido.</w:t>
      </w:r>
      <w:r>
        <w:t xml:space="preserve"> </w:t>
      </w:r>
      <w:r>
        <w:t xml:space="preserve">Con inflación de tres dígitos (2023-2024), el PIB de cuatro trimestres rezaga al PIB corriente de fin de período. El ratio se sobreestima en la aceleración y se subestima en la desinflación. El diagnóstico previo, con el PIB del cuarto trimestre anualizado, daba 9,05 % para los pasivos del BCRA en 2023 contra 13,3 % con el denominador adoptado, y el FMI informa 18,4 % para un concepto más amplio. Se declara en la columna</w:t>
      </w:r>
      <w:r>
        <w:t xml:space="preserve"> </w:t>
      </w:r>
      <w:r>
        <w:rPr>
          <w:rStyle w:val="VerbatimChar"/>
        </w:rPr>
        <w:t xml:space="preserve">denominador_tipo</w:t>
      </w:r>
      <w:r>
        <w:t xml:space="preserve">.</w:t>
      </w:r>
    </w:p>
    <w:bookmarkEnd w:id="56"/>
    <w:bookmarkStart w:id="63" w:name="deuda-consolidada-neta-y-sus-componentes"/>
    <w:p>
      <w:pPr>
        <w:pStyle w:val="Heading2"/>
      </w:pPr>
      <w:r>
        <w:t xml:space="preserve">5.3 Deuda consolidada neta y sus componentes</w:t>
      </w:r>
    </w:p>
    <w:bookmarkStart w:id="57" w:name="definición"/>
    <w:p>
      <w:pPr>
        <w:pStyle w:val="Heading3"/>
      </w:pPr>
      <w:r>
        <w:t xml:space="preserve">5.3.1 Definición</w:t>
      </w:r>
    </w:p>
    <w:p>
      <w:pPr>
        <w:pStyle w:val="FirstParagraph"/>
      </w:pPr>
      <w:r>
        <w:t xml:space="preserve">Se sigue la definición de consolidación con el banco central del FMI (2021, Annex II, nota 2, p. 72 del archivo local; también nota 23, p. 28). Consolidar implica restar los créditos del banco central contra el gobierno y sumar los pasivos de deuda del banco central, sin moneda ni depósitos de residentes. En símbolos:</w:t>
      </w:r>
    </w:p>
    <w:p>
      <w:pPr>
        <w:pStyle w:val="BodyText"/>
      </w:pPr>
      <w:r>
        <w:t xml:space="preserve">D_neta = B − T_BCRA − T_FGS + L_BCRA − DEP, todo dividido por el PIB de cuatro trimestres.</w:t>
      </w:r>
    </w:p>
    <w:p>
      <w:pPr>
        <w:pStyle w:val="BodyText"/>
      </w:pPr>
      <w:r>
        <w:t xml:space="preserve">Aquí B es la deuda bruta federal, T_BCRA la deuda del Tesoro en poder del BCRA, T_FGS la deuda del Tesoro en poder del FGS-ANSES, L_BCRA los pasivos remunerados del BCRA y DEP los depósitos del Tesoro en el BCRA. En la serie estimada, T_FGS no está disponible (sección 5.9).</w:t>
      </w:r>
    </w:p>
    <w:bookmarkEnd w:id="57"/>
    <w:bookmarkStart w:id="58" w:name="deuda-federal-bruta-b"/>
    <w:p>
      <w:pPr>
        <w:pStyle w:val="Heading3"/>
      </w:pPr>
      <w:r>
        <w:t xml:space="preserve">5.3.2 Deuda federal bruta (B)</w:t>
      </w:r>
    </w:p>
    <w:p>
      <w:pPr>
        <w:pStyle w:val="Compact"/>
        <w:numPr>
          <w:ilvl w:val="0"/>
          <w:numId w:val="1006"/>
        </w:numPr>
      </w:pPr>
      <w:r>
        <w:rPr>
          <w:b/>
          <w:bCs/>
        </w:rPr>
        <w:t xml:space="preserve">Fuente.</w:t>
      </w:r>
      <w:r>
        <w:t xml:space="preserve"> </w:t>
      </w:r>
      <w:r>
        <w:t xml:space="preserve">MECON, Secretaría de Finanzas,</w:t>
      </w:r>
      <w:r>
        <w:t xml:space="preserve"> </w:t>
      </w:r>
      <w:r>
        <w:rPr>
          <w:i/>
          <w:iCs/>
        </w:rPr>
        <w:t xml:space="preserve">Informe de Deuda Pública al 31/12/2025</w:t>
      </w:r>
      <w:r>
        <w:t xml:space="preserve">, hoja A.4.5 (deuda bruta de la Administración Central en miles de millones de dólares, trimestral desde 1998T1). Se multiplica por el tipo de cambio de fin de trimestre de la hoja A.2.4. Control del tipo de cambio: 808,45 al 31/12/2023, igual al cociente USD/ARS de la hoja A.1.1 del informe de 2023. Archivos en</w:t>
      </w:r>
      <w:r>
        <w:t xml:space="preserve"> </w:t>
      </w:r>
      <w:r>
        <w:rPr>
          <w:rStyle w:val="VerbatimChar"/>
        </w:rPr>
        <w:t xml:space="preserve">datos/crudos/mecon_deuda/</w:t>
      </w:r>
      <w:r>
        <w:t xml:space="preserve">.</w:t>
      </w:r>
    </w:p>
    <w:p>
      <w:pPr>
        <w:pStyle w:val="Compact"/>
        <w:numPr>
          <w:ilvl w:val="0"/>
          <w:numId w:val="1006"/>
        </w:numPr>
      </w:pPr>
      <w:r>
        <w:rPr>
          <w:b/>
          <w:bCs/>
        </w:rPr>
        <w:t xml:space="preserve">Convertibilidad.</w:t>
      </w:r>
      <w:r>
        <w:t xml:space="preserve"> </w:t>
      </w:r>
      <w:r>
        <w:t xml:space="preserve">Para 1996T1-2001T4 (24 trimestres) el tipo de cambio es 1, por la paridad legal de la Ley 23.928 (</w:t>
      </w:r>
      <w:r>
        <w:rPr>
          <w:rStyle w:val="VerbatimChar"/>
        </w:rPr>
        <w:t xml:space="preserve">tc_origen = paridad_legal_ley_23928</w:t>
      </w:r>
      <w:r>
        <w:t xml:space="preserve">). Los otros 96 trimestres usan la hoja A.2.4.</w:t>
      </w:r>
    </w:p>
    <w:p>
      <w:pPr>
        <w:pStyle w:val="Compact"/>
        <w:numPr>
          <w:ilvl w:val="0"/>
          <w:numId w:val="1006"/>
        </w:numPr>
      </w:pPr>
      <w:r>
        <w:rPr>
          <w:b/>
          <w:bCs/>
        </w:rPr>
        <w:t xml:space="preserve">Interpolación.</w:t>
      </w:r>
      <w:r>
        <w:t xml:space="preserve"> </w:t>
      </w:r>
      <w:r>
        <w:t xml:space="preserve">En 1996-1997 el informe solo trae el cierre de diciembre. Los seis trimestres no diciembre se interpolan linealmente en dólares (</w:t>
      </w:r>
      <w:r>
        <w:rPr>
          <w:rStyle w:val="VerbatimChar"/>
        </w:rPr>
        <w:t xml:space="preserve">spnf_origen = interpolado_lineal_usd</w:t>
      </w:r>
      <w:r>
        <w:t xml:space="preserve">, bandera</w:t>
      </w:r>
      <w:r>
        <w:t xml:space="preserve"> </w:t>
      </w:r>
      <w:r>
        <w:rPr>
          <w:rStyle w:val="VerbatimChar"/>
        </w:rPr>
        <w:t xml:space="preserve">flag_bruta_interpolada</w:t>
      </w:r>
      <w:r>
        <w:t xml:space="preserve">). Los otros 114 son datos trimestrales del informe. Se interpola porque la alternativa, eliminar seis trimestres, deja agujeros en un VAR de frecuencia trimestral.</w:t>
      </w:r>
    </w:p>
    <w:p>
      <w:pPr>
        <w:pStyle w:val="Compact"/>
        <w:numPr>
          <w:ilvl w:val="0"/>
          <w:numId w:val="1006"/>
        </w:numPr>
      </w:pPr>
      <w:r>
        <w:rPr>
          <w:b/>
          <w:bCs/>
        </w:rPr>
        <w:t xml:space="preserve">Perímetro.</w:t>
      </w:r>
      <w:r>
        <w:t xml:space="preserve"> </w:t>
      </w:r>
      <w:r>
        <w:t xml:space="preserve">Es la deuda bruta de la Administración Central. Excluye la deuda elegible pendiente de reestructuración e incluye tenencias del BCRA, del FGS y de otros organismos públicos.</w:t>
      </w:r>
    </w:p>
    <w:p>
      <w:pPr>
        <w:pStyle w:val="Compact"/>
        <w:numPr>
          <w:ilvl w:val="0"/>
          <w:numId w:val="1006"/>
        </w:numPr>
      </w:pPr>
      <w:r>
        <w:rPr>
          <w:b/>
          <w:bCs/>
        </w:rPr>
        <w:t xml:space="preserve">Corrección de una fecha.</w:t>
      </w:r>
      <w:r>
        <w:t xml:space="preserve"> </w:t>
      </w:r>
      <w:r>
        <w:t xml:space="preserve">La hoja A.2.4 trae una fila con fecha 2022-03-31 duplicada, que corresponde a 2002-03-31 (intercalada con un CER de 1,0481). El script la reasigna solo si detecta la duplicación.</w:t>
      </w:r>
    </w:p>
    <w:bookmarkEnd w:id="58"/>
    <w:bookmarkStart w:id="59" w:name="pasivos-remunerados-del-bcra-l_bcra"/>
    <w:p>
      <w:pPr>
        <w:pStyle w:val="Heading3"/>
      </w:pPr>
      <w:r>
        <w:t xml:space="preserve">5.3.3 Pasivos remunerados del BCRA (L_BCRA)</w:t>
      </w:r>
    </w:p>
    <w:p>
      <w:pPr>
        <w:pStyle w:val="Compact"/>
        <w:numPr>
          <w:ilvl w:val="0"/>
          <w:numId w:val="1007"/>
        </w:numPr>
      </w:pPr>
      <w:r>
        <w:rPr>
          <w:b/>
          <w:bCs/>
        </w:rPr>
        <w:t xml:space="preserve">Moneda local.</w:t>
      </w:r>
      <w:r>
        <w:t xml:space="preserve"> </w:t>
      </w:r>
      <w:r>
        <w:t xml:space="preserve">API del BCRA, Estadísticas Monetarias v4.0 (</w:t>
      </w:r>
      <w:r>
        <w:rPr>
          <w:rStyle w:val="VerbatimChar"/>
        </w:rPr>
        <w:t xml:space="preserve">https://api.bcra.gob.ar/estadisticas/v4.0/monetarias</w:t>
      </w:r>
      <w:r>
        <w:t xml:space="preserve">): id 1258 (LEBAC y NOBAC), id 1260 (LELIQ y NOTALIQ), id 1261 (posición neta de pases). La API no devuelve datos de 1258 antes de 2002-03 ni de 1260 antes de 2018-01. En esos tramos el valor es cero y queda una bandera (</w:t>
      </w:r>
      <w:r>
        <w:rPr>
          <w:rStyle w:val="VerbatimChar"/>
        </w:rPr>
        <w:t xml:space="preserve">lebac_nobac_sin_serie</w:t>
      </w:r>
      <w:r>
        <w:t xml:space="preserve">,</w:t>
      </w:r>
      <w:r>
        <w:t xml:space="preserve"> </w:t>
      </w:r>
      <w:r>
        <w:rPr>
          <w:rStyle w:val="VerbatimChar"/>
        </w:rPr>
        <w:t xml:space="preserve">leliq_notaliq_sin_serie</w:t>
      </w:r>
      <w:r>
        <w:t xml:space="preserve">). El cero refleja que el instrumento no existía en la fecha de inicio de la serie, no un dato imputado.</w:t>
      </w:r>
    </w:p>
    <w:p>
      <w:pPr>
        <w:pStyle w:val="Compact"/>
        <w:numPr>
          <w:ilvl w:val="0"/>
          <w:numId w:val="1007"/>
        </w:numPr>
      </w:pPr>
      <w:r>
        <w:rPr>
          <w:b/>
          <w:bCs/>
        </w:rPr>
        <w:t xml:space="preserve">Pases en neto.</w:t>
      </w:r>
      <w:r>
        <w:t xml:space="preserve"> </w:t>
      </w:r>
      <w:r>
        <w:t xml:space="preserve">El id 1261 es pases pasivos menos pases activos y puede ser negativo. Ocurre en 15 trimestres (2001T2-2004T1 y 2024T3-2025T1, bandera</w:t>
      </w:r>
      <w:r>
        <w:t xml:space="preserve"> </w:t>
      </w:r>
      <w:r>
        <w:rPr>
          <w:rStyle w:val="VerbatimChar"/>
        </w:rPr>
        <w:t xml:space="preserve">flag_pases_neto_negativo</w:t>
      </w:r>
      <w:r>
        <w:t xml:space="preserve">). En esos trimestres el BCRA fue acreedor neto y el total reduce la deuda. El FMI informa 0,0 para 2024. Es un desvío declarado.</w:t>
      </w:r>
    </w:p>
    <w:p>
      <w:pPr>
        <w:pStyle w:val="Compact"/>
        <w:numPr>
          <w:ilvl w:val="0"/>
          <w:numId w:val="1007"/>
        </w:numPr>
      </w:pPr>
      <w:r>
        <w:rPr>
          <w:b/>
          <w:bCs/>
        </w:rPr>
        <w:t xml:space="preserve">Moneda extranjera.</w:t>
      </w:r>
      <w:r>
        <w:t xml:space="preserve"> </w:t>
      </w:r>
      <w:r>
        <w:t xml:space="preserve">Id 1259 (LEBAC, LEDIV y BOPREAL en moneda extranjera, valuados en pesos). En 2023-12 y 2024-12 coincide con el id 158 (USD) por el tipo de cambio. Antes de 2002-03 el instrumento no existe y se imputa cero con bandera (24 trimestres,</w:t>
      </w:r>
      <w:r>
        <w:t xml:space="preserve"> </w:t>
      </w:r>
      <w:r>
        <w:rPr>
          <w:rStyle w:val="VerbatimChar"/>
        </w:rPr>
        <w:t xml:space="preserve">flag_letras_fx_sin_serie</w:t>
      </w:r>
      <w:r>
        <w:t xml:space="preserve">).</w:t>
      </w:r>
    </w:p>
    <w:p>
      <w:pPr>
        <w:pStyle w:val="Compact"/>
        <w:numPr>
          <w:ilvl w:val="0"/>
          <w:numId w:val="1007"/>
        </w:numPr>
      </w:pPr>
      <w:r>
        <w:rPr>
          <w:b/>
          <w:bCs/>
        </w:rPr>
        <w:t xml:space="preserve">Swap con el Banco Popular de China (PBoC).</w:t>
      </w:r>
      <w:r>
        <w:t xml:space="preserve"> </w:t>
      </w:r>
      <w:r>
        <w:t xml:space="preserve">No existe una serie pública en la API ni en</w:t>
      </w:r>
      <w:r>
        <w:t xml:space="preserve"> </w:t>
      </w:r>
      <w:r>
        <w:rPr>
          <w:rStyle w:val="VerbatimChar"/>
        </w:rPr>
        <w:t xml:space="preserve">series.xlsm</w:t>
      </w:r>
      <w:r>
        <w:t xml:space="preserve"> </w:t>
      </w:r>
      <w:r>
        <w:t xml:space="preserve">de la que se pueda leer el saldo activado. Queda omitido desde 2020 (bandera</w:t>
      </w:r>
      <w:r>
        <w:t xml:space="preserve"> </w:t>
      </w:r>
      <w:r>
        <w:rPr>
          <w:rStyle w:val="VerbatimChar"/>
        </w:rPr>
        <w:t xml:space="preserve">flag_swap_pboc_faltante</w:t>
      </w:r>
      <w:r>
        <w:t xml:space="preserve">, 24 trimestres). Su omisión subestima L_BCRA y, por lo tanto, subestima la deuda neta (sesgo en dirección contraria al del FGS).</w:t>
      </w:r>
    </w:p>
    <w:bookmarkEnd w:id="59"/>
    <w:bookmarkStart w:id="60" w:name="X806e085bc5f2b5a11b5366608dccbae17ae6ac4"/>
    <w:p>
      <w:pPr>
        <w:pStyle w:val="Heading3"/>
      </w:pPr>
      <w:r>
        <w:t xml:space="preserve">5.3.4 Deuda del Tesoro en poder del BCRA (T_BCRA): valor contable y valor nominal</w:t>
      </w:r>
    </w:p>
    <w:p>
      <w:pPr>
        <w:pStyle w:val="FirstParagraph"/>
      </w:pPr>
      <w:r>
        <w:rPr>
          <w:b/>
          <w:bCs/>
        </w:rPr>
        <w:t xml:space="preserve">Valor contable.</w:t>
      </w:r>
      <w:r>
        <w:t xml:space="preserve"> </w:t>
      </w:r>
      <w:r>
        <w:t xml:space="preserve">Fuente: BCRA,</w:t>
      </w:r>
      <w:r>
        <w:t xml:space="preserve"> </w:t>
      </w:r>
      <w:r>
        <w:rPr>
          <w:i/>
          <w:iCs/>
        </w:rPr>
        <w:t xml:space="preserve">Balance del Banco Central</w:t>
      </w:r>
      <w:r>
        <w:t xml:space="preserve"> </w:t>
      </w:r>
      <w:r>
        <w:t xml:space="preserve">histórico (</w:t>
      </w:r>
      <w:r>
        <w:rPr>
          <w:rStyle w:val="VerbatimChar"/>
        </w:rPr>
        <w:t xml:space="preserve">https://www.bcra.gob.ar/Pdfs/PublicacionesEstadisticas/balbcrhis.xls</w:t>
      </w:r>
      <w:r>
        <w:t xml:space="preserve">), hoja B.C.R.A., columna</w:t>
      </w:r>
      <w:r>
        <w:t xml:space="preserve"> </w:t>
      </w:r>
      <w:r>
        <w:t xml:space="preserve">“Sector oficial, Total”</w:t>
      </w:r>
      <w:r>
        <w:t xml:space="preserve">. Incluye adelantos transitorios y títulos públicos en pesos, y Letras Intransferibles y títulos en moneda extranjera. Se toma el cierre de trimestre del dato mensual y se verifica que el total sea igual a la suma de sus dos partes. Es la valuación contable del BCRA, que se aparta del nominal desde diciembre de 2019 (ajuste de las Letras Intransferibles) y desde mayo de 2024 (costo amortizado).</w:t>
      </w:r>
    </w:p>
    <w:p>
      <w:pPr>
        <w:pStyle w:val="BodyText"/>
      </w:pPr>
      <w:r>
        <w:rPr>
          <w:b/>
          <w:bCs/>
        </w:rPr>
        <w:t xml:space="preserve">Por qué el nominal.</w:t>
      </w:r>
      <w:r>
        <w:t xml:space="preserve"> </w:t>
      </w:r>
      <w:r>
        <w:t xml:space="preserve">La deuda bruta del MECON está a valor nominal. Si de ella se restan tenencias valuadas de otro modo, el neteo mezcla criterios y el resultado no mide ninguna deuda definida. Por eso la serie principal sustituye, en la tenencia del BCRA, el componente en moneda extranjera del balance por el stock nominal de las Letras Intransferibles que publica el MECON.</w:t>
      </w:r>
    </w:p>
    <w:p>
      <w:pPr>
        <w:pStyle w:val="Compact"/>
        <w:numPr>
          <w:ilvl w:val="0"/>
          <w:numId w:val="1008"/>
        </w:numPr>
      </w:pPr>
      <w:r>
        <w:rPr>
          <w:b/>
          <w:bCs/>
        </w:rPr>
        <w:t xml:space="preserve">Fuente.</w:t>
      </w:r>
      <w:r>
        <w:t xml:space="preserve"> </w:t>
      </w:r>
      <w:r>
        <w:t xml:space="preserve">MECON, Secretaría de Finanzas,</w:t>
      </w:r>
      <w:r>
        <w:t xml:space="preserve"> </w:t>
      </w:r>
      <w:r>
        <w:rPr>
          <w:i/>
          <w:iCs/>
        </w:rPr>
        <w:t xml:space="preserve">Estado de la Deuda Pública</w:t>
      </w:r>
      <w:r>
        <w:t xml:space="preserve">: hojas A.1.9, A.1.10 o A.1.11 según el año, bloque</w:t>
      </w:r>
      <w:r>
        <w:t xml:space="preserve"> </w:t>
      </w:r>
      <w:r>
        <w:t xml:space="preserve">“Letras adquiridas por el BCRA”</w:t>
      </w:r>
      <w:r>
        <w:t xml:space="preserve"> </w:t>
      </w:r>
      <w:r>
        <w:t xml:space="preserve">(miles de dólares), y hoja A.12.3 para 2007-2010. Se suma instrumento por instrumento y el script reproduce los totales del bloque (69.286 millones de dólares en 2024). Se convierte con el tipo de cambio de la serie de deuda. Resumen por ancla en</w:t>
      </w:r>
      <w:r>
        <w:t xml:space="preserve"> </w:t>
      </w:r>
      <w:r>
        <w:rPr>
          <w:rStyle w:val="VerbatimChar"/>
        </w:rPr>
        <w:t xml:space="preserve">datos/procesados/letras_intransferibles_bcra_nominal_anclas.csv</w:t>
      </w:r>
      <w:r>
        <w:t xml:space="preserve">.</w:t>
      </w:r>
    </w:p>
    <w:p>
      <w:pPr>
        <w:pStyle w:val="Compact"/>
        <w:numPr>
          <w:ilvl w:val="0"/>
          <w:numId w:val="1008"/>
        </w:numPr>
      </w:pPr>
      <w:r>
        <w:rPr>
          <w:b/>
          <w:bCs/>
        </w:rPr>
        <w:t xml:space="preserve">Cobertura.</w:t>
      </w:r>
      <w:r>
        <w:t xml:space="preserve"> </w:t>
      </w:r>
      <w:r>
        <w:t xml:space="preserve">Hay planillas de cierre de año para 2007-2009 y 2013-2025, y de marzo de 2010. No hay planillas de 2010-12, 2011-12 ni 2012-12. Las Letras empiezan el 3 de enero de 2006, de modo que hasta 2005T4 no hay dato nominal (40 trimestres) y se conserva el valor contable. Hay dato nominal en 80 de 120 trimestres: 17 con ancla oficial, 32 reconstruidos con las fechas de emisión (las letras son de pago único, por lo que si ningún instrumento cambia entre dos anclas el stock se arma con la fecha de emisión), 7 reconstruidos hacia atrás (2006T1-2007T3) y 24 interpolados linealmente entre anclas con canjes o cambios de monto. Las columnas</w:t>
      </w:r>
      <w:r>
        <w:t xml:space="preserve"> </w:t>
      </w:r>
      <w:r>
        <w:rPr>
          <w:rStyle w:val="VerbatimChar"/>
        </w:rPr>
        <w:t xml:space="preserve">nominal_metodo</w:t>
      </w:r>
      <w:r>
        <w:t xml:space="preserve"> </w:t>
      </w:r>
      <w:r>
        <w:t xml:space="preserve">y</w:t>
      </w:r>
      <w:r>
        <w:t xml:space="preserve"> </w:t>
      </w:r>
      <w:r>
        <w:rPr>
          <w:rStyle w:val="VerbatimChar"/>
        </w:rPr>
        <w:t xml:space="preserve">flag_nominal_interpolado</w:t>
      </w:r>
      <w:r>
        <w:t xml:space="preserve"> </w:t>
      </w:r>
      <w:r>
        <w:t xml:space="preserve">lo registran. La interpolación es una aproximación declarada, no un dato.</w:t>
      </w:r>
    </w:p>
    <w:p>
      <w:pPr>
        <w:pStyle w:val="Compact"/>
        <w:numPr>
          <w:ilvl w:val="0"/>
          <w:numId w:val="1008"/>
        </w:numPr>
      </w:pPr>
      <w:r>
        <w:rPr>
          <w:b/>
          <w:bCs/>
        </w:rPr>
        <w:t xml:space="preserve">Variante piso.</w:t>
      </w:r>
      <w:r>
        <w:t xml:space="preserve"> </w:t>
      </w:r>
      <w:r>
        <w:t xml:space="preserve">El componente en moneda extranjera del balance no es igual a las Letras: contiene otros créditos en dólares (hasta 2017 y en 2019-2023 el valor de libros supera al nominal). La sustitución estricta empeoraría 2023 (128,2 contra 119,0). Por eso la serie principal es la variante piso: la tenencia nunca baja del valor de libros, y solo se suma el faltante donde el nominal en pesos supera al componente en moneda extranjera del balance. La variante estricta (</w:t>
      </w:r>
      <w:r>
        <w:rPr>
          <w:rStyle w:val="VerbatimChar"/>
        </w:rPr>
        <w:t xml:space="preserve">deuda_consolidada_neta_nominal_pib</w:t>
      </w:r>
      <w:r>
        <w:t xml:space="preserve">) y la de libros (</w:t>
      </w:r>
      <w:r>
        <w:rPr>
          <w:rStyle w:val="VerbatimChar"/>
        </w:rPr>
        <w:t xml:space="preserve">deuda_consolidada_neta_pib</w:t>
      </w:r>
      <w:r>
        <w:t xml:space="preserve">) quedan como series de robustez, junto con la deuda bruta.</w:t>
      </w:r>
    </w:p>
    <w:bookmarkEnd w:id="60"/>
    <w:bookmarkStart w:id="61" w:name="depósitos-del-tesoro-en-el-bcra-dep"/>
    <w:p>
      <w:pPr>
        <w:pStyle w:val="Heading3"/>
      </w:pPr>
      <w:r>
        <w:t xml:space="preserve">5.3.5 Depósitos del Tesoro en el BCRA (DEP)</w:t>
      </w:r>
    </w:p>
    <w:p>
      <w:pPr>
        <w:pStyle w:val="FirstParagraph"/>
      </w:pPr>
      <w:r>
        <w:t xml:space="preserve">API del BCRA v4.0, id 1264,</w:t>
      </w:r>
      <w:r>
        <w:t xml:space="preserve"> </w:t>
      </w:r>
      <w:r>
        <w:t xml:space="preserve">“Depósitos del gobierno en el BCRA”</w:t>
      </w:r>
      <w:r>
        <w:t xml:space="preserve">. Es coherente con la columna</w:t>
      </w:r>
      <w:r>
        <w:t xml:space="preserve"> </w:t>
      </w:r>
      <w:r>
        <w:t xml:space="preserve">“Sector oficial, Depósitos”</w:t>
      </w:r>
      <w:r>
        <w:t xml:space="preserve"> </w:t>
      </w:r>
      <w:r>
        <w:t xml:space="preserve">del Balance (1.002.754 millones de pesos en 2023-12). Cobertura completa, sin interpolaciones. Se incluyen los depósitos en moneda extranjera a la valuación del BCRA.</w:t>
      </w:r>
    </w:p>
    <w:bookmarkEnd w:id="61"/>
    <w:bookmarkStart w:id="62" w:name="identidad-verificada"/>
    <w:p>
      <w:pPr>
        <w:pStyle w:val="Heading3"/>
      </w:pPr>
      <w:r>
        <w:t xml:space="preserve">5.3.6 Identidad verificada</w:t>
      </w:r>
    </w:p>
    <w:p>
      <w:pPr>
        <w:pStyle w:val="FirstParagraph"/>
      </w:pPr>
      <w:r>
        <w:t xml:space="preserve">Con los datos del CSV,</w:t>
      </w:r>
      <w:r>
        <w:t xml:space="preserve"> </w:t>
      </w:r>
      <w:r>
        <w:rPr>
          <w:rStyle w:val="VerbatimChar"/>
        </w:rPr>
        <w:t xml:space="preserve">bruta − tenencia BCRA + pasivos BCRA − depósitos = deuda neta</w:t>
      </w:r>
      <w:r>
        <w:t xml:space="preserve"> </w:t>
      </w:r>
      <w:r>
        <w:t xml:space="preserve">se cumple al cuarto decimal en 2023 (119,03) y en 2024 (61,11 con la tenencia nominal piso; 68,31 con valor de libros). La identidad que el FMI usa en el Cuadro 2 (línea 6 = 2 + 4 − 5) también se cumple con sus cifras: 92,9 + 18,4 − 0,5 = 110,8 y 51,4 + 2,2 − 2,1 = 51,5.</w:t>
      </w:r>
    </w:p>
    <w:bookmarkEnd w:id="62"/>
    <w:bookmarkEnd w:id="63"/>
    <w:bookmarkStart w:id="64" w:name="resultado-primario"/>
    <w:p>
      <w:pPr>
        <w:pStyle w:val="Heading2"/>
      </w:pPr>
      <w:r>
        <w:t xml:space="preserve">5.4 Resultado primario</w:t>
      </w:r>
    </w:p>
    <w:p>
      <w:pPr>
        <w:pStyle w:val="Compact"/>
        <w:numPr>
          <w:ilvl w:val="0"/>
          <w:numId w:val="1009"/>
        </w:numPr>
      </w:pPr>
      <w:r>
        <w:rPr>
          <w:b/>
          <w:bCs/>
        </w:rPr>
        <w:t xml:space="preserve">Fuente.</w:t>
      </w:r>
      <w:r>
        <w:t xml:space="preserve"> </w:t>
      </w:r>
      <w:r>
        <w:t xml:space="preserve">MECON, Secretaría de Hacienda, Subsecretaría de Programación Macroeconómica,</w:t>
      </w:r>
      <w:r>
        <w:t xml:space="preserve"> </w:t>
      </w:r>
      <w:r>
        <w:t xml:space="preserve">“Esquema Ahorro-Inversión-Financiamiento. Sector Público Nacional. Base Caja”</w:t>
      </w:r>
      <w:r>
        <w:t xml:space="preserve"> </w:t>
      </w:r>
      <w:r>
        <w:t xml:space="preserve">(datos.gob.ar, dataset 379). Es una serie mensual desde 1993, en pesos corrientes, publicada en tres tramos metodológicos (1993-2006, 2007-2014 y desde 2015). Los archivos crudos están en</w:t>
      </w:r>
      <w:r>
        <w:t xml:space="preserve"> </w:t>
      </w:r>
      <w:r>
        <w:rPr>
          <w:rStyle w:val="VerbatimChar"/>
        </w:rPr>
        <w:t xml:space="preserve">datos/crudos/resultado_primario/</w:t>
      </w:r>
      <w:r>
        <w:t xml:space="preserve"> </w:t>
      </w:r>
      <w:r>
        <w:t xml:space="preserve">y el script es</w:t>
      </w:r>
      <w:r>
        <w:t xml:space="preserve"> </w:t>
      </w:r>
      <w:r>
        <w:rPr>
          <w:rStyle w:val="VerbatimChar"/>
        </w:rPr>
        <w:t xml:space="preserve">construir_resultado_primario_1996_2025.py</w:t>
      </w:r>
      <w:r>
        <w:t xml:space="preserve">. Como hay dato mensual para todo el período,</w:t>
      </w:r>
      <w:r>
        <w:t xml:space="preserve"> </w:t>
      </w:r>
      <w:r>
        <w:rPr>
          <w:b/>
          <w:bCs/>
        </w:rPr>
        <w:t xml:space="preserve">no se desagrega con Denton ni se aplica coeficiente de enlace</w:t>
      </w:r>
      <w:r>
        <w:t xml:space="preserve">: cada trimestre es la suma de sus tres meses, y se exige que estén los tres (no hay trimestres faltantes).</w:t>
      </w:r>
    </w:p>
    <w:p>
      <w:pPr>
        <w:pStyle w:val="Compact"/>
        <w:numPr>
          <w:ilvl w:val="0"/>
          <w:numId w:val="1009"/>
        </w:numPr>
      </w:pPr>
      <w:r>
        <w:rPr>
          <w:b/>
          <w:bCs/>
        </w:rPr>
        <w:t xml:space="preserve">Rentas de la propiedad.</w:t>
      </w:r>
      <w:r>
        <w:t xml:space="preserve"> </w:t>
      </w:r>
      <w:r>
        <w:t xml:space="preserve">La serie principal incluye las rentas de la propiedad, que es la definición de titular del MECON. Esas rentas agregan las utilidades del BCRA, las rentas del FGS y los intereses cobrados por organismos públicos, y la API no desglosa la transferencia del BCRA. Se calcula además una variante sin rentas (</w:t>
      </w:r>
      <w:r>
        <w:rPr>
          <w:rStyle w:val="VerbatimChar"/>
        </w:rPr>
        <w:t xml:space="preserve">pb_pib_sin_rentas</w:t>
      </w:r>
      <w:r>
        <w:t xml:space="preserve">), conservadora porque excluye más que el FMI. Las rentas totales fueron de 0,3 a 0,7 puntos del PIB en 1996-2008, de 1,3 a 2,6 en 2009-2014 y de 0,3 a 1,3 en 2015-2025.</w:t>
      </w:r>
    </w:p>
    <w:p>
      <w:pPr>
        <w:pStyle w:val="Compact"/>
        <w:numPr>
          <w:ilvl w:val="0"/>
          <w:numId w:val="1009"/>
        </w:numPr>
      </w:pPr>
      <w:r>
        <w:rPr>
          <w:b/>
          <w:bCs/>
        </w:rPr>
        <w:t xml:space="preserve">Medida que entra al modelo.</w:t>
      </w:r>
      <w:r>
        <w:t xml:space="preserve"> </w:t>
      </w:r>
      <w:r>
        <w:rPr>
          <w:rStyle w:val="VerbatimChar"/>
        </w:rPr>
        <w:t xml:space="preserve">pb_pib_trim</w:t>
      </w:r>
      <w:r>
        <w:t xml:space="preserve"> </w:t>
      </w:r>
      <w:r>
        <w:t xml:space="preserve">= 100 × 4 × (resultado primario del trimestre) /</w:t>
      </w:r>
      <w:r>
        <w:t xml:space="preserve"> </w:t>
      </w:r>
      <w:r>
        <w:rPr>
          <w:rStyle w:val="VerbatimChar"/>
        </w:rPr>
        <w:t xml:space="preserve">pib_4t_mm</w:t>
      </w:r>
      <w:r>
        <w:t xml:space="preserve">: el flujo trimestral anualizado sobre el PIB nominal de cuatro trimestres. No se usa la suma móvil de cuatro trimestres (</w:t>
      </w:r>
      <w:r>
        <w:rPr>
          <w:rStyle w:val="VerbatimChar"/>
        </w:rPr>
        <w:t xml:space="preserve">pb_pib</w:t>
      </w:r>
      <w:r>
        <w:t xml:space="preserve">) porque, al superponer ventanas, induce una autocorrelación artificial de tipo MA(3): su autocorrelación de orden 1 es 0,965, contra 0,649 de</w:t>
      </w:r>
      <w:r>
        <w:t xml:space="preserve"> </w:t>
      </w:r>
      <w:r>
        <w:rPr>
          <w:rStyle w:val="VerbatimChar"/>
        </w:rPr>
        <w:t xml:space="preserve">pb_pib_trim</w:t>
      </w:r>
      <w:r>
        <w:t xml:space="preserve">. La contrapartida es que el flujo trimestral conserva estacionalidad (autocorrelación de orden 4 de 0,629), que el sistema absorbe con tres dummies trimestrales (Q1 a Q3). La suma móvil</w:t>
      </w:r>
      <w:r>
        <w:t xml:space="preserve"> </w:t>
      </w:r>
      <w:r>
        <w:rPr>
          <w:rStyle w:val="VerbatimChar"/>
        </w:rPr>
        <w:t xml:space="preserve">pb_pib</w:t>
      </w:r>
      <w:r>
        <w:t xml:space="preserve"> </w:t>
      </w:r>
      <w:r>
        <w:t xml:space="preserve">se mantiene como medida comparable en base anual, y es la que se contrasta con el FMI en 5.8.</w:t>
      </w:r>
    </w:p>
    <w:p>
      <w:pPr>
        <w:pStyle w:val="Compact"/>
        <w:numPr>
          <w:ilvl w:val="0"/>
          <w:numId w:val="1009"/>
        </w:numPr>
      </w:pPr>
      <w:r>
        <w:rPr>
          <w:b/>
          <w:bCs/>
        </w:rPr>
        <w:t xml:space="preserve">Quiebres de metodología.</w:t>
      </w:r>
      <w:r>
        <w:t xml:space="preserve"> </w:t>
      </w:r>
      <w:r>
        <w:t xml:space="preserve">Los empalmes de 2006/2007 y 2014/2015 no tienen período de solapamiento en la API. En las filas de empalme no se observa un salto anómalo (2006T4: 3,24 y 2007T1: 3,12; 2014T4: −0,84 y 2015T1: −1,63), pero no hay una prueba formal. El CSV trae la columna</w:t>
      </w:r>
      <w:r>
        <w:t xml:space="preserve"> </w:t>
      </w:r>
      <w:r>
        <w:rPr>
          <w:rStyle w:val="VerbatimChar"/>
        </w:rPr>
        <w:t xml:space="preserve">metodologia</w:t>
      </w:r>
      <w:r>
        <w:t xml:space="preserve"> </w:t>
      </w:r>
      <w:r>
        <w:t xml:space="preserve">(44, 32 y 44 trimestres por tramo). Entre 1993 y 2006 las privatizaciones no figuran en el primario.</w:t>
      </w:r>
    </w:p>
    <w:p>
      <w:pPr>
        <w:pStyle w:val="Compact"/>
        <w:numPr>
          <w:ilvl w:val="0"/>
          <w:numId w:val="1009"/>
        </w:numPr>
      </w:pPr>
      <w:r>
        <w:rPr>
          <w:b/>
          <w:bCs/>
        </w:rPr>
        <w:t xml:space="preserve">Perímetro.</w:t>
      </w:r>
      <w:r>
        <w:t xml:space="preserve"> </w:t>
      </w:r>
      <w:r>
        <w:t xml:space="preserve">Es el sector público nacional consolidado (administración nacional, organismos descentralizados, seguridad social, fondos fiduciarios y empresas), más amplio que el gobierno federal del FMI. El control cruzado contra el IMIG (desde 2016) da diferencia nula, pero IMIG y esquema AIF son la misma compilación, de modo que no es un control independiente.</w:t>
      </w:r>
    </w:p>
    <w:p>
      <w:pPr>
        <w:pStyle w:val="Compact"/>
        <w:numPr>
          <w:ilvl w:val="0"/>
          <w:numId w:val="1009"/>
        </w:numPr>
      </w:pPr>
      <w:r>
        <w:rPr>
          <w:b/>
          <w:bCs/>
        </w:rPr>
        <w:t xml:space="preserve">Comparación con la serie anterior.</w:t>
      </w:r>
      <w:r>
        <w:t xml:space="preserve"> </w:t>
      </w:r>
      <w:r>
        <w:t xml:space="preserve">Contra la tabla escrita a mano (2004-2025) y el Denton del Compendio (1996-2003), la correlación es 0,89 en 2004-2025 y 0,33 en 1996-2003, con errores absolutos medios de 1,29 y 1,16 puntos. La serie anterior de 1996-2003 era una interpolación de datos anuales y no sirve como referencia de nivel.</w:t>
      </w:r>
    </w:p>
    <w:bookmarkEnd w:id="64"/>
    <w:bookmarkStart w:id="65" w:name="pib-real-y-crecimiento"/>
    <w:p>
      <w:pPr>
        <w:pStyle w:val="Heading2"/>
      </w:pPr>
      <w:r>
        <w:t xml:space="preserve">5.5 PIB real y crecimiento</w:t>
      </w:r>
    </w:p>
    <w:p>
      <w:pPr>
        <w:pStyle w:val="Compact"/>
        <w:numPr>
          <w:ilvl w:val="0"/>
          <w:numId w:val="1010"/>
        </w:numPr>
      </w:pPr>
      <w:r>
        <w:rPr>
          <w:b/>
          <w:bCs/>
        </w:rPr>
        <w:t xml:space="preserve">Fuente 2004T1-2025T4.</w:t>
      </w:r>
      <w:r>
        <w:t xml:space="preserve"> </w:t>
      </w:r>
      <w:r>
        <w:t xml:space="preserve">INDEC, PIB a precios constantes de 2004 (serie 4.2_OGP_2004_T_17, Oferta y Demanda Globales, datos.gob.ar), en la misma unidad que</w:t>
      </w:r>
      <w:r>
        <w:t xml:space="preserve"> </w:t>
      </w:r>
      <w:r>
        <w:rPr>
          <w:rStyle w:val="VerbatimChar"/>
        </w:rPr>
        <w:t xml:space="preserve">PIB_real</w:t>
      </w:r>
      <w:r>
        <w:t xml:space="preserve"> </w:t>
      </w:r>
      <w:r>
        <w:t xml:space="preserve">de la base.</w:t>
      </w:r>
    </w:p>
    <w:p>
      <w:pPr>
        <w:pStyle w:val="Compact"/>
        <w:numPr>
          <w:ilvl w:val="0"/>
          <w:numId w:val="1010"/>
        </w:numPr>
      </w:pPr>
      <w:r>
        <w:rPr>
          <w:b/>
          <w:bCs/>
        </w:rPr>
        <w:t xml:space="preserve">Fuente 1996T1-2003T4.</w:t>
      </w:r>
      <w:r>
        <w:t xml:space="preserve"> </w:t>
      </w:r>
      <w:r>
        <w:t xml:space="preserve">INDEC, base 1993 (serie 2.2_OGP_1993_T_17, millones de pesos de 1993), empalmada a la base 2004 con un coeficiente de enlace k = 1,751, la media de 2004 de la razón entre ambas bases. Script</w:t>
      </w:r>
      <w:r>
        <w:t xml:space="preserve"> </w:t>
      </w:r>
      <w:r>
        <w:rPr>
          <w:rStyle w:val="VerbatimChar"/>
        </w:rPr>
        <w:t xml:space="preserve">construir_pib_real_empalme_indec_1996_2003.py</w:t>
      </w:r>
      <w:r>
        <w:t xml:space="preserve">; salida</w:t>
      </w:r>
      <w:r>
        <w:t xml:space="preserve"> </w:t>
      </w:r>
      <w:r>
        <w:rPr>
          <w:rStyle w:val="VerbatimChar"/>
        </w:rPr>
        <w:t xml:space="preserve">datos/procesados/pib_real_empalme_indec_1996_2003.csv</w:t>
      </w:r>
      <w:r>
        <w:t xml:space="preserve">. Reemplaza al empalme anterior, que encadenaba tasas anuales tipeadas y las desagregaba con Denton.</w:t>
      </w:r>
    </w:p>
    <w:p>
      <w:pPr>
        <w:pStyle w:val="Compact"/>
        <w:numPr>
          <w:ilvl w:val="0"/>
          <w:numId w:val="1010"/>
        </w:numPr>
      </w:pPr>
      <w:r>
        <w:rPr>
          <w:b/>
          <w:bCs/>
        </w:rPr>
        <w:t xml:space="preserve">Límite del enlace.</w:t>
      </w:r>
      <w:r>
        <w:t xml:space="preserve"> </w:t>
      </w:r>
      <w:r>
        <w:t xml:space="preserve">La razón entre bases varía entre 1,46 y 1,85 en el solapamiento 2004-2013 por las distintas ponderaciones de precios, de modo que el nivel anterior a 2004 depende de haber elegido 2004 como año de enlace. Las tasas de crecimiento anteriores a 2004, que son lo que entra al modelo, no dependen de esa elección.</w:t>
      </w:r>
    </w:p>
    <w:p>
      <w:pPr>
        <w:pStyle w:val="Compact"/>
        <w:numPr>
          <w:ilvl w:val="0"/>
          <w:numId w:val="1010"/>
        </w:numPr>
      </w:pPr>
      <w:r>
        <w:rPr>
          <w:b/>
          <w:bCs/>
        </w:rPr>
        <w:t xml:space="preserve">Estacionalidad.</w:t>
      </w:r>
      <w:r>
        <w:t xml:space="preserve"> </w:t>
      </w:r>
      <w:r>
        <w:t xml:space="preserve">La serie conserva la estacionalidad de INDEC, que ya no está suavizada. Por ese motivo el nivel trimestral de 1996-2003 difiere de la versión anterior en hasta 9,8 % (2002T1) y 3,5 % en promedio. El sistema la absorbe con las dummies trimestrales, igual que en el resultado primario. Las tasas anuales de la versión anterior eran correctas salvo en 2000 (−0,5 % contra −0,79 %).</w:t>
      </w:r>
    </w:p>
    <w:p>
      <w:pPr>
        <w:pStyle w:val="Compact"/>
        <w:numPr>
          <w:ilvl w:val="0"/>
          <w:numId w:val="1010"/>
        </w:numPr>
      </w:pPr>
      <w:r>
        <w:rPr>
          <w:b/>
          <w:bCs/>
        </w:rPr>
        <w:t xml:space="preserve">Transformación.</w:t>
      </w:r>
      <w:r>
        <w:t xml:space="preserve"> </w:t>
      </w:r>
      <w:r>
        <w:t xml:space="preserve">El crecimiento que entra al sistema es</w:t>
      </w:r>
      <w:r>
        <w:t xml:space="preserve"> </w:t>
      </w:r>
      <w:r>
        <w:rPr>
          <w:rStyle w:val="VerbatimChar"/>
        </w:rPr>
        <w:t xml:space="preserve">crec = 100 × Δln(PIB real)</w:t>
      </w:r>
      <w:r>
        <w:t xml:space="preserve">, trimestral, que aparece en la identidad de la deuda (Capítulo 4, sección 4.2). Pierde la primera observación, así que tiene 119 datos. El salto entre 2003T4 y 2004T1 (−2,1 %) es el efecto estacional del cambio de trimestre y no un artefacto del empalme.</w:t>
      </w:r>
    </w:p>
    <w:bookmarkEnd w:id="65"/>
    <w:bookmarkStart w:id="70" w:name="variables-financieras"/>
    <w:p>
      <w:pPr>
        <w:pStyle w:val="Heading2"/>
      </w:pPr>
      <w:r>
        <w:t xml:space="preserve">5.6 Variables financieras</w:t>
      </w:r>
    </w:p>
    <w:bookmarkStart w:id="66" w:name="embi-riesgo-soberano"/>
    <w:p>
      <w:pPr>
        <w:pStyle w:val="Heading3"/>
      </w:pPr>
      <w:r>
        <w:t xml:space="preserve">5.6.1 EMBI+ (riesgo soberano)</w:t>
      </w:r>
    </w:p>
    <w:p>
      <w:pPr>
        <w:pStyle w:val="Compact"/>
        <w:numPr>
          <w:ilvl w:val="0"/>
          <w:numId w:val="1011"/>
        </w:numPr>
      </w:pPr>
      <w:r>
        <w:rPr>
          <w:b/>
          <w:bCs/>
        </w:rPr>
        <w:t xml:space="preserve">Definición.</w:t>
      </w:r>
      <w:r>
        <w:t xml:space="preserve"> </w:t>
      </w:r>
      <w:r>
        <w:t xml:space="preserve">Diferencial de rendimiento de los bonos soberanos argentinos en dólares sobre los bonos del Tesoro de Estados Unidos, en puntos básicos, promedio trimestral.</w:t>
      </w:r>
    </w:p>
    <w:p>
      <w:pPr>
        <w:pStyle w:val="Compact"/>
        <w:numPr>
          <w:ilvl w:val="0"/>
          <w:numId w:val="1011"/>
        </w:numPr>
      </w:pPr>
      <w:r>
        <w:rPr>
          <w:b/>
          <w:bCs/>
        </w:rPr>
        <w:t xml:space="preserve">1999T1-2025T4.</w:t>
      </w:r>
      <w:r>
        <w:t xml:space="preserve"> </w:t>
      </w:r>
      <w:r>
        <w:t xml:space="preserve">Serie diaria de riesgo país de Ámbito Financiero (</w:t>
      </w:r>
      <w:r>
        <w:rPr>
          <w:rStyle w:val="VerbatimChar"/>
        </w:rPr>
        <w:t xml:space="preserve">https://mercados.ambito.com//riesgopais/historico/...</w:t>
      </w:r>
      <w:r>
        <w:t xml:space="preserve">), que reproduce el EMBI+ y el EMBI Global de J.P. Morgan. Archivo</w:t>
      </w:r>
      <w:r>
        <w:t xml:space="preserve"> </w:t>
      </w:r>
      <w:r>
        <w:rPr>
          <w:rStyle w:val="VerbatimChar"/>
        </w:rPr>
        <w:t xml:space="preserve">datos/embi_real_ambito_1999_2025.csv</w:t>
      </w:r>
      <w:r>
        <w:t xml:space="preserve">. Se promedia por trimestre.</w:t>
      </w:r>
    </w:p>
    <w:p>
      <w:pPr>
        <w:pStyle w:val="Compact"/>
        <w:numPr>
          <w:ilvl w:val="0"/>
          <w:numId w:val="1011"/>
        </w:numPr>
      </w:pPr>
      <w:r>
        <w:rPr>
          <w:b/>
          <w:bCs/>
        </w:rPr>
        <w:t xml:space="preserve">1996T1-1998T4.</w:t>
      </w:r>
      <w:r>
        <w:t xml:space="preserve"> </w:t>
      </w:r>
      <w:r>
        <w:t xml:space="preserve">Se empalma el</w:t>
      </w:r>
      <w:r>
        <w:t xml:space="preserve"> </w:t>
      </w:r>
      <w:r>
        <w:rPr>
          <w:i/>
          <w:iCs/>
        </w:rPr>
        <w:t xml:space="preserve">stripped spread</w:t>
      </w:r>
      <w:r>
        <w:t xml:space="preserve"> </w:t>
      </w:r>
      <w:r>
        <w:t xml:space="preserve">de los bonos Brady (1994-1997) con el EMBI+ oficial desde 1998. En el punto de unión se aplica una corrección proporcional de sesgo, k = 540,0/620,0 = 0,8710 (media de 1998T1 del EMBI+ sobre media de 1997T4 del spread Brady), para evitar una discontinuidad espuria de nivel. Es una corrección multiplicativa y preserva la estructura de varianza condicional. El empalme está en</w:t>
      </w:r>
      <w:r>
        <w:t xml:space="preserve"> </w:t>
      </w:r>
      <w:r>
        <w:rPr>
          <w:rStyle w:val="VerbatimChar"/>
        </w:rPr>
        <w:t xml:space="preserve">fase22_construccion_spread_1983_2025.py</w:t>
      </w:r>
      <w:r>
        <w:t xml:space="preserve"> </w:t>
      </w:r>
      <w:r>
        <w:t xml:space="preserve">y la serie resultante en</w:t>
      </w:r>
      <w:r>
        <w:t xml:space="preserve"> </w:t>
      </w:r>
      <w:r>
        <w:rPr>
          <w:rStyle w:val="VerbatimChar"/>
        </w:rPr>
        <w:t xml:space="preserve">datos/procesados/spread_soberano_historico_1983_2025.csv</w:t>
      </w:r>
      <w:r>
        <w:t xml:space="preserve"> </w:t>
      </w:r>
      <w:r>
        <w:t xml:space="preserve">(columna</w:t>
      </w:r>
      <w:r>
        <w:t xml:space="preserve"> </w:t>
      </w:r>
      <w:r>
        <w:rPr>
          <w:rStyle w:val="VerbatimChar"/>
        </w:rPr>
        <w:t xml:space="preserve">Spread_Empalmado_pb</w:t>
      </w:r>
      <w:r>
        <w:t xml:space="preserve">). Desde 1999T1 es idéntica punto a punto a la serie de Ámbito.</w:t>
      </w:r>
    </w:p>
    <w:p>
      <w:pPr>
        <w:pStyle w:val="Compact"/>
        <w:numPr>
          <w:ilvl w:val="0"/>
          <w:numId w:val="1011"/>
        </w:numPr>
      </w:pPr>
      <w:r>
        <w:rPr>
          <w:b/>
          <w:bCs/>
        </w:rPr>
        <w:t xml:space="preserve">Limitación.</w:t>
      </w:r>
      <w:r>
        <w:t xml:space="preserve"> </w:t>
      </w:r>
      <w:r>
        <w:t xml:space="preserve">El spread Brady no es exactamente el EMBI+ (distinto universo de instrumentos). El factor k ajusta el nivel pero no el comportamiento de corto plazo. Son 12 de 120 trimestres.</w:t>
      </w:r>
    </w:p>
    <w:bookmarkEnd w:id="66"/>
    <w:bookmarkStart w:id="67" w:name="tipo-de-cambio-real-multilateral-tcrm"/>
    <w:p>
      <w:pPr>
        <w:pStyle w:val="Heading3"/>
      </w:pPr>
      <w:r>
        <w:t xml:space="preserve">5.6.2 Tipo de cambio real multilateral (TCRM)</w:t>
      </w:r>
    </w:p>
    <w:p>
      <w:pPr>
        <w:pStyle w:val="Compact"/>
        <w:numPr>
          <w:ilvl w:val="0"/>
          <w:numId w:val="1012"/>
        </w:numPr>
      </w:pPr>
      <w:r>
        <w:rPr>
          <w:b/>
          <w:bCs/>
        </w:rPr>
        <w:t xml:space="preserve">Fuente.</w:t>
      </w:r>
      <w:r>
        <w:t xml:space="preserve"> </w:t>
      </w:r>
      <w:r>
        <w:t xml:space="preserve">BCRA, Índice de Tipo de Cambio Real Multilateral (</w:t>
      </w:r>
      <w:r>
        <w:rPr>
          <w:rStyle w:val="VerbatimChar"/>
        </w:rPr>
        <w:t xml:space="preserve">datos/crudos/ITCRMSerie.xlsx</w:t>
      </w:r>
      <w:r>
        <w:t xml:space="preserve">, hoja de promedios mensuales, base 17-12-2015 = 100).</w:t>
      </w:r>
    </w:p>
    <w:p>
      <w:pPr>
        <w:pStyle w:val="Compact"/>
        <w:numPr>
          <w:ilvl w:val="0"/>
          <w:numId w:val="1012"/>
        </w:numPr>
      </w:pPr>
      <w:r>
        <w:rPr>
          <w:b/>
          <w:bCs/>
        </w:rPr>
        <w:t xml:space="preserve">Transformación.</w:t>
      </w:r>
      <w:r>
        <w:t xml:space="preserve"> </w:t>
      </w:r>
      <w:r>
        <w:t xml:space="preserve">Se divide el índice mensual por su valor de diciembre de 2001 (69,213) y se promedia por trimestre. La serie queda con diciembre de 2001 = 1. Recalculado desde el archivo crudo, el resultado coincide con</w:t>
      </w:r>
      <w:r>
        <w:t xml:space="preserve"> </w:t>
      </w:r>
      <w:r>
        <w:rPr>
          <w:rStyle w:val="VerbatimChar"/>
        </w:rPr>
        <w:t xml:space="preserve">tcrm_real_bcra_1997_2025.csv</w:t>
      </w:r>
      <w:r>
        <w:t xml:space="preserve"> </w:t>
      </w:r>
      <w:r>
        <w:t xml:space="preserve">con una diferencia máxima de 4,4 × 10⁻¹⁶. Esa base se elige porque deja el índice en torno de 1 y no altera su dinámica.</w:t>
      </w:r>
    </w:p>
    <w:p>
      <w:pPr>
        <w:pStyle w:val="Compact"/>
        <w:numPr>
          <w:ilvl w:val="0"/>
          <w:numId w:val="1012"/>
        </w:numPr>
      </w:pPr>
      <w:r>
        <w:rPr>
          <w:b/>
          <w:bCs/>
        </w:rPr>
        <w:t xml:space="preserve">Cobertura.</w:t>
      </w:r>
      <w:r>
        <w:t xml:space="preserve"> </w:t>
      </w:r>
      <w:r>
        <w:t xml:space="preserve">El BCRA publica el índice desde enero de 1997. Los cuatro trimestres de 1996 (3,3 % de la muestra) se retropolan con una regresión de ln(TCRM) sobre una tendencia lineal en 1997T1-1999T4 (12 observaciones), proyectada hacia atrás, y se marcan con</w:t>
      </w:r>
      <w:r>
        <w:t xml:space="preserve"> </w:t>
      </w:r>
      <w:r>
        <w:rPr>
          <w:rStyle w:val="VerbatimChar"/>
        </w:rPr>
        <w:t xml:space="preserve">es_interpolado_tcrm = 1</w:t>
      </w:r>
      <w:r>
        <w:t xml:space="preserve">. Es la única variable del sistema en que una proyección reemplaza a una fuente primaria. La alternativa, perder un año de muestra, se considera peor que una aproximación declarada. Los resultados centrales se verifican reestimando desde 1997 (Capítulo 6).</w:t>
      </w:r>
    </w:p>
    <w:bookmarkEnd w:id="67"/>
    <w:bookmarkStart w:id="68" w:name="X2485cc34e02ab40b24c6d05171fb843d12e02c8"/>
    <w:p>
      <w:pPr>
        <w:pStyle w:val="Heading3"/>
      </w:pPr>
      <w:r>
        <w:t xml:space="preserve">5.6.3 Tasa de política de la Fed, con tasa sombra de Wu y Xia</w:t>
      </w:r>
    </w:p>
    <w:p>
      <w:pPr>
        <w:pStyle w:val="Compact"/>
        <w:numPr>
          <w:ilvl w:val="0"/>
          <w:numId w:val="1013"/>
        </w:numPr>
      </w:pPr>
      <w:r>
        <w:rPr>
          <w:b/>
          <w:bCs/>
        </w:rPr>
        <w:t xml:space="preserve">Fuentes.</w:t>
      </w:r>
      <w:r>
        <w:t xml:space="preserve"> </w:t>
      </w:r>
      <w:r>
        <w:t xml:space="preserve">FEDFUNDS (tasa efectiva de fondos federales, mensual), FRED (</w:t>
      </w:r>
      <w:r>
        <w:rPr>
          <w:rStyle w:val="VerbatimChar"/>
        </w:rPr>
        <w:t xml:space="preserve">https://fred.stlouisfed.org/series/FEDFUNDS</w:t>
      </w:r>
      <w:r>
        <w:t xml:space="preserve">). Tasa sombra de Wu y Xia (2016), mensual, Federal Reserve Bank of Atlanta (</w:t>
      </w:r>
      <w:r>
        <w:rPr>
          <w:rStyle w:val="VerbatimChar"/>
        </w:rPr>
        <w:t xml:space="preserve">https://www.atlantafed.org/cqer/research/wu-xia-shadow-federal-funds-rate</w:t>
      </w:r>
      <w:r>
        <w:t xml:space="preserve">). Copias en</w:t>
      </w:r>
      <w:r>
        <w:t xml:space="preserve"> </w:t>
      </w:r>
      <w:r>
        <w:rPr>
          <w:rStyle w:val="VerbatimChar"/>
        </w:rPr>
        <w:t xml:space="preserve">datos/crudos/tasa_fed/</w:t>
      </w:r>
      <w:r>
        <w:t xml:space="preserve">; script</w:t>
      </w:r>
      <w:r>
        <w:t xml:space="preserve"> </w:t>
      </w:r>
      <w:r>
        <w:rPr>
          <w:rStyle w:val="VerbatimChar"/>
        </w:rPr>
        <w:t xml:space="preserve">ingesta_tasa_fed_1996_2025.py</w:t>
      </w:r>
      <w:r>
        <w:t xml:space="preserve">; salida</w:t>
      </w:r>
      <w:r>
        <w:t xml:space="preserve"> </w:t>
      </w:r>
      <w:r>
        <w:rPr>
          <w:rStyle w:val="VerbatimChar"/>
        </w:rPr>
        <w:t xml:space="preserve">tasa_fed_trimestral_1996_2025.csv</w:t>
      </w:r>
      <w:r>
        <w:t xml:space="preserve">.</w:t>
      </w:r>
    </w:p>
    <w:p>
      <w:pPr>
        <w:pStyle w:val="Compact"/>
        <w:numPr>
          <w:ilvl w:val="0"/>
          <w:numId w:val="1013"/>
        </w:numPr>
      </w:pPr>
      <w:r>
        <w:rPr>
          <w:b/>
          <w:bCs/>
        </w:rPr>
        <w:t xml:space="preserve">Construcción.</w:t>
      </w:r>
      <w:r>
        <w:t xml:space="preserve"> </w:t>
      </w:r>
      <w:r>
        <w:t xml:space="preserve">Cada serie mensual se promedia por trimestre. La variable</w:t>
      </w:r>
      <w:r>
        <w:t xml:space="preserve"> </w:t>
      </w:r>
      <w:r>
        <w:rPr>
          <w:rStyle w:val="VerbatimChar"/>
        </w:rPr>
        <w:t xml:space="preserve">tasa_politica_fed</w:t>
      </w:r>
      <w:r>
        <w:t xml:space="preserve"> </w:t>
      </w:r>
      <w:r>
        <w:t xml:space="preserve">toma la tasa sombra cuando el promedio trimestral de FEDFUNDS es menor que 0,25 % y están los tres meses de la sombra. En los demás casos usa FEDFUNDS. El umbral 0,25 % es el techo del rango objetivo en el piso cero. Resultado:</w:t>
      </w:r>
      <w:r>
        <w:t xml:space="preserve"> </w:t>
      </w:r>
      <w:r>
        <w:rPr>
          <w:rStyle w:val="VerbatimChar"/>
        </w:rPr>
        <w:t xml:space="preserve">fedfunds</w:t>
      </w:r>
      <w:r>
        <w:t xml:space="preserve"> </w:t>
      </w:r>
      <w:r>
        <w:t xml:space="preserve">en 84 trimestres,</w:t>
      </w:r>
      <w:r>
        <w:t xml:space="preserve"> </w:t>
      </w:r>
      <w:r>
        <w:rPr>
          <w:rStyle w:val="VerbatimChar"/>
        </w:rPr>
        <w:t xml:space="preserve">shadow_wu_xia</w:t>
      </w:r>
      <w:r>
        <w:t xml:space="preserve"> </w:t>
      </w:r>
      <w:r>
        <w:t xml:space="preserve">en 35 (2009T1-2015T4 y 2020T2-2021T4) y</w:t>
      </w:r>
      <w:r>
        <w:t xml:space="preserve"> </w:t>
      </w:r>
      <w:r>
        <w:rPr>
          <w:rStyle w:val="VerbatimChar"/>
        </w:rPr>
        <w:t xml:space="preserve">fedfunds_zlb_sin_shadow</w:t>
      </w:r>
      <w:r>
        <w:t xml:space="preserve"> </w:t>
      </w:r>
      <w:r>
        <w:t xml:space="preserve">en uno.</w:t>
      </w:r>
    </w:p>
    <w:p>
      <w:pPr>
        <w:pStyle w:val="Compact"/>
        <w:numPr>
          <w:ilvl w:val="0"/>
          <w:numId w:val="1013"/>
        </w:numPr>
      </w:pPr>
      <w:r>
        <w:rPr>
          <w:b/>
          <w:bCs/>
        </w:rPr>
        <w:t xml:space="preserve">Por qué la sombra.</w:t>
      </w:r>
      <w:r>
        <w:t xml:space="preserve"> </w:t>
      </w:r>
      <w:r>
        <w:t xml:space="preserve">En el piso cero la tasa efectiva deja de reflejar la orientación de la política y su variación subestima las medidas no convencionales. La sombra recupera esa orientación.</w:t>
      </w:r>
    </w:p>
    <w:p>
      <w:pPr>
        <w:pStyle w:val="Compact"/>
        <w:numPr>
          <w:ilvl w:val="0"/>
          <w:numId w:val="1013"/>
        </w:numPr>
      </w:pPr>
      <w:r>
        <w:rPr>
          <w:b/>
          <w:bCs/>
        </w:rPr>
        <w:t xml:space="preserve">Empalme en 2022T1.</w:t>
      </w:r>
      <w:r>
        <w:t xml:space="preserve"> </w:t>
      </w:r>
      <w:r>
        <w:t xml:space="preserve">La hoja de Wu y Xia termina en febrero de 2022. 2022T1 está en el piso cero (FEDFUNDS = 0,12 %) pero solo tiene dos meses de sombra, así que se usa FEDFUNDS y se marca. El salto entre 2021T4 (−1,57 %, sombra) y 2022T1 (0,12 %) es de unos 1,7 puntos y es un artefacto de la definición. Entra una vez en la primera diferencia. Los trimestres 2022T2-2025T4 usan FEDFUNDS.</w:t>
      </w:r>
    </w:p>
    <w:p>
      <w:pPr>
        <w:pStyle w:val="Compact"/>
        <w:numPr>
          <w:ilvl w:val="0"/>
          <w:numId w:val="1013"/>
        </w:numPr>
      </w:pPr>
      <w:r>
        <w:rPr>
          <w:b/>
          <w:bCs/>
        </w:rPr>
        <w:t xml:space="preserve">Uso.</w:t>
      </w:r>
      <w:r>
        <w:t xml:space="preserve"> </w:t>
      </w:r>
      <w:r>
        <w:t xml:space="preserve">En el modelo entra como variación trimestral (ΔFed), con una media de −0,012 pp y un desvío estándar de 0,505 pp (119 variaciones). Ese desvío es el tamaño del shock del Capítulo 4. El ciclo 2022-2023 acumula 6,90 pp con la sombra de base y 5,25 pp medido solo con FEDFUNDS.</w:t>
      </w:r>
    </w:p>
    <w:bookmarkEnd w:id="68"/>
    <w:bookmarkStart w:id="69" w:name="vix"/>
    <w:p>
      <w:pPr>
        <w:pStyle w:val="Heading3"/>
      </w:pPr>
      <w:r>
        <w:t xml:space="preserve">5.6.4 VIX</w:t>
      </w:r>
    </w:p>
    <w:p>
      <w:pPr>
        <w:pStyle w:val="FirstParagraph"/>
      </w:pPr>
      <w:r>
        <w:t xml:space="preserve">Índice de volatilidad implícita del CBOE (^VIX), cierre diario de Yahoo Finance descargado con</w:t>
      </w:r>
      <w:r>
        <w:t xml:space="preserve"> </w:t>
      </w:r>
      <w:r>
        <w:rPr>
          <w:rStyle w:val="VerbatimChar"/>
        </w:rPr>
        <w:t xml:space="preserve">yfinance</w:t>
      </w:r>
      <w:r>
        <w:t xml:space="preserve"> </w:t>
      </w:r>
      <w:r>
        <w:t xml:space="preserve">(</w:t>
      </w:r>
      <w:r>
        <w:rPr>
          <w:rStyle w:val="VerbatimChar"/>
        </w:rPr>
        <w:t xml:space="preserve">ingesta_instrumentos_1996_2025.py</w:t>
      </w:r>
      <w:r>
        <w:t xml:space="preserve">), promedio trimestral. Tiene cobertura real desde 1996, sin faltantes (120 observaciones). Entra como exógena en nivel (Adler y Sosa, 2013, citados en el Capítulo 4).</w:t>
      </w:r>
    </w:p>
    <w:bookmarkEnd w:id="69"/>
    <w:bookmarkEnd w:id="70"/>
    <w:bookmarkStart w:id="71" w:name="Xe2c1f699aa3e9ae6a11f93541e9c4657f6aae32"/>
    <w:p>
      <w:pPr>
        <w:pStyle w:val="Heading2"/>
      </w:pPr>
      <w:r>
        <w:t xml:space="preserve">5.7 Variables que figuran en la base pero no entran en el sistema</w:t>
      </w:r>
    </w:p>
    <w:p>
      <w:pPr>
        <w:pStyle w:val="FirstParagraph"/>
      </w:pPr>
      <w:r>
        <w:t xml:space="preserve">El CER (existe desde 2002), la brecha del producto (filtro Hodrick-Prescott, λ = 1600) y los instrumentos de las pruebas de variables instrumentales no forman parte del SVARX principal. Se documentan en</w:t>
      </w:r>
      <w:r>
        <w:t xml:space="preserve"> </w:t>
      </w:r>
      <w:r>
        <w:rPr>
          <w:rStyle w:val="VerbatimChar"/>
        </w:rPr>
        <w:t xml:space="preserve">datos/codebook.md</w:t>
      </w:r>
      <w:r>
        <w:t xml:space="preserve">.</w:t>
      </w:r>
    </w:p>
    <w:bookmarkEnd w:id="71"/>
    <w:bookmarkStart w:id="76" w:name="Xfba9795b0262a3aec86cb988d85d10ac0b2d960"/>
    <w:p>
      <w:pPr>
        <w:pStyle w:val="Heading2"/>
      </w:pPr>
      <w:r>
        <w:t xml:space="preserve">5.8 Comparación con cifras oficiales e independientes</w:t>
      </w:r>
    </w:p>
    <w:p>
      <w:pPr>
        <w:pStyle w:val="FirstParagraph"/>
      </w:pPr>
      <w:r>
        <w:t xml:space="preserve">Esta sección calcula, desde los CSV del repositorio, cada cifra propia y la compara con el FMI (2025),</w:t>
      </w:r>
      <w:r>
        <w:t xml:space="preserve"> </w:t>
      </w:r>
      <w:r>
        <w:rPr>
          <w:i/>
          <w:iCs/>
        </w:rPr>
        <w:t xml:space="preserve">Country Report</w:t>
      </w:r>
      <w:r>
        <w:t xml:space="preserve"> </w:t>
      </w:r>
      <w:r>
        <w:t xml:space="preserve">No. 25/95 (Annex II, Table 2 para la deuda; Table 3b para el resultado primario; datos en</w:t>
      </w:r>
      <w:r>
        <w:t xml:space="preserve"> </w:t>
      </w:r>
      <w:r>
        <w:rPr>
          <w:rStyle w:val="VerbatimChar"/>
        </w:rPr>
        <w:t xml:space="preserve">datos/procesados/escenario_base_fmi_cr2595.csv</w:t>
      </w:r>
      <w:r>
        <w:t xml:space="preserve">). El FMI publica el cuadro de deuda solo para 2023-2026.</w:t>
      </w:r>
    </w:p>
    <w:bookmarkStart w:id="72" w:name="Xa01cff60600f7a82bb5f91b22357c6f4e94a632"/>
    <w:p>
      <w:pPr>
        <w:pStyle w:val="Heading3"/>
      </w:pPr>
      <w:r>
        <w:t xml:space="preserve">5.8.1 Tabla de control, deuda (% del PIB, cierre de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propio</w:t>
            </w:r>
          </w:p>
        </w:tc>
        <w:tc>
          <w:tcPr/>
          <w:p>
            <w:pPr>
              <w:pStyle w:val="Compact"/>
            </w:pPr>
            <w:r>
              <w:rPr>
                <w:rFonts w:ascii="Calibri" w:hAnsi="Calibri"/>
                <w:sz w:val="20"/>
              </w:rPr>
              <w:t xml:space="preserve">2023 FMI</w:t>
            </w:r>
          </w:p>
        </w:tc>
        <w:tc>
          <w:tcPr/>
          <w:p>
            <w:pPr>
              <w:pStyle w:val="Compact"/>
            </w:pPr>
            <w:r>
              <w:rPr>
                <w:rFonts w:ascii="Calibri" w:hAnsi="Calibri"/>
                <w:sz w:val="20"/>
              </w:rPr>
              <w:t xml:space="preserve">Dif.</w:t>
            </w:r>
          </w:p>
        </w:tc>
        <w:tc>
          <w:tcPr/>
          <w:p>
            <w:pPr>
              <w:pStyle w:val="Compact"/>
            </w:pPr>
            <w:r>
              <w:rPr>
                <w:rFonts w:ascii="Calibri" w:hAnsi="Calibri"/>
                <w:sz w:val="20"/>
              </w:rPr>
              <w:t xml:space="preserve">2024 propio</w:t>
            </w:r>
          </w:p>
        </w:tc>
        <w:tc>
          <w:tcPr/>
          <w:p>
            <w:pPr>
              <w:pStyle w:val="Compact"/>
            </w:pPr>
            <w:r>
              <w:rPr>
                <w:rFonts w:ascii="Calibri" w:hAnsi="Calibri"/>
                <w:sz w:val="20"/>
              </w:rPr>
              <w:t xml:space="preserve">2024 FMI</w:t>
            </w:r>
          </w:p>
        </w:tc>
        <w:tc>
          <w:tcPr/>
          <w:p>
            <w:pPr>
              <w:pStyle w:val="Compact"/>
            </w:pPr>
            <w:r>
              <w:rPr>
                <w:rFonts w:ascii="Calibri" w:hAnsi="Calibri"/>
                <w:sz w:val="20"/>
              </w:rPr>
              <w:t xml:space="preserve">Dif.</w:t>
            </w:r>
          </w:p>
        </w:tc>
      </w:tr>
      <w:tr>
        <w:tc>
          <w:tcPr/>
          <w:p>
            <w:pPr>
              <w:pStyle w:val="Compact"/>
            </w:pPr>
            <w:r>
              <w:rPr>
                <w:rFonts w:ascii="Calibri" w:hAnsi="Calibri"/>
                <w:sz w:val="20"/>
              </w:rPr>
              <w:t xml:space="preserve">1. 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−1,9</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3. Deuda del Tesoro en poder del sector público</w:t>
            </w:r>
          </w:p>
        </w:tc>
        <w:tc>
          <w:tcPr/>
          <w:p>
            <w:pPr>
              <w:pStyle w:val="Compact"/>
            </w:pPr>
            <w:r>
              <w:rPr>
                <w:rFonts w:ascii="Calibri" w:hAnsi="Calibri"/>
                <w:sz w:val="20"/>
              </w:rPr>
              <w:t xml:space="preserve">48,6 (solo BCRA, nominal piso)</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−13,9</w:t>
            </w:r>
          </w:p>
        </w:tc>
        <w:tc>
          <w:tcPr/>
          <w:p>
            <w:pPr>
              <w:pStyle w:val="Compact"/>
            </w:pPr>
            <w:r>
              <w:rPr>
                <w:rFonts w:ascii="Calibri" w:hAnsi="Calibri"/>
                <w:sz w:val="20"/>
              </w:rPr>
              <w:t xml:space="preserve">20,4 (solo BCRA, nominal piso)</w:t>
            </w:r>
          </w:p>
        </w:tc>
        <w:tc>
          <w:tcPr/>
          <w:p>
            <w:pPr>
              <w:pStyle w:val="Compact"/>
            </w:pPr>
            <w:r>
              <w:rPr>
                <w:rFonts w:ascii="Calibri" w:hAnsi="Calibri"/>
                <w:sz w:val="20"/>
              </w:rPr>
              <w:t xml:space="preserve">33,9 (BCRA y FGS)</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4. Pasivos del BCRA, total</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−3,8</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en moneda local</w:t>
            </w:r>
          </w:p>
        </w:tc>
        <w:tc>
          <w:tcPr/>
          <w:p>
            <w:pPr>
              <w:pStyle w:val="Compact"/>
            </w:pPr>
            <w:r>
              <w:rPr>
                <w:rFonts w:ascii="Calibri" w:hAnsi="Calibri"/>
                <w:sz w:val="20"/>
              </w:rPr>
              <w:t xml:space="preserve">13,3</w:t>
            </w:r>
          </w:p>
        </w:tc>
        <w:tc>
          <w:tcPr/>
          <w:p>
            <w:pPr>
              <w:pStyle w:val="Compact"/>
            </w:pPr>
            <w:r>
              <w:rPr>
                <w:rFonts w:ascii="Calibri" w:hAnsi="Calibri"/>
                <w:sz w:val="20"/>
              </w:rPr>
              <w:t xml:space="preserve">16,2</w:t>
            </w:r>
          </w:p>
        </w:tc>
        <w:tc>
          <w:tcPr/>
          <w:p>
            <w:pPr>
              <w:pStyle w:val="Compact"/>
            </w:pPr>
            <w:r>
              <w:rPr>
                <w:rFonts w:ascii="Calibri" w:hAnsi="Calibri"/>
                <w:sz w:val="20"/>
              </w:rPr>
              <w:t xml:space="preserve">−2,9</w:t>
            </w:r>
          </w:p>
        </w:tc>
        <w:tc>
          <w:tcPr/>
          <w:p>
            <w:pPr>
              <w:pStyle w:val="Compact"/>
            </w:pPr>
            <w:r>
              <w:rPr>
                <w:rFonts w:ascii="Calibri" w:hAnsi="Calibri"/>
                <w:sz w:val="20"/>
              </w:rPr>
              <w:t xml:space="preserve">−0,06</w:t>
            </w:r>
          </w:p>
        </w:tc>
        <w:tc>
          <w:tcPr/>
          <w:p>
            <w:pPr>
              <w:pStyle w:val="Compact"/>
            </w:pPr>
            <w:r>
              <w:rPr>
                <w:rFonts w:ascii="Calibri" w:hAnsi="Calibri"/>
                <w:sz w:val="20"/>
              </w:rPr>
              <w:t xml:space="preserve">0,0</w:t>
            </w:r>
          </w:p>
        </w:tc>
        <w:tc>
          <w:tcPr/>
          <w:p>
            <w:pPr>
              <w:pStyle w:val="Compact"/>
            </w:pPr>
            <w:r>
              <w:rPr>
                <w:rFonts w:ascii="Calibri" w:hAnsi="Calibri"/>
                <w:sz w:val="20"/>
              </w:rPr>
              <w:t xml:space="preserve">−0,1</w:t>
            </w:r>
          </w:p>
        </w:tc>
      </w:tr>
      <w:tr>
        <w:tc>
          <w:tcPr/>
          <w:p>
            <w:pPr>
              <w:pStyle w:val="Compact"/>
            </w:pPr>
            <w:r>
              <w:rPr>
                <w:rFonts w:ascii="Calibri" w:hAnsi="Calibri"/>
                <w:sz w:val="20"/>
              </w:rPr>
              <w:t xml:space="preserve">en moneda extranjera (sin swap)</w:t>
            </w:r>
          </w:p>
        </w:tc>
        <w:tc>
          <w:tcPr/>
          <w:p>
            <w:pPr>
              <w:pStyle w:val="Compact"/>
            </w:pPr>
            <w:r>
              <w:rPr>
                <w:rFonts w:ascii="Calibri" w:hAnsi="Calibri"/>
                <w:sz w:val="20"/>
              </w:rPr>
              <w:t xml:space="preserve">1,3</w:t>
            </w:r>
          </w:p>
        </w:tc>
        <w:tc>
          <w:tcPr/>
          <w:p>
            <w:pPr>
              <w:pStyle w:val="Compact"/>
            </w:pPr>
            <w:r>
              <w:rPr>
                <w:rFonts w:ascii="Calibri" w:hAnsi="Calibri"/>
                <w:sz w:val="20"/>
              </w:rPr>
              <w:t xml:space="preserve">2,1</w:t>
            </w:r>
          </w:p>
        </w:tc>
        <w:tc>
          <w:tcPr/>
          <w:p>
            <w:pPr>
              <w:pStyle w:val="Compact"/>
            </w:pPr>
            <w:r>
              <w:rPr>
                <w:rFonts w:ascii="Calibri" w:hAnsi="Calibri"/>
                <w:sz w:val="20"/>
              </w:rPr>
              <w:t xml:space="preserve">−0,8</w:t>
            </w:r>
          </w:p>
        </w:tc>
        <w:tc>
          <w:tcPr/>
          <w:p>
            <w:pPr>
              <w:pStyle w:val="Compact"/>
            </w:pPr>
            <w:r>
              <w:rPr>
                <w:rFonts w:ascii="Calibri" w:hAnsi="Calibri"/>
                <w:sz w:val="20"/>
              </w:rPr>
              <w:t xml:space="preserve">1,6</w:t>
            </w:r>
          </w:p>
        </w:tc>
        <w:tc>
          <w:tcPr/>
          <w:p>
            <w:pPr>
              <w:pStyle w:val="Compact"/>
            </w:pPr>
            <w:r>
              <w:rPr>
                <w:rFonts w:ascii="Calibri" w:hAnsi="Calibri"/>
                <w:sz w:val="20"/>
              </w:rPr>
              <w:t xml:space="preserve">2,1</w:t>
            </w:r>
          </w:p>
        </w:tc>
        <w:tc>
          <w:tcPr/>
          <w:p>
            <w:pPr>
              <w:pStyle w:val="Compact"/>
            </w:pPr>
            <w:r>
              <w:rPr>
                <w:rFonts w:ascii="Calibri" w:hAnsi="Calibri"/>
                <w:sz w:val="20"/>
              </w:rPr>
              <w:t xml:space="preserve">−0,5</w:t>
            </w:r>
          </w:p>
        </w:tc>
      </w:tr>
      <w:tr>
        <w:tc>
          <w:tcPr/>
          <w:p>
            <w:pPr>
              <w:pStyle w:val="Compact"/>
            </w:pPr>
            <w:r>
              <w:rPr>
                <w:rFonts w:ascii="Calibri" w:hAnsi="Calibri"/>
                <w:sz w:val="20"/>
              </w:rPr>
              <w:t xml:space="preserve">5. Depósitos del Tesoro en el BCRA</w:t>
            </w:r>
          </w:p>
        </w:tc>
        <w:tc>
          <w:tcPr/>
          <w:p>
            <w:pPr>
              <w:pStyle w:val="Compact"/>
            </w:pPr>
            <w:r>
              <w:rPr>
                <w:rFonts w:ascii="Calibri" w:hAnsi="Calibri"/>
                <w:sz w:val="20"/>
              </w:rPr>
              <w:t xml:space="preserve">0,52</w:t>
            </w:r>
          </w:p>
        </w:tc>
        <w:tc>
          <w:tcPr/>
          <w:p>
            <w:pPr>
              <w:pStyle w:val="Compact"/>
            </w:pPr>
            <w:r>
              <w:rPr>
                <w:rFonts w:ascii="Calibri" w:hAnsi="Calibri"/>
                <w:sz w:val="20"/>
              </w:rPr>
              <w:t xml:space="preserve">0,5</w:t>
            </w:r>
          </w:p>
        </w:tc>
        <w:tc>
          <w:tcPr/>
          <w:p>
            <w:pPr>
              <w:pStyle w:val="Compact"/>
            </w:pPr>
            <w:r>
              <w:rPr>
                <w:rFonts w:ascii="Calibri" w:hAnsi="Calibri"/>
                <w:sz w:val="20"/>
              </w:rPr>
              <w:t xml:space="preserve">0,0</w:t>
            </w:r>
          </w:p>
        </w:tc>
        <w:tc>
          <w:tcPr/>
          <w:p>
            <w:pPr>
              <w:pStyle w:val="Compact"/>
            </w:pPr>
            <w:r>
              <w:rPr>
                <w:rFonts w:ascii="Calibri" w:hAnsi="Calibri"/>
                <w:sz w:val="20"/>
              </w:rPr>
              <w:t xml:space="preserve">2,10</w:t>
            </w:r>
          </w:p>
        </w:tc>
        <w:tc>
          <w:tcPr/>
          <w:p>
            <w:pPr>
              <w:pStyle w:val="Compact"/>
            </w:pPr>
            <w:r>
              <w:rPr>
                <w:rFonts w:ascii="Calibri" w:hAnsi="Calibri"/>
                <w:sz w:val="20"/>
              </w:rPr>
              <w:t xml:space="preserve">2,1</w:t>
            </w:r>
          </w:p>
        </w:tc>
        <w:tc>
          <w:tcPr/>
          <w:p>
            <w:pPr>
              <w:pStyle w:val="Compact"/>
            </w:pPr>
            <w:r>
              <w:rPr>
                <w:rFonts w:ascii="Calibri" w:hAnsi="Calibri"/>
                <w:sz w:val="20"/>
              </w:rPr>
              <w:t xml:space="preserve">0,0</w:t>
            </w:r>
          </w:p>
        </w:tc>
      </w:tr>
      <w:tr>
        <w:tc>
          <w:tcPr/>
          <w:p>
            <w:pPr>
              <w:pStyle w:val="Compact"/>
            </w:pPr>
            <w:r>
              <w:rPr>
                <w:rFonts w:ascii="Calibri" w:hAnsi="Calibri"/>
                <w:sz w:val="20"/>
              </w:rPr>
              <w:t xml:space="preserve">6. Deuda neta consolidada (nominal piso)</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c>
          <w:tcPr/>
          <w:p>
            <w:pPr>
              <w:pStyle w:val="Compact"/>
            </w:pPr>
            <w:r>
              <w:rPr>
                <w:rFonts w:ascii="Calibri" w:hAnsi="Calibri"/>
                <w:b/>
                <w:bCs/>
                <w:sz w:val="20"/>
              </w:rPr>
              <w:t xml:space="preserve">+9,6</w:t>
            </w:r>
          </w:p>
        </w:tc>
      </w:tr>
      <w:tr>
        <w:tc>
          <w:tcPr/>
          <w:p>
            <w:pPr>
              <w:pStyle w:val="Compact"/>
            </w:pPr>
            <w:r>
              <w:rPr>
                <w:rFonts w:ascii="Calibri" w:hAnsi="Calibri"/>
                <w:i/>
                <w:iCs/>
                <w:sz w:val="20"/>
              </w:rPr>
              <w:t xml:space="preserve">Memo: deuda neta a valor de libros</w:t>
            </w:r>
          </w:p>
        </w:tc>
        <w:tc>
          <w:tcPr/>
          <w:p>
            <w:pPr>
              <w:pStyle w:val="Compact"/>
            </w:pPr>
            <w:r>
              <w:rPr>
                <w:rFonts w:ascii="Calibri" w:hAnsi="Calibri"/>
                <w:sz w:val="20"/>
              </w:rPr>
              <w:t xml:space="preserve">119,0</w:t>
            </w:r>
          </w:p>
        </w:tc>
        <w:tc>
          <w:tcPr/>
          <w:p>
            <w:pPr>
              <w:pStyle w:val="Compact"/>
            </w:pPr>
            <w:r>
              <w:rPr>
                <w:rFonts w:ascii="Calibri" w:hAnsi="Calibri"/>
                <w:sz w:val="20"/>
              </w:rPr>
              <w:t xml:space="preserve">110,8</w:t>
            </w:r>
          </w:p>
        </w:tc>
        <w:tc>
          <w:tcPr/>
          <w:p>
            <w:pPr>
              <w:pStyle w:val="Compact"/>
            </w:pPr>
            <w:r>
              <w:rPr>
                <w:rFonts w:ascii="Calibri" w:hAnsi="Calibri"/>
                <w:sz w:val="20"/>
              </w:rPr>
              <w:t xml:space="preserve">+8,2</w:t>
            </w:r>
          </w:p>
        </w:tc>
        <w:tc>
          <w:tcPr/>
          <w:p>
            <w:pPr>
              <w:pStyle w:val="Compact"/>
            </w:pPr>
            <w:r>
              <w:rPr>
                <w:rFonts w:ascii="Calibri" w:hAnsi="Calibri"/>
                <w:sz w:val="20"/>
              </w:rPr>
              <w:t xml:space="preserve">68,3</w:t>
            </w:r>
          </w:p>
        </w:tc>
        <w:tc>
          <w:tcPr/>
          <w:p>
            <w:pPr>
              <w:pStyle w:val="Compact"/>
            </w:pPr>
            <w:r>
              <w:rPr>
                <w:rFonts w:ascii="Calibri" w:hAnsi="Calibri"/>
                <w:sz w:val="20"/>
              </w:rPr>
              <w:t xml:space="preserve">51,5</w:t>
            </w:r>
          </w:p>
        </w:tc>
        <w:tc>
          <w:tcPr/>
          <w:p>
            <w:pPr>
              <w:pStyle w:val="Compact"/>
            </w:pPr>
            <w:r>
              <w:rPr>
                <w:rFonts w:ascii="Calibri" w:hAnsi="Calibri"/>
                <w:sz w:val="20"/>
              </w:rPr>
              <w:t xml:space="preserve">+16,8</w:t>
            </w:r>
          </w:p>
        </w:tc>
      </w:tr>
    </w:tbl>
    <w:p>
      <w:pPr>
        <w:pStyle w:val="BodyText"/>
      </w:pPr>
      <w:r>
        <w:t xml:space="preserve">Fuentes: columnas propias en</w:t>
      </w:r>
      <w:r>
        <w:t xml:space="preserve"> </w:t>
      </w:r>
      <w:r>
        <w:rPr>
          <w:rStyle w:val="VerbatimChar"/>
        </w:rPr>
        <w:t xml:space="preserve">deuda_consolidada_neta_nominal_1996_2025.csv</w:t>
      </w:r>
      <w:r>
        <w:t xml:space="preserve"> </w:t>
      </w:r>
      <w:r>
        <w:t xml:space="preserve">(diciembre de cada año); columnas FMI en</w:t>
      </w:r>
      <w:r>
        <w:t xml:space="preserve"> </w:t>
      </w:r>
      <w:r>
        <w:rPr>
          <w:rStyle w:val="VerbatimChar"/>
        </w:rPr>
        <w:t xml:space="preserve">escenario_base_fmi_cr2595.csv</w:t>
      </w:r>
      <w:r>
        <w:t xml:space="preserve"> </w:t>
      </w:r>
      <w:r>
        <w:t xml:space="preserve">(variables</w:t>
      </w:r>
      <w:r>
        <w:t xml:space="preserve"> </w:t>
      </w:r>
      <w:r>
        <w:rPr>
          <w:rStyle w:val="VerbatimChar"/>
        </w:rPr>
        <w:t xml:space="preserve">a2_*</w:t>
      </w:r>
      <w:r>
        <w:t xml:space="preserve">). El control está además en</w:t>
      </w:r>
      <w:r>
        <w:t xml:space="preserve"> </w:t>
      </w:r>
      <w:r>
        <w:rPr>
          <w:rStyle w:val="VerbatimChar"/>
        </w:rPr>
        <w:t xml:space="preserve">deuda_consolidada_neta_nominal_1996_2025_control_fmi.csv</w:t>
      </w:r>
      <w:r>
        <w:t xml:space="preserve">. En dólares, el FMI publica 367,9 y 478,7 mil millones para la deuda bruta federal y 262,2 y 289,0 para la deuda neta consolidada (2023 y 2024).</w:t>
      </w:r>
    </w:p>
    <w:p>
      <w:pPr>
        <w:pStyle w:val="BodyText"/>
      </w:pPr>
      <w:r>
        <w:rPr>
          <w:b/>
          <w:bCs/>
        </w:rPr>
        <w:t xml:space="preserve">Lectura.</w:t>
      </w:r>
      <w:r>
        <w:t xml:space="preserve"> </w:t>
      </w:r>
      <w:r>
        <w:t xml:space="preserve">La deuda bruta, los depósitos y los pasivos en moneda local replican al FMI dentro de 3 puntos, y los depósitos coinciden. La diferencia en la bruta se debe a que el FMI agrega intereses capitalizados,</w:t>
      </w:r>
      <w:r>
        <w:t xml:space="preserve"> </w:t>
      </w:r>
      <w:r>
        <w:rPr>
          <w:i/>
          <w:iCs/>
        </w:rPr>
        <w:t xml:space="preserve">holdouts</w:t>
      </w:r>
      <w:r>
        <w:t xml:space="preserve"> </w:t>
      </w:r>
      <w:r>
        <w:t xml:space="preserve">y reclamos por el cupón PIB (nota 1 del cuadro), que no figuran en los informes del MECON, y a la versión de PIB de su informe. La diferencia de los pasivos del BCRA en 2023 es compatible con la omisión del swap con el PBoC y de otros instrumentos, aunque no se pudo verificar por falta de una serie. La valuación nominal no cambia 2023, porque en ese año el valor de libros ya supera al nominal y la variante piso conserva el de libros. En 2024 reduce la deuda neta de 68,3 a 61,1 y la brecha con el FMI, de 16,8 a 9,6 puntos.</w:t>
      </w:r>
    </w:p>
    <w:bookmarkEnd w:id="72"/>
    <w:bookmarkStart w:id="73" w:name="X7a2c85742a23c57b132a6154d51d01bf040b9b5"/>
    <w:p>
      <w:pPr>
        <w:pStyle w:val="Heading3"/>
      </w:pPr>
      <w:r>
        <w:t xml:space="preserve">5.8.2 Descomposición de la diferencia en la deuda neta</w:t>
      </w:r>
    </w:p>
    <w:p>
      <w:pPr>
        <w:pStyle w:val="FirstParagraph"/>
      </w:pPr>
      <w:r>
        <w:t xml:space="preserve">Como la deuda neta es B − T + L − DEP, la diferencia propio menos FMI es la suma de las diferencias de cada línea.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Componente</w:t>
            </w:r>
          </w:p>
        </w:tc>
        <w:tc>
          <w:tcPr/>
          <w:p>
            <w:pPr>
              <w:pStyle w:val="Compact"/>
            </w:pPr>
            <w:r>
              <w:rPr>
                <w:rFonts w:ascii="Calibri" w:hAnsi="Calibri"/>
                <w:sz w:val="20"/>
              </w:rPr>
              <w:t xml:space="preserve">2023 (pp)</w:t>
            </w:r>
          </w:p>
        </w:tc>
        <w:tc>
          <w:tcPr/>
          <w:p>
            <w:pPr>
              <w:pStyle w:val="Compact"/>
            </w:pPr>
            <w:r>
              <w:rPr>
                <w:rFonts w:ascii="Calibri" w:hAnsi="Calibri"/>
                <w:sz w:val="20"/>
              </w:rPr>
              <w:t xml:space="preserve">2024 (pp)</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−1,9</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Menos tenencias intra-públicas (diferencia de signo cambiado)</w:t>
            </w:r>
          </w:p>
        </w:tc>
        <w:tc>
          <w:tcPr/>
          <w:p>
            <w:pPr>
              <w:pStyle w:val="Compact"/>
            </w:pPr>
            <w:r>
              <w:rPr>
                <w:rFonts w:ascii="Calibri" w:hAnsi="Calibri"/>
                <w:sz w:val="20"/>
              </w:rPr>
              <w:t xml:space="preserve">+13,9</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−3,8</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Menos depósitos del Tesoro</w:t>
            </w:r>
          </w:p>
        </w:tc>
        <w:tc>
          <w:tcPr/>
          <w:p>
            <w:pPr>
              <w:pStyle w:val="Compact"/>
            </w:pPr>
            <w:r>
              <w:rPr>
                <w:rFonts w:ascii="Calibri" w:hAnsi="Calibri"/>
                <w:sz w:val="20"/>
              </w:rPr>
              <w:t xml:space="preserve">0,0</w:t>
            </w:r>
          </w:p>
        </w:tc>
        <w:tc>
          <w:tcPr/>
          <w:p>
            <w:pPr>
              <w:pStyle w:val="Compact"/>
            </w:pPr>
            <w:r>
              <w:rPr>
                <w:rFonts w:ascii="Calibri" w:hAnsi="Calibri"/>
                <w:sz w:val="20"/>
              </w:rPr>
              <w:t xml:space="preserve">0,0</w:t>
            </w:r>
          </w:p>
        </w:tc>
      </w:tr>
      <w:tr>
        <w:tc>
          <w:tcPr/>
          <w:p>
            <w:pPr>
              <w:pStyle w:val="Compact"/>
            </w:pPr>
            <w:r>
              <w:rPr>
                <w:rFonts w:ascii="Calibri" w:hAnsi="Calibri"/>
                <w:b/>
                <w:bCs/>
                <w:sz w:val="20"/>
              </w:rPr>
              <w:t xml:space="preserve">Diferencia en la deuda neta</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+9,6</w:t>
            </w:r>
          </w:p>
        </w:tc>
      </w:tr>
    </w:tbl>
    <w:p>
      <w:pPr>
        <w:pStyle w:val="BodyText"/>
      </w:pPr>
      <w:r>
        <w:t xml:space="preserve">Las filas de 2024 no suman exactamente por redondeo. El exceso de nuestra deuda neta sobre la del FMI proviene del neteo incompleto de las tenencias intra-públicas, que compensa con creces la bruta menor y los pasivos menores.</w:t>
      </w:r>
    </w:p>
    <w:bookmarkEnd w:id="73"/>
    <w:bookmarkStart w:id="74" w:name="resultado-primario-y-otras-comparaciones"/>
    <w:p>
      <w:pPr>
        <w:pStyle w:val="Heading3"/>
      </w:pPr>
      <w:r>
        <w:t xml:space="preserve">5.8.3 Resultado primario y otras comparaciones</w:t>
      </w:r>
    </w:p>
    <w:p>
      <w:pPr>
        <w:pStyle w:val="FirstParagraph"/>
      </w:pPr>
      <w:r>
        <w:t xml:space="preserve">El FMI (2025, Table 3b) informa el resultado primario del gobierno federal sin las transferencias de utilidades del BCRA (0,9 % del PIB en 2023 y 0,0 % en 2024, nota 9). La comparación usa la medida anual comparable</w:t>
      </w:r>
      <w:r>
        <w:t xml:space="preserve"> </w:t>
      </w:r>
      <w:r>
        <w:rPr>
          <w:rStyle w:val="VerbatimChar"/>
        </w:rPr>
        <w:t xml:space="preserve">pb_pib</w:t>
      </w:r>
      <w:r>
        <w:t xml:space="preserve"> </w:t>
      </w:r>
      <w:r>
        <w:t xml:space="preserve">(suma de cuatro trimestres sobre PIB de cuatro trimestres, cierre de diciembre), no la</w:t>
      </w:r>
      <w:r>
        <w:t xml:space="preserve"> </w:t>
      </w:r>
      <w:r>
        <w:rPr>
          <w:rStyle w:val="VerbatimChar"/>
        </w:rPr>
        <w:t xml:space="preserve">pb_pib_trim</w:t>
      </w:r>
      <w:r>
        <w:t xml:space="preserve"> </w:t>
      </w:r>
      <w:r>
        <w:t xml:space="preserve">que entra al modelo.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Resultado primario (% PIB)</w:t>
            </w:r>
          </w:p>
        </w:tc>
        <w:tc>
          <w:tcPr/>
          <w:p>
            <w:pPr>
              <w:pStyle w:val="Compact"/>
            </w:pPr>
            <w:r>
              <w:rPr>
                <w:rFonts w:ascii="Calibri" w:hAnsi="Calibri"/>
                <w:sz w:val="20"/>
              </w:rPr>
              <w:t xml:space="preserve">2023</w:t>
            </w:r>
          </w:p>
        </w:tc>
        <w:tc>
          <w:tcPr/>
          <w:p>
            <w:pPr>
              <w:pStyle w:val="Compact"/>
            </w:pPr>
            <w:r>
              <w:rPr>
                <w:rFonts w:ascii="Calibri" w:hAnsi="Calibri"/>
                <w:sz w:val="20"/>
              </w:rPr>
              <w:t xml:space="preserve">2024</w:t>
            </w:r>
          </w:p>
        </w:tc>
      </w:tr>
      <w:tr>
        <w:tc>
          <w:tcPr/>
          <w:p>
            <w:pPr>
              <w:pStyle w:val="Compact"/>
            </w:pPr>
            <w:r>
              <w:rPr>
                <w:rFonts w:ascii="Calibri" w:hAnsi="Calibri"/>
                <w:sz w:val="20"/>
              </w:rPr>
              <w:t xml:space="preserve">Propio, con rentas (serie principal)</w:t>
            </w:r>
          </w:p>
        </w:tc>
        <w:tc>
          <w:tcPr/>
          <w:p>
            <w:pPr>
              <w:pStyle w:val="Compact"/>
            </w:pPr>
            <w:r>
              <w:rPr>
                <w:rFonts w:ascii="Calibri" w:hAnsi="Calibri"/>
                <w:sz w:val="20"/>
              </w:rPr>
              <w:t xml:space="preserve">−2,66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Propio, sin rentas (cota conservadora)</w:t>
            </w:r>
          </w:p>
        </w:tc>
        <w:tc>
          <w:tcPr/>
          <w:p>
            <w:pPr>
              <w:pStyle w:val="Compact"/>
            </w:pPr>
            <w:r>
              <w:rPr>
                <w:rFonts w:ascii="Calibri" w:hAnsi="Calibri"/>
                <w:sz w:val="20"/>
              </w:rPr>
              <w:t xml:space="preserve">−3,67</w:t>
            </w:r>
          </w:p>
        </w:tc>
        <w:tc>
          <w:tcPr/>
          <w:p>
            <w:pPr>
              <w:pStyle w:val="Compact"/>
            </w:pPr>
            <w:r>
              <w:rPr>
                <w:rFonts w:ascii="Calibri" w:hAnsi="Calibri"/>
                <w:sz w:val="20"/>
              </w:rPr>
              <w:t xml:space="preserve">1,01</w:t>
            </w:r>
          </w:p>
        </w:tc>
      </w:tr>
      <w:tr>
        <w:tc>
          <w:tcPr/>
          <w:p>
            <w:pPr>
              <w:pStyle w:val="Compact"/>
            </w:pPr>
            <w:r>
              <w:rPr>
                <w:rFonts w:ascii="Calibri" w:hAnsi="Calibri"/>
                <w:sz w:val="20"/>
              </w:rPr>
              <w:t xml:space="preserve">Propio con rentas menos transferencia BCRA del FMI</w:t>
            </w:r>
          </w:p>
        </w:tc>
        <w:tc>
          <w:tcPr/>
          <w:p>
            <w:pPr>
              <w:pStyle w:val="Compact"/>
            </w:pPr>
            <w:r>
              <w:rPr>
                <w:rFonts w:ascii="Calibri" w:hAnsi="Calibri"/>
                <w:sz w:val="20"/>
              </w:rPr>
              <w:t xml:space="preserve">−3,56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Serie anterior (tabla escrita a mano)</w:t>
            </w:r>
          </w:p>
        </w:tc>
        <w:tc>
          <w:tcPr/>
          <w:p>
            <w:pPr>
              <w:pStyle w:val="Compact"/>
            </w:pPr>
            <w:r>
              <w:rPr>
                <w:rFonts w:ascii="Calibri" w:hAnsi="Calibri"/>
                <w:sz w:val="20"/>
              </w:rPr>
              <w:t xml:space="preserve">−2,90</w:t>
            </w:r>
          </w:p>
        </w:tc>
        <w:tc>
          <w:tcPr/>
          <w:p>
            <w:pPr>
              <w:pStyle w:val="Compact"/>
            </w:pPr>
            <w:r>
              <w:rPr>
                <w:rFonts w:ascii="Calibri" w:hAnsi="Calibri"/>
                <w:sz w:val="20"/>
              </w:rPr>
              <w:t xml:space="preserve">1,40</w:t>
            </w:r>
          </w:p>
        </w:tc>
      </w:tr>
      <w:tr>
        <w:tc>
          <w:tcPr/>
          <w:p>
            <w:pPr>
              <w:pStyle w:val="Compact"/>
            </w:pPr>
            <w:r>
              <w:rPr>
                <w:rFonts w:ascii="Calibri" w:hAnsi="Calibri"/>
                <w:sz w:val="20"/>
              </w:rPr>
              <w:t xml:space="preserve">FMI (2025), gobierno federal sin transferencias del BCRA</w:t>
            </w:r>
          </w:p>
        </w:tc>
        <w:tc>
          <w:tcPr/>
          <w:p>
            <w:pPr>
              <w:pStyle w:val="Compact"/>
            </w:pPr>
            <w:r>
              <w:rPr>
                <w:rFonts w:ascii="Calibri" w:hAnsi="Calibri"/>
                <w:sz w:val="20"/>
              </w:rPr>
              <w:t xml:space="preserve">−2,8</w:t>
            </w:r>
          </w:p>
        </w:tc>
        <w:tc>
          <w:tcPr/>
          <w:p>
            <w:pPr>
              <w:pStyle w:val="Compact"/>
            </w:pPr>
            <w:r>
              <w:rPr>
                <w:rFonts w:ascii="Calibri" w:hAnsi="Calibri"/>
                <w:sz w:val="20"/>
              </w:rPr>
              <w:t xml:space="preserve">1,8</w:t>
            </w:r>
          </w:p>
        </w:tc>
      </w:tr>
    </w:tbl>
    <w:p>
      <w:pPr>
        <w:pStyle w:val="BodyText"/>
      </w:pPr>
      <w:r>
        <w:t xml:space="preserve">Fuente:</w:t>
      </w:r>
      <w:r>
        <w:t xml:space="preserve"> </w:t>
      </w:r>
      <w:r>
        <w:rPr>
          <w:rStyle w:val="VerbatimChar"/>
        </w:rPr>
        <w:t xml:space="preserve">datos/procesados/resultado_primario_1996_2025_control.csv</w:t>
      </w:r>
      <w:r>
        <w:t xml:space="preserve">. La serie propia con rentas queda a 0,14 puntos del FMI en 2023 y a 0,02 en 2024, y los signos coinciden. Esa cercanía debe leerse con cuidado: el agregado propio es el sector público nacional con todas las rentas, y el del FMI es el gobierno federal sin las transferencias del BCRA, de modo que parte de la coincidencia puede ser casual. En 2023, descontando la transferencia del BCRA que informa el FMI, la serie propia daría −3,56, a 0,76 puntos de la cifra del FMI. La serie propia ya no es una tabla escrita a mano, pero el control contra el FMI sigue siendo de orden de magnitud por el cambio de perímetro y por los quiebres de metodología de 2006/2007 y 2014/2015 (sección 5.4).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Propio</w:t>
            </w:r>
          </w:p>
        </w:tc>
        <w:tc>
          <w:tcPr/>
          <w:p>
            <w:pPr>
              <w:pStyle w:val="Compact"/>
            </w:pPr>
            <w:r>
              <w:rPr>
                <w:rFonts w:ascii="Calibri" w:hAnsi="Calibri"/>
                <w:sz w:val="20"/>
              </w:rPr>
              <w:t xml:space="preserve">Contraste</w:t>
            </w:r>
          </w:p>
        </w:tc>
        <w:tc>
          <w:tcPr/>
          <w:p>
            <w:pPr>
              <w:pStyle w:val="Compact"/>
            </w:pPr>
            <w:r>
              <w:rPr>
                <w:rFonts w:ascii="Calibri" w:hAnsi="Calibri"/>
                <w:sz w:val="20"/>
              </w:rPr>
              <w:t xml:space="preserve">Fuente del contraste</w:t>
            </w:r>
          </w:p>
        </w:tc>
      </w:tr>
      <w:tr>
        <w:tc>
          <w:tcPr/>
          <w:p>
            <w:pPr>
              <w:pStyle w:val="Compact"/>
            </w:pPr>
            <w:r>
              <w:rPr>
                <w:rFonts w:ascii="Calibri" w:hAnsi="Calibri"/>
                <w:sz w:val="20"/>
              </w:rPr>
              <w:t xml:space="preserve">Crecimiento real del PIB 2023 (media anual del índice)</w:t>
            </w:r>
          </w:p>
        </w:tc>
        <w:tc>
          <w:tcPr/>
          <w:p>
            <w:pPr>
              <w:pStyle w:val="Compact"/>
            </w:pPr>
            <w:r>
              <w:rPr>
                <w:rFonts w:ascii="Calibri" w:hAnsi="Calibri"/>
                <w:sz w:val="20"/>
              </w:rPr>
              <w:t xml:space="preserve">−1,9 %</w:t>
            </w:r>
          </w:p>
        </w:tc>
        <w:tc>
          <w:tcPr/>
          <w:p>
            <w:pPr>
              <w:pStyle w:val="Compact"/>
            </w:pPr>
            <w:r>
              <w:rPr>
                <w:rFonts w:ascii="Calibri" w:hAnsi="Calibri"/>
                <w:sz w:val="20"/>
              </w:rPr>
              <w:t xml:space="preserve">−1,6 %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Crecimiento real del PIB 2024</w:t>
            </w:r>
          </w:p>
        </w:tc>
        <w:tc>
          <w:tcPr/>
          <w:p>
            <w:pPr>
              <w:pStyle w:val="Compact"/>
            </w:pPr>
            <w:r>
              <w:rPr>
                <w:rFonts w:ascii="Calibri" w:hAnsi="Calibri"/>
                <w:sz w:val="20"/>
              </w:rPr>
              <w:t xml:space="preserve">−1,4 %</w:t>
            </w:r>
          </w:p>
        </w:tc>
        <w:tc>
          <w:tcPr/>
          <w:p>
            <w:pPr>
              <w:pStyle w:val="Compact"/>
            </w:pPr>
            <w:r>
              <w:rPr>
                <w:rFonts w:ascii="Calibri" w:hAnsi="Calibri"/>
                <w:sz w:val="20"/>
              </w:rPr>
              <w:t xml:space="preserve">−1,7 %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Cociente USD/ARS al 31/12/2023</w:t>
            </w:r>
          </w:p>
        </w:tc>
        <w:tc>
          <w:tcPr/>
          <w:p>
            <w:pPr>
              <w:pStyle w:val="Compact"/>
            </w:pPr>
            <w:r>
              <w:rPr>
                <w:rFonts w:ascii="Calibri" w:hAnsi="Calibri"/>
                <w:sz w:val="20"/>
              </w:rPr>
              <w:t xml:space="preserve">808,45</w:t>
            </w:r>
          </w:p>
        </w:tc>
        <w:tc>
          <w:tcPr/>
          <w:p>
            <w:pPr>
              <w:pStyle w:val="Compact"/>
            </w:pPr>
            <w:r>
              <w:rPr>
                <w:rFonts w:ascii="Calibri" w:hAnsi="Calibri"/>
                <w:sz w:val="20"/>
              </w:rPr>
              <w:t xml:space="preserve">808,45</w:t>
            </w:r>
          </w:p>
        </w:tc>
        <w:tc>
          <w:tcPr/>
          <w:p>
            <w:pPr>
              <w:pStyle w:val="Compact"/>
            </w:pPr>
            <w:r>
              <w:rPr>
                <w:rFonts w:ascii="Calibri" w:hAnsi="Calibri"/>
                <w:sz w:val="20"/>
              </w:rPr>
              <w:t xml:space="preserve">MECON, hoja A.1.1 (informe 2023)</w:t>
            </w:r>
          </w:p>
        </w:tc>
      </w:tr>
      <w:tr>
        <w:tc>
          <w:tcPr/>
          <w:p>
            <w:pPr>
              <w:pStyle w:val="Compact"/>
            </w:pPr>
            <w:r>
              <w:rPr>
                <w:rFonts w:ascii="Calibri" w:hAnsi="Calibri"/>
                <w:sz w:val="20"/>
              </w:rPr>
              <w:t xml:space="preserve">Pasivos del BCRA 2023, con PIB anualizado del cuarto trimestre</w:t>
            </w:r>
          </w:p>
        </w:tc>
        <w:tc>
          <w:tcPr/>
          <w:p>
            <w:pPr>
              <w:pStyle w:val="Compact"/>
            </w:pPr>
            <w:r>
              <w:rPr>
                <w:rFonts w:ascii="Calibri" w:hAnsi="Calibri"/>
                <w:sz w:val="20"/>
              </w:rPr>
              <w:t xml:space="preserve">9,05 %</w:t>
            </w:r>
          </w:p>
        </w:tc>
        <w:tc>
          <w:tcPr/>
          <w:p>
            <w:pPr>
              <w:pStyle w:val="Compact"/>
            </w:pPr>
            <w:r>
              <w:rPr>
                <w:rFonts w:ascii="Calibri" w:hAnsi="Calibri"/>
                <w:sz w:val="20"/>
              </w:rPr>
              <w:t xml:space="preserve">13,3 % con el denominador adoptado</w:t>
            </w:r>
          </w:p>
        </w:tc>
        <w:tc>
          <w:tcPr/>
          <w:p>
            <w:pPr>
              <w:pStyle w:val="Compact"/>
            </w:pPr>
            <w:r>
              <w:rPr>
                <w:rStyle w:val="VerbatimChar"/>
                <w:rFonts w:ascii="Calibri" w:hAnsi="Calibri"/>
                <w:sz w:val="20"/>
              </w:rPr>
              <w:t xml:space="preserve">deuda_consolidada_1996_2025_control_fmi.csv</w:t>
            </w:r>
          </w:p>
        </w:tc>
      </w:tr>
    </w:tbl>
    <w:p>
      <w:pPr>
        <w:pStyle w:val="BodyText"/>
      </w:pPr>
      <w:r>
        <w:t xml:space="preserve">Las diferencias de crecimiento (0,3 puntos) son compatibles con revisiones de INDEC posteriores al informe del FMI. Ambos años pertenecen al tramo con base 2004 directa, de modo que el empalme de 1996-2003 no interviene.</w:t>
      </w:r>
    </w:p>
    <w:bookmarkEnd w:id="74"/>
    <w:bookmarkStart w:id="75" w:name="X33a369f85777ae1b8f66c2d89b242fbe0bb8662"/>
    <w:p>
      <w:pPr>
        <w:pStyle w:val="Heading3"/>
      </w:pPr>
      <w:r>
        <w:t xml:space="preserve">5.8.4 Control del T_BCRA contra el stock nominal del MECON</w:t>
      </w:r>
    </w:p>
    <w:p>
      <w:pPr>
        <w:pStyle w:val="FirstParagraph"/>
      </w:pPr>
      <w:r>
        <w:t xml:space="preserve">El Informe de Deuda del MECON publica, en la hoja A.1.9, el valor nominal de las Letras adquiridas por el BCRA (en miles de dólares). Es el insumo de la serie nominal de 5.3.4.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31/12/2023</w:t>
            </w:r>
          </w:p>
        </w:tc>
        <w:tc>
          <w:tcPr/>
          <w:p>
            <w:pPr>
              <w:pStyle w:val="Compact"/>
            </w:pPr>
            <w:r>
              <w:rPr>
                <w:rFonts w:ascii="Calibri" w:hAnsi="Calibri"/>
                <w:sz w:val="20"/>
              </w:rPr>
              <w:t xml:space="preserve">31/12/2024</w:t>
            </w:r>
          </w:p>
        </w:tc>
      </w:tr>
      <w:tr>
        <w:tc>
          <w:tcPr/>
          <w:p>
            <w:pPr>
              <w:pStyle w:val="Compact"/>
            </w:pPr>
            <w:r>
              <w:rPr>
                <w:rFonts w:ascii="Calibri" w:hAnsi="Calibri"/>
                <w:sz w:val="20"/>
              </w:rPr>
              <w:t xml:space="preserve">Letras Intransferibles, nominal MECON (miles de millones de USD)</w:t>
            </w:r>
          </w:p>
        </w:tc>
        <w:tc>
          <w:tcPr/>
          <w:p>
            <w:pPr>
              <w:pStyle w:val="Compact"/>
            </w:pPr>
            <w:r>
              <w:rPr>
                <w:rFonts w:ascii="Calibri" w:hAnsi="Calibri"/>
                <w:sz w:val="20"/>
              </w:rPr>
              <w:t xml:space="preserve">67,2</w:t>
            </w:r>
          </w:p>
        </w:tc>
        <w:tc>
          <w:tcPr/>
          <w:p>
            <w:pPr>
              <w:pStyle w:val="Compact"/>
            </w:pPr>
            <w:r>
              <w:rPr>
                <w:rFonts w:ascii="Calibri" w:hAnsi="Calibri"/>
                <w:sz w:val="20"/>
              </w:rPr>
              <w:t xml:space="preserve">69,3</w:t>
            </w:r>
          </w:p>
        </w:tc>
      </w:tr>
      <w:tr>
        <w:tc>
          <w:tcPr/>
          <w:p>
            <w:pPr>
              <w:pStyle w:val="Compact"/>
            </w:pPr>
            <w:r>
              <w:rPr>
                <w:rFonts w:ascii="Calibri" w:hAnsi="Calibri"/>
                <w:sz w:val="20"/>
              </w:rPr>
              <w:t xml:space="preserve">Tenencia del BCRA en moneda extranjera, valor contable (miles de millones de USD)</w:t>
            </w:r>
          </w:p>
        </w:tc>
        <w:tc>
          <w:tcPr/>
          <w:p>
            <w:pPr>
              <w:pStyle w:val="Compact"/>
            </w:pPr>
            <w:r>
              <w:rPr>
                <w:rFonts w:ascii="Calibri" w:hAnsi="Calibri"/>
                <w:sz w:val="20"/>
              </w:rPr>
              <w:t xml:space="preserve">89,2</w:t>
            </w:r>
          </w:p>
        </w:tc>
        <w:tc>
          <w:tcPr/>
          <w:p>
            <w:pPr>
              <w:pStyle w:val="Compact"/>
            </w:pPr>
            <w:r>
              <w:rPr>
                <w:rFonts w:ascii="Calibri" w:hAnsi="Calibri"/>
                <w:sz w:val="20"/>
              </w:rPr>
              <w:t xml:space="preserve">28,6</w:t>
            </w:r>
          </w:p>
        </w:tc>
      </w:tr>
      <w:tr>
        <w:tc>
          <w:tcPr/>
          <w:p>
            <w:pPr>
              <w:pStyle w:val="Compact"/>
            </w:pPr>
            <w:r>
              <w:rPr>
                <w:rFonts w:ascii="Calibri" w:hAnsi="Calibri"/>
                <w:sz w:val="20"/>
              </w:rPr>
              <w:t xml:space="preserve">Tenencia del BCRA, % del PIB: valor de libros</w:t>
            </w:r>
          </w:p>
        </w:tc>
        <w:tc>
          <w:tcPr/>
          <w:p>
            <w:pPr>
              <w:pStyle w:val="Compact"/>
            </w:pPr>
            <w:r>
              <w:rPr>
                <w:rFonts w:ascii="Calibri" w:hAnsi="Calibri"/>
                <w:sz w:val="20"/>
              </w:rPr>
              <w:t xml:space="preserve">48,6</w:t>
            </w:r>
          </w:p>
        </w:tc>
        <w:tc>
          <w:tcPr/>
          <w:p>
            <w:pPr>
              <w:pStyle w:val="Compact"/>
            </w:pPr>
            <w:r>
              <w:rPr>
                <w:rFonts w:ascii="Calibri" w:hAnsi="Calibri"/>
                <w:sz w:val="20"/>
              </w:rPr>
              <w:t xml:space="preserve">13,2</w:t>
            </w:r>
          </w:p>
        </w:tc>
      </w:tr>
      <w:tr>
        <w:tc>
          <w:tcPr/>
          <w:p>
            <w:pPr>
              <w:pStyle w:val="Compact"/>
            </w:pPr>
            <w:r>
              <w:rPr>
                <w:rFonts w:ascii="Calibri" w:hAnsi="Calibri"/>
                <w:sz w:val="20"/>
              </w:rPr>
              <w:t xml:space="preserve">Tenencia del BCRA, % del PIB: nominal piso</w:t>
            </w:r>
          </w:p>
        </w:tc>
        <w:tc>
          <w:tcPr/>
          <w:p>
            <w:pPr>
              <w:pStyle w:val="Compact"/>
            </w:pPr>
            <w:r>
              <w:rPr>
                <w:rFonts w:ascii="Calibri" w:hAnsi="Calibri"/>
                <w:sz w:val="20"/>
              </w:rPr>
              <w:t xml:space="preserve">48,6</w:t>
            </w:r>
          </w:p>
        </w:tc>
        <w:tc>
          <w:tcPr/>
          <w:p>
            <w:pPr>
              <w:pStyle w:val="Compact"/>
            </w:pPr>
            <w:r>
              <w:rPr>
                <w:rFonts w:ascii="Calibri" w:hAnsi="Calibri"/>
                <w:sz w:val="20"/>
              </w:rPr>
              <w:t xml:space="preserve">20,4</w:t>
            </w:r>
          </w:p>
        </w:tc>
      </w:tr>
    </w:tbl>
    <w:p>
      <w:pPr>
        <w:pStyle w:val="BodyText"/>
      </w:pPr>
      <w:r>
        <w:t xml:space="preserve">En 2023 la columna contable de moneda extranjera incluye otros créditos en dólares, por lo que supera al nominal de las Letras, y el piso conserva el valor de libros. Es la razón de que la variante estricta empeore 2023 (128,2). En 2024 el nominal de las Letras supera en 40,7 mil millones de USD a toda la tenencia en moneda extranjera que registra el Balance, y la tenencia sube 7,2 puntos del PIB. Eso confirma que el valor contable subestima la tenencia en 2024.</w:t>
      </w:r>
    </w:p>
    <w:bookmarkEnd w:id="75"/>
    <w:bookmarkEnd w:id="76"/>
    <w:bookmarkStart w:id="81" w:name="X53893ea74fc765be5bc0650fe40c4402adf70cb"/>
    <w:p>
      <w:pPr>
        <w:pStyle w:val="Heading2"/>
      </w:pPr>
      <w:r>
        <w:t xml:space="preserve">5.9 La diferencia con el FGS-ANSES y otras limitaciones de la deuda neta</w:t>
      </w:r>
    </w:p>
    <w:bookmarkStart w:id="77" w:name="dos-conceptos-distintos"/>
    <w:p>
      <w:pPr>
        <w:pStyle w:val="Heading3"/>
      </w:pPr>
      <w:r>
        <w:t xml:space="preserve">5.9.1 Dos conceptos distintos</w:t>
      </w:r>
    </w:p>
    <w:p>
      <w:pPr>
        <w:pStyle w:val="FirstParagraph"/>
      </w:pPr>
      <w:r>
        <w:t xml:space="preserve">La consolidación con el banco central (FMI, 2021) y la exclusión de las tenencias intra-públicas son operaciones distintas.</w:t>
      </w:r>
    </w:p>
    <w:p>
      <w:pPr>
        <w:pStyle w:val="Compact"/>
        <w:numPr>
          <w:ilvl w:val="0"/>
          <w:numId w:val="1014"/>
        </w:numPr>
      </w:pPr>
      <w:r>
        <w:rPr>
          <w:b/>
          <w:bCs/>
        </w:rPr>
        <w:t xml:space="preserve">Consolidación con el banco central.</w:t>
      </w:r>
      <w:r>
        <w:t xml:space="preserve"> </w:t>
      </w:r>
      <w:r>
        <w:t xml:space="preserve">Se netean los créditos del BCRA contra el Tesoro y se suman los pasivos de deuda del BCRA. Cambia el perímetro hacia el sector público ampliado con el banco central. Es lo que implementa la serie de esta tesis.</w:t>
      </w:r>
    </w:p>
    <w:p>
      <w:pPr>
        <w:pStyle w:val="Compact"/>
        <w:numPr>
          <w:ilvl w:val="0"/>
          <w:numId w:val="1014"/>
        </w:numPr>
      </w:pPr>
      <w:r>
        <w:rPr>
          <w:b/>
          <w:bCs/>
        </w:rPr>
        <w:t xml:space="preserve">Exclusión de tenencias intra-públicas.</w:t>
      </w:r>
      <w:r>
        <w:t xml:space="preserve"> </w:t>
      </w:r>
      <w:r>
        <w:t xml:space="preserve">Se resta de la deuda del Tesoro la parte cuyo acreedor es otra entidad pública (el FGS-ANSES, organismos de la seguridad social, bancos públicos). El FMI (2025, Annex II, Table 2) lo aplica en la línea 3,</w:t>
      </w:r>
      <w:r>
        <w:t xml:space="preserve"> </w:t>
      </w:r>
      <w:r>
        <w:t xml:space="preserve">“Deuda del Tesoro intra-sector público (BCRA y FGS)”</w:t>
      </w:r>
      <w:r>
        <w:t xml:space="preserve">.</w:t>
      </w:r>
    </w:p>
    <w:p>
      <w:pPr>
        <w:pStyle w:val="FirstParagraph"/>
      </w:pPr>
      <w:r>
        <w:t xml:space="preserve">Nuestra serie netea el BCRA, ahora a valor nominal, pero</w:t>
      </w:r>
      <w:r>
        <w:t xml:space="preserve"> </w:t>
      </w:r>
      <w:r>
        <w:rPr>
          <w:b/>
          <w:bCs/>
        </w:rPr>
        <w:t xml:space="preserve">no netea las tenencias del FGS-ANSES ni las de otros tenedores públicos</w:t>
      </w:r>
      <w:r>
        <w:t xml:space="preserve">. No se trata de una omisión por criterio, sino de falta de datos.</w:t>
      </w:r>
    </w:p>
    <w:bookmarkEnd w:id="77"/>
    <w:bookmarkStart w:id="78" w:name="por-qué-no-se-pudo-incluir"/>
    <w:p>
      <w:pPr>
        <w:pStyle w:val="Heading3"/>
      </w:pPr>
      <w:r>
        <w:t xml:space="preserve">5.9.2 Por qué no se pudo incluir</w:t>
      </w:r>
    </w:p>
    <w:p>
      <w:pPr>
        <w:pStyle w:val="FirstParagraph"/>
      </w:pPr>
      <w:r>
        <w:t xml:space="preserve">La serie de tenencias del FGS se publica en el Informe Estadístico Mensual y en los Anuarios del FGS de ANSES. El sitio de ANSES bloquea las descargas automatizadas con una protección anti-bot (HTTP 403). Los archivos guardados como</w:t>
      </w:r>
      <w:r>
        <w:t xml:space="preserve"> </w:t>
      </w:r>
      <w:r>
        <w:rPr>
          <w:rStyle w:val="VerbatimChar"/>
        </w:rPr>
        <w:t xml:space="preserve">datos/crudos/deuda_consolidada_neta/fgs_anuario2024.pdf</w:t>
      </w:r>
      <w:r>
        <w:t xml:space="preserve"> </w:t>
      </w:r>
      <w:r>
        <w:t xml:space="preserve">y</w:t>
      </w:r>
      <w:r>
        <w:t xml:space="preserve"> </w:t>
      </w:r>
      <w:r>
        <w:rPr>
          <w:rStyle w:val="VerbatimChar"/>
        </w:rPr>
        <w:t xml:space="preserve">p.html</w:t>
      </w:r>
      <w:r>
        <w:t xml:space="preserve"> </w:t>
      </w:r>
      <w:r>
        <w:t xml:space="preserve">son páginas HTML de bloqueo de 880 bytes, no el documento. Ninguna cifra del FGS está en los CSV (</w:t>
      </w:r>
      <w:r>
        <w:rPr>
          <w:rStyle w:val="VerbatimChar"/>
        </w:rPr>
        <w:t xml:space="preserve">tenencia_fgs_tesoro_pib</w:t>
      </w:r>
      <w:r>
        <w:t xml:space="preserve"> </w:t>
      </w:r>
      <w:r>
        <w:t xml:space="preserve">es vacía en las 120 filas,</w:t>
      </w:r>
      <w:r>
        <w:t xml:space="preserve"> </w:t>
      </w:r>
      <w:r>
        <w:rPr>
          <w:rStyle w:val="VerbatimChar"/>
        </w:rPr>
        <w:t xml:space="preserve">flag_fgs_faltante = 1</w:t>
      </w:r>
      <w:r>
        <w:t xml:space="preserve">). El MECON no ofrece una apertura trimestral por tenedor sectorial (la hoja A.4.5 clasifica por residencia), y el FMI da las tenencias solo para 2023-2026. Aproximar con una cifra no verificada violaría la regla de no fabricar datos.</w:t>
      </w:r>
    </w:p>
    <w:bookmarkEnd w:id="78"/>
    <w:bookmarkStart w:id="79" w:name="magnitud-y-dirección-del-sesgo"/>
    <w:p>
      <w:pPr>
        <w:pStyle w:val="Heading3"/>
      </w:pPr>
      <w:r>
        <w:t xml:space="preserve">5.9.3 Magnitud y dirección del sesgo</w:t>
      </w:r>
    </w:p>
    <w:p>
      <w:pPr>
        <w:pStyle w:val="Compact"/>
        <w:numPr>
          <w:ilvl w:val="0"/>
          <w:numId w:val="1015"/>
        </w:numPr>
      </w:pPr>
      <w:r>
        <w:rPr>
          <w:b/>
          <w:bCs/>
        </w:rPr>
        <w:t xml:space="preserve">Brecha 2023 y 2024.</w:t>
      </w:r>
      <w:r>
        <w:t xml:space="preserve"> </w:t>
      </w:r>
      <w:r>
        <w:t xml:space="preserve">El FMI resta 62,5 puntos del PIB en 2023 y 33,9 en 2024 por tenencias del BCRA y del FGS. Nosotros restamos 48,6 y 20,4 (solo BCRA, nominal). La diferencia es 13,9 y 13,5 puntos, y se traslada a la deuda neta: nuestra serie está por encima de la del FMI en 8,2 y 9,6 puntos (tabla 5.8.2), una vez compensadas las diferencias menores de bruta y pasivos.</w:t>
      </w:r>
    </w:p>
    <w:p>
      <w:pPr>
        <w:pStyle w:val="Compact"/>
        <w:numPr>
          <w:ilvl w:val="0"/>
          <w:numId w:val="1015"/>
        </w:numPr>
      </w:pPr>
      <w:r>
        <w:rPr>
          <w:b/>
          <w:bCs/>
        </w:rPr>
        <w:t xml:space="preserve">Qué parte es valuación.</w:t>
      </w:r>
      <w:r>
        <w:t xml:space="preserve"> </w:t>
      </w:r>
      <w:r>
        <w:t xml:space="preserve">Con la tenencia del BCRA a valor nominal, la valuación deja de ser una fuente de brecha en 2024: la brecha de la neta pasa de 16,8 a 9,6 puntos. Lo que resta (13,9 puntos en 2023 y 13,5 en 2024 en la línea 3) es un residuo que incluye al FGS, a otros tenedores públicos y a diferencias de cobertura.</w:t>
      </w:r>
      <w:r>
        <w:t xml:space="preserve"> </w:t>
      </w:r>
      <w:r>
        <w:rPr>
          <w:b/>
          <w:bCs/>
        </w:rPr>
        <w:t xml:space="preserve">No se puede asignar entre ellos con los datos disponibles.</w:t>
      </w:r>
      <w:r>
        <w:t xml:space="preserve"> </w:t>
      </w:r>
      <w:r>
        <w:t xml:space="preserve">La estabilidad de ese residuo entre 2023 y 2024 (13,9 y 13,5) es compatible con un componente de nivel relativamente constante, aunque con dos observaciones no es una prueba.</w:t>
      </w:r>
    </w:p>
    <w:p>
      <w:pPr>
        <w:pStyle w:val="Compact"/>
        <w:numPr>
          <w:ilvl w:val="0"/>
          <w:numId w:val="1015"/>
        </w:numPr>
      </w:pPr>
      <w:r>
        <w:rPr>
          <w:b/>
          <w:bCs/>
        </w:rPr>
        <w:t xml:space="preserve">Desde cuándo.</w:t>
      </w:r>
      <w:r>
        <w:t xml:space="preserve"> </w:t>
      </w:r>
      <w:r>
        <w:t xml:space="preserve">El FGS se crea por el Decreto 897/2007, dictado el 12 de julio de 2007 y publicado el 13 de julio de 2007 en el Boletín Oficial (Poder Ejecutivo Nacional, 2007, según la base normativa de la AFIP). Su importancia creció tras la incorporación de los fondos de las AFJP en 2008 (Decreto 2103/2008). Por eso,</w:t>
      </w:r>
      <w:r>
        <w:t xml:space="preserve"> </w:t>
      </w:r>
      <w:r>
        <w:rPr>
          <w:b/>
          <w:bCs/>
        </w:rPr>
        <w:t xml:space="preserve">desde 2007T3 nuestra serie neta es una cota superior de la neta del FMI</w:t>
      </w:r>
      <w:r>
        <w:t xml:space="preserve">. Antes de esa fecha el FGS no existe como tenedor, y los 46 trimestres de 1996T1 a 2007T2 tienen todos los componentes (bandera</w:t>
      </w:r>
      <w:r>
        <w:t xml:space="preserve"> </w:t>
      </w:r>
      <w:r>
        <w:rPr>
          <w:rStyle w:val="VerbatimChar"/>
        </w:rPr>
        <w:t xml:space="preserve">comparable_fmi = 1</w:t>
      </w:r>
      <w:r>
        <w:t xml:space="preserve">). Para ese tramo no hay cifra del FMI con la que contrastar.</w:t>
      </w:r>
    </w:p>
    <w:p>
      <w:pPr>
        <w:pStyle w:val="Compact"/>
        <w:numPr>
          <w:ilvl w:val="0"/>
          <w:numId w:val="1015"/>
        </w:numPr>
      </w:pPr>
      <w:r>
        <w:rPr>
          <w:b/>
          <w:bCs/>
        </w:rPr>
        <w:t xml:space="preserve">Otras fuentes de brecha y su signo.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Fuente</w:t>
            </w:r>
          </w:p>
        </w:tc>
        <w:tc>
          <w:tcPr/>
          <w:p>
            <w:pPr>
              <w:pStyle w:val="Compact"/>
            </w:pPr>
            <w:r>
              <w:rPr>
                <w:rFonts w:ascii="Calibri" w:hAnsi="Calibri"/>
                <w:sz w:val="20"/>
              </w:rPr>
              <w:t xml:space="preserve">Efecto sobre nuestra deuda neta</w:t>
            </w:r>
          </w:p>
        </w:tc>
      </w:tr>
      <w:tr>
        <w:tc>
          <w:tcPr/>
          <w:p>
            <w:pPr>
              <w:pStyle w:val="Compact"/>
            </w:pPr>
            <w:r>
              <w:rPr>
                <w:rFonts w:ascii="Calibri" w:hAnsi="Calibri"/>
                <w:sz w:val="20"/>
              </w:rPr>
              <w:t xml:space="preserve">FGS-ANSES y otros tenedores públicos sin netear</w:t>
            </w:r>
          </w:p>
        </w:tc>
        <w:tc>
          <w:tcPr/>
          <w:p>
            <w:pPr>
              <w:pStyle w:val="Compact"/>
            </w:pPr>
            <w:r>
              <w:rPr>
                <w:rFonts w:ascii="Calibri" w:hAnsi="Calibri"/>
                <w:sz w:val="20"/>
              </w:rPr>
              <w:t xml:space="preserve">Sobreestima</w:t>
            </w:r>
          </w:p>
        </w:tc>
      </w:tr>
      <w:tr>
        <w:tc>
          <w:tcPr/>
          <w:p>
            <w:pPr>
              <w:pStyle w:val="Compact"/>
            </w:pPr>
            <w:r>
              <w:rPr>
                <w:rFonts w:ascii="Calibri" w:hAnsi="Calibri"/>
                <w:sz w:val="20"/>
              </w:rPr>
              <w:t xml:space="preserve">Letras Intransferibles interpoladas o reconstruidas entre anclas (24 y 32 trimestres)</w:t>
            </w:r>
          </w:p>
        </w:tc>
        <w:tc>
          <w:tcPr/>
          <w:p>
            <w:pPr>
              <w:pStyle w:val="Compact"/>
            </w:pPr>
            <w:r>
              <w:rPr>
                <w:rFonts w:ascii="Calibri" w:hAnsi="Calibri"/>
                <w:sz w:val="20"/>
              </w:rPr>
              <w:t xml:space="preserve">Ruido sin signo definido</w:t>
            </w:r>
          </w:p>
        </w:tc>
      </w:tr>
      <w:tr>
        <w:tc>
          <w:tcPr/>
          <w:p>
            <w:pPr>
              <w:pStyle w:val="Compact"/>
            </w:pPr>
            <w:r>
              <w:rPr>
                <w:rFonts w:ascii="Calibri" w:hAnsi="Calibri"/>
                <w:sz w:val="20"/>
              </w:rPr>
              <w:t xml:space="preserve">Trimestres sin dato nominal (hasta 2005T4), con valor de libros</w:t>
            </w:r>
          </w:p>
        </w:tc>
        <w:tc>
          <w:tcPr/>
          <w:p>
            <w:pPr>
              <w:pStyle w:val="Compact"/>
            </w:pPr>
            <w:r>
              <w:rPr>
                <w:rFonts w:ascii="Calibri" w:hAnsi="Calibri"/>
                <w:sz w:val="20"/>
              </w:rPr>
              <w:t xml:space="preserve">Sin efecto relevante, las Letras no existían</w:t>
            </w:r>
          </w:p>
        </w:tc>
      </w:tr>
      <w:tr>
        <w:tc>
          <w:tcPr/>
          <w:p>
            <w:pPr>
              <w:pStyle w:val="Compact"/>
            </w:pPr>
            <w:r>
              <w:rPr>
                <w:rFonts w:ascii="Calibri" w:hAnsi="Calibri"/>
                <w:sz w:val="20"/>
              </w:rPr>
              <w:t xml:space="preserve">Swap con el PBoC activado omitido (desde 2020)</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Pases en neto, con trimestres negativos (2024T3-2025T1)</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Bruta del MECON excluye intereses capitalizados,</w:t>
            </w:r>
            <w:r>
              <w:rPr>
                <w:rFonts w:ascii="Calibri" w:hAnsi="Calibri"/>
                <w:sz w:val="20"/>
              </w:rPr>
              <w:t xml:space="preserve"> </w:t>
            </w:r>
            <w:r>
              <w:rPr>
                <w:rFonts w:ascii="Calibri" w:hAnsi="Calibri"/>
                <w:i/>
                <w:iCs/>
                <w:sz w:val="20"/>
              </w:rPr>
              <w:t xml:space="preserve">holdouts</w:t>
            </w:r>
            <w:r>
              <w:rPr>
                <w:rFonts w:ascii="Calibri" w:hAnsi="Calibri"/>
                <w:sz w:val="20"/>
              </w:rPr>
              <w:t xml:space="preserve"> </w:t>
            </w:r>
            <w:r>
              <w:rPr>
                <w:rFonts w:ascii="Calibri" w:hAnsi="Calibri"/>
                <w:sz w:val="20"/>
              </w:rPr>
              <w:t xml:space="preserve">y cupón PIB</w:t>
            </w:r>
          </w:p>
        </w:tc>
        <w:tc>
          <w:tcPr/>
          <w:p>
            <w:pPr>
              <w:pStyle w:val="Compact"/>
            </w:pPr>
            <w:r>
              <w:rPr>
                <w:rFonts w:ascii="Calibri" w:hAnsi="Calibri"/>
                <w:sz w:val="20"/>
              </w:rPr>
              <w:t xml:space="preserve">Subestima</w:t>
            </w:r>
          </w:p>
        </w:tc>
      </w:tr>
    </w:tbl>
    <w:p>
      <w:pPr>
        <w:pStyle w:val="BodyText"/>
      </w:pPr>
      <w:r>
        <w:t xml:space="preserve">El balance de las fuentes es una sobreestimación en 2023 y 2024 y probablemente en todo 2007-2025, de entre 8 y 10 puntos del PIB en esos dos años de control.</w:t>
      </w:r>
    </w:p>
    <w:bookmarkEnd w:id="79"/>
    <w:bookmarkStart w:id="80" w:name="cómo-se-trata-en-el-análisis"/>
    <w:p>
      <w:pPr>
        <w:pStyle w:val="Heading3"/>
      </w:pPr>
      <w:r>
        <w:t xml:space="preserve">5.9.4 Cómo se trata en el análisis</w:t>
      </w:r>
    </w:p>
    <w:p>
      <w:pPr>
        <w:pStyle w:val="FirstParagraph"/>
      </w:pPr>
      <w:r>
        <w:t xml:space="preserve">La serie se presenta como</w:t>
      </w:r>
      <w:r>
        <w:t xml:space="preserve"> </w:t>
      </w:r>
      <w:r>
        <w:rPr>
          <w:b/>
          <w:bCs/>
        </w:rPr>
        <w:t xml:space="preserve">deuda neta consolidada con el BCRA, a valor nominal, sin neteo del FGS</w:t>
      </w:r>
      <w:r>
        <w:t xml:space="preserve">, y no como</w:t>
      </w:r>
      <w:r>
        <w:t xml:space="preserve"> </w:t>
      </w:r>
      <w:r>
        <w:t xml:space="preserve">“la deuda neta del FMI”</w:t>
      </w:r>
      <w:r>
        <w:t xml:space="preserve">. En el modelo entra rezagada y cumple una función de retroalimentación, de modo que la corrección de nivel no cambia la dinámica si la brecha es aproximadamente estable. Con la valuación nominal la brecha pasa de 8,2 a 9,6 puntos entre 2023 y 2024, una variación de 1,4 puntos, frente a los 8,6 puntos (de 8,2 a 16,8) que tenía con valor de libros. La condición de brecha estable se cumple mucho mejor que antes. El sistema se estima además con la deuda neta a valor de libros y con la deuda bruta como series de contraste (</w:t>
      </w:r>
      <w:r>
        <w:rPr>
          <w:rStyle w:val="VerbatimChar"/>
        </w:rPr>
        <w:t xml:space="preserve">deuda_consolidada_neta_1996_2025.csv</w:t>
      </w:r>
      <w:r>
        <w:t xml:space="preserve"> </w:t>
      </w:r>
      <w:r>
        <w:t xml:space="preserve">y</w:t>
      </w:r>
      <w:r>
        <w:t xml:space="preserve"> </w:t>
      </w:r>
      <w:r>
        <w:rPr>
          <w:rStyle w:val="VerbatimChar"/>
        </w:rPr>
        <w:t xml:space="preserve">deuda_consolidada_1996_2025.csv</w:t>
      </w:r>
      <w:r>
        <w:t xml:space="preserve">), de modo que la conclusión pueda evaluarse con tres medidas. El cierre de la brecha restante exige dos insumos: las series de tenencias del FGS en ANSES (descarga manual) y el saldo del swap activado (estados contables del BCRA).</w:t>
      </w:r>
    </w:p>
    <w:bookmarkEnd w:id="80"/>
    <w:bookmarkEnd w:id="81"/>
    <w:bookmarkStart w:id="82" w:name="estadísticos-descriptivos"/>
    <w:p>
      <w:pPr>
        <w:pStyle w:val="Heading2"/>
      </w:pPr>
      <w:r>
        <w:t xml:space="preserve">5.10 Estadísticos descriptivos</w:t>
      </w:r>
    </w:p>
    <w:p>
      <w:pPr>
        <w:pStyle w:val="FirstParagraph"/>
      </w:pPr>
      <w:r>
        <w:t xml:space="preserve">Muestra 1996T1-2025T4 (120 trimestres). El crecimiento y la variación de la Fed pierden una observación por la primera diferencia; la muestra efectiva del sistema son 117 trimestres (1996T4-2025T4). Las variables del sistema de estimación son las filas 1, 6 y 8 a 12 (el resultado primario en su versión</w:t>
      </w:r>
      <w:r>
        <w:t xml:space="preserve"> </w:t>
      </w:r>
      <w:r>
        <w:rPr>
          <w:rStyle w:val="VerbatimChar"/>
        </w:rPr>
        <w:t xml:space="preserve">pb_pib_trim</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 est.</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c>
          <w:tcPr/>
          <w:p>
            <w:pPr>
              <w:pStyle w:val="Compact"/>
            </w:pPr>
            <w:r>
              <w:rPr>
                <w:rFonts w:ascii="Calibri" w:hAnsi="Calibri"/>
                <w:sz w:val="20"/>
              </w:rPr>
              <w:t xml:space="preserve">n</w:t>
            </w:r>
          </w:p>
        </w:tc>
      </w:tr>
      <w:tr>
        <w:tc>
          <w:tcPr/>
          <w:p>
            <w:pPr>
              <w:pStyle w:val="Compact"/>
            </w:pPr>
            <w:r>
              <w:rPr>
                <w:rFonts w:ascii="Calibri" w:hAnsi="Calibri"/>
                <w:sz w:val="20"/>
              </w:rPr>
              <w:t xml:space="preserve">Deuda consolidada neta, nominal piso (% PIB)</w:t>
            </w:r>
          </w:p>
        </w:tc>
        <w:tc>
          <w:tcPr/>
          <w:p>
            <w:pPr>
              <w:pStyle w:val="Compact"/>
            </w:pPr>
            <w:r>
              <w:rPr>
                <w:rFonts w:ascii="Calibri" w:hAnsi="Calibri"/>
                <w:sz w:val="20"/>
              </w:rPr>
              <w:t xml:space="preserve">55,97</w:t>
            </w:r>
          </w:p>
        </w:tc>
        <w:tc>
          <w:tcPr/>
          <w:p>
            <w:pPr>
              <w:pStyle w:val="Compact"/>
            </w:pPr>
            <w:r>
              <w:rPr>
                <w:rFonts w:ascii="Calibri" w:hAnsi="Calibri"/>
                <w:sz w:val="20"/>
              </w:rPr>
              <w:t xml:space="preserve">26,89</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consolidada neta, valor de libros (% PIB)</w:t>
            </w:r>
          </w:p>
        </w:tc>
        <w:tc>
          <w:tcPr/>
          <w:p>
            <w:pPr>
              <w:pStyle w:val="Compact"/>
            </w:pPr>
            <w:r>
              <w:rPr>
                <w:rFonts w:ascii="Calibri" w:hAnsi="Calibri"/>
                <w:sz w:val="20"/>
              </w:rPr>
              <w:t xml:space="preserve">56,55</w:t>
            </w:r>
          </w:p>
        </w:tc>
        <w:tc>
          <w:tcPr/>
          <w:p>
            <w:pPr>
              <w:pStyle w:val="Compact"/>
            </w:pPr>
            <w:r>
              <w:rPr>
                <w:rFonts w:ascii="Calibri" w:hAnsi="Calibri"/>
                <w:sz w:val="20"/>
              </w:rPr>
              <w:t xml:space="preserve">27,15</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federal bruta (% PIB)</w:t>
            </w:r>
          </w:p>
        </w:tc>
        <w:tc>
          <w:tcPr/>
          <w:p>
            <w:pPr>
              <w:pStyle w:val="Compact"/>
            </w:pPr>
            <w:r>
              <w:rPr>
                <w:rFonts w:ascii="Calibri" w:hAnsi="Calibri"/>
                <w:sz w:val="20"/>
              </w:rPr>
              <w:t xml:space="preserve">64,37</w:t>
            </w:r>
          </w:p>
        </w:tc>
        <w:tc>
          <w:tcPr/>
          <w:p>
            <w:pPr>
              <w:pStyle w:val="Compact"/>
            </w:pPr>
            <w:r>
              <w:rPr>
                <w:rFonts w:ascii="Calibri" w:hAnsi="Calibri"/>
                <w:sz w:val="20"/>
              </w:rPr>
              <w:t xml:space="preserve">31,45</w:t>
            </w:r>
          </w:p>
        </w:tc>
        <w:tc>
          <w:tcPr/>
          <w:p>
            <w:pPr>
              <w:pStyle w:val="Compact"/>
            </w:pPr>
            <w:r>
              <w:rPr>
                <w:rFonts w:ascii="Calibri" w:hAnsi="Calibri"/>
                <w:sz w:val="20"/>
              </w:rPr>
              <w:t xml:space="preserve">31,86</w:t>
            </w:r>
          </w:p>
        </w:tc>
        <w:tc>
          <w:tcPr/>
          <w:p>
            <w:pPr>
              <w:pStyle w:val="Compact"/>
            </w:pPr>
            <w:r>
              <w:rPr>
                <w:rFonts w:ascii="Calibri" w:hAnsi="Calibri"/>
                <w:sz w:val="20"/>
              </w:rPr>
              <w:t xml:space="preserve">154,59</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Tenencia del BCRA de deuda del Tesoro, nominal piso (% PIB)</w:t>
            </w:r>
          </w:p>
        </w:tc>
        <w:tc>
          <w:tcPr/>
          <w:p>
            <w:pPr>
              <w:pStyle w:val="Compact"/>
            </w:pPr>
            <w:r>
              <w:rPr>
                <w:rFonts w:ascii="Calibri" w:hAnsi="Calibri"/>
                <w:sz w:val="20"/>
              </w:rPr>
              <w:t xml:space="preserve">12,98</w:t>
            </w:r>
          </w:p>
        </w:tc>
        <w:tc>
          <w:tcPr/>
          <w:p>
            <w:pPr>
              <w:pStyle w:val="Compact"/>
            </w:pPr>
            <w:r>
              <w:rPr>
                <w:rFonts w:ascii="Calibri" w:hAnsi="Calibri"/>
                <w:sz w:val="20"/>
              </w:rPr>
              <w:t xml:space="preserve">8,07</w:t>
            </w:r>
          </w:p>
        </w:tc>
        <w:tc>
          <w:tcPr/>
          <w:p>
            <w:pPr>
              <w:pStyle w:val="Compact"/>
            </w:pPr>
            <w:r>
              <w:rPr>
                <w:rFonts w:ascii="Calibri" w:hAnsi="Calibri"/>
                <w:sz w:val="20"/>
              </w:rPr>
              <w:t xml:space="preserve">1,82</w:t>
            </w:r>
          </w:p>
        </w:tc>
        <w:tc>
          <w:tcPr/>
          <w:p>
            <w:pPr>
              <w:pStyle w:val="Compact"/>
            </w:pPr>
            <w:r>
              <w:rPr>
                <w:rFonts w:ascii="Calibri" w:hAnsi="Calibri"/>
                <w:sz w:val="20"/>
              </w:rPr>
              <w:t xml:space="preserve">48,57</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Pasivos remunerados del BCRA (% PIB)</w:t>
            </w:r>
          </w:p>
        </w:tc>
        <w:tc>
          <w:tcPr/>
          <w:p>
            <w:pPr>
              <w:pStyle w:val="Compact"/>
            </w:pPr>
            <w:r>
              <w:rPr>
                <w:rFonts w:ascii="Calibri" w:hAnsi="Calibri"/>
                <w:sz w:val="20"/>
              </w:rPr>
              <w:t xml:space="preserve">5,22</w:t>
            </w:r>
          </w:p>
        </w:tc>
        <w:tc>
          <w:tcPr/>
          <w:p>
            <w:pPr>
              <w:pStyle w:val="Compact"/>
            </w:pPr>
            <w:r>
              <w:rPr>
                <w:rFonts w:ascii="Calibri" w:hAnsi="Calibri"/>
                <w:sz w:val="20"/>
              </w:rPr>
              <w:t xml:space="preserve">3,53</w:t>
            </w:r>
          </w:p>
        </w:tc>
        <w:tc>
          <w:tcPr/>
          <w:p>
            <w:pPr>
              <w:pStyle w:val="Compact"/>
            </w:pPr>
            <w:r>
              <w:rPr>
                <w:rFonts w:ascii="Calibri" w:hAnsi="Calibri"/>
                <w:sz w:val="20"/>
              </w:rPr>
              <w:t xml:space="preserve">−2,29</w:t>
            </w:r>
          </w:p>
        </w:tc>
        <w:tc>
          <w:tcPr/>
          <w:p>
            <w:pPr>
              <w:pStyle w:val="Compact"/>
            </w:pPr>
            <w:r>
              <w:rPr>
                <w:rFonts w:ascii="Calibri" w:hAnsi="Calibri"/>
                <w:sz w:val="20"/>
              </w:rPr>
              <w:t xml:space="preserve">14,58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flujo trimestral anualizado,</w:t>
            </w:r>
            <w:r>
              <w:rPr>
                <w:rFonts w:ascii="Calibri" w:hAnsi="Calibri"/>
                <w:sz w:val="20"/>
              </w:rPr>
              <w:t xml:space="preserve"> </w:t>
            </w:r>
            <w:r>
              <w:rPr>
                <w:rStyle w:val="VerbatimChar"/>
                <w:rFonts w:ascii="Calibri" w:hAnsi="Calibri"/>
                <w:sz w:val="20"/>
              </w:rPr>
              <w:t xml:space="preserve">pb_pib_trim</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−0,02</w:t>
            </w:r>
          </w:p>
        </w:tc>
        <w:tc>
          <w:tcPr/>
          <w:p>
            <w:pPr>
              <w:pStyle w:val="Compact"/>
            </w:pPr>
            <w:r>
              <w:rPr>
                <w:rFonts w:ascii="Calibri" w:hAnsi="Calibri"/>
                <w:sz w:val="20"/>
              </w:rPr>
              <w:t xml:space="preserve">3,11</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suma de cuatro trimestres,</w:t>
            </w:r>
            <w:r>
              <w:rPr>
                <w:rFonts w:ascii="Calibri" w:hAnsi="Calibri"/>
                <w:sz w:val="20"/>
              </w:rPr>
              <w:t xml:space="preserve"> </w:t>
            </w:r>
            <w:r>
              <w:rPr>
                <w:rStyle w:val="VerbatimChar"/>
                <w:rFonts w:ascii="Calibri" w:hAnsi="Calibri"/>
                <w:sz w:val="20"/>
              </w:rPr>
              <w:t xml:space="preserve">pb_pib</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0,05</w:t>
            </w:r>
          </w:p>
        </w:tc>
        <w:tc>
          <w:tcPr/>
          <w:p>
            <w:pPr>
              <w:pStyle w:val="Compact"/>
            </w:pPr>
            <w:r>
              <w:rPr>
                <w:rFonts w:ascii="Calibri" w:hAnsi="Calibri"/>
                <w:sz w:val="20"/>
              </w:rPr>
              <w:t xml:space="preserve">2,34</w:t>
            </w:r>
          </w:p>
        </w:tc>
        <w:tc>
          <w:tcPr/>
          <w:p>
            <w:pPr>
              <w:pStyle w:val="Compact"/>
            </w:pPr>
            <w:r>
              <w:rPr>
                <w:rFonts w:ascii="Calibri" w:hAnsi="Calibri"/>
                <w:sz w:val="20"/>
              </w:rPr>
              <w:t xml:space="preserve">−6,43</w:t>
            </w:r>
          </w:p>
        </w:tc>
        <w:tc>
          <w:tcPr/>
          <w:p>
            <w:pPr>
              <w:pStyle w:val="Compact"/>
            </w:pPr>
            <w:r>
              <w:rPr>
                <w:rFonts w:ascii="Calibri" w:hAnsi="Calibri"/>
                <w:sz w:val="20"/>
              </w:rPr>
              <w:t xml:space="preserve">3,93</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Crecimiento real del PIB (pp trimestral, 100·Δln)</w:t>
            </w:r>
          </w:p>
        </w:tc>
        <w:tc>
          <w:tcPr/>
          <w:p>
            <w:pPr>
              <w:pStyle w:val="Compact"/>
            </w:pPr>
            <w:r>
              <w:rPr>
                <w:rFonts w:ascii="Calibri" w:hAnsi="Calibri"/>
                <w:sz w:val="20"/>
              </w:rPr>
              <w:t xml:space="preserve">0,48</w:t>
            </w:r>
          </w:p>
        </w:tc>
        <w:tc>
          <w:tcPr/>
          <w:p>
            <w:pPr>
              <w:pStyle w:val="Compact"/>
            </w:pPr>
            <w:r>
              <w:rPr>
                <w:rFonts w:ascii="Calibri" w:hAnsi="Calibri"/>
                <w:sz w:val="20"/>
              </w:rPr>
              <w:t xml:space="preserve">7,29</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EMBI+ (pb)</w:t>
            </w:r>
          </w:p>
        </w:tc>
        <w:tc>
          <w:tcPr/>
          <w:p>
            <w:pPr>
              <w:pStyle w:val="Compact"/>
            </w:pPr>
            <w:r>
              <w:rPr>
                <w:rFonts w:ascii="Calibri" w:hAnsi="Calibri"/>
                <w:sz w:val="20"/>
              </w:rPr>
              <w:t xml:space="preserve">1483,95</w:t>
            </w:r>
          </w:p>
        </w:tc>
        <w:tc>
          <w:tcPr/>
          <w:p>
            <w:pPr>
              <w:pStyle w:val="Compact"/>
            </w:pPr>
            <w:r>
              <w:rPr>
                <w:rFonts w:ascii="Calibri" w:hAnsi="Calibri"/>
                <w:sz w:val="20"/>
              </w:rPr>
              <w:t xml:space="preserve">1573,84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TCRM (dic. 2001 = 1)</w:t>
            </w:r>
          </w:p>
        </w:tc>
        <w:tc>
          <w:tcPr/>
          <w:p>
            <w:pPr>
              <w:pStyle w:val="Compact"/>
            </w:pPr>
            <w:r>
              <w:rPr>
                <w:rFonts w:ascii="Calibri" w:hAnsi="Calibri"/>
                <w:sz w:val="20"/>
              </w:rPr>
              <w:t xml:space="preserve">1,63</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Tasa de política de la Fed (%)</w:t>
            </w:r>
          </w:p>
        </w:tc>
        <w:tc>
          <w:tcPr/>
          <w:p>
            <w:pPr>
              <w:pStyle w:val="Compact"/>
            </w:pPr>
            <w:r>
              <w:rPr>
                <w:rFonts w:ascii="Calibri" w:hAnsi="Calibri"/>
                <w:sz w:val="20"/>
              </w:rPr>
              <w:t xml:space="preserve">2,08</w:t>
            </w:r>
          </w:p>
        </w:tc>
        <w:tc>
          <w:tcPr/>
          <w:p>
            <w:pPr>
              <w:pStyle w:val="Compact"/>
            </w:pPr>
            <w:r>
              <w:rPr>
                <w:rFonts w:ascii="Calibri" w:hAnsi="Calibri"/>
                <w:sz w:val="20"/>
              </w:rPr>
              <w:t xml:space="preserve">2,67</w:t>
            </w:r>
          </w:p>
        </w:tc>
        <w:tc>
          <w:tcPr/>
          <w:p>
            <w:pPr>
              <w:pStyle w:val="Compact"/>
            </w:pPr>
            <w:r>
              <w:rPr>
                <w:rFonts w:ascii="Calibri" w:hAnsi="Calibri"/>
                <w:sz w:val="20"/>
              </w:rPr>
              <w:t xml:space="preserve">−2,92</w:t>
            </w:r>
          </w:p>
        </w:tc>
        <w:tc>
          <w:tcPr/>
          <w:p>
            <w:pPr>
              <w:pStyle w:val="Compact"/>
            </w:pPr>
            <w:r>
              <w:rPr>
                <w:rFonts w:ascii="Calibri" w:hAnsi="Calibri"/>
                <w:sz w:val="20"/>
              </w:rPr>
              <w:t xml:space="preserve">6,52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Variación de la tasa de la Fed (pp)</w:t>
            </w:r>
          </w:p>
        </w:tc>
        <w:tc>
          <w:tcPr/>
          <w:p>
            <w:pPr>
              <w:pStyle w:val="Compact"/>
            </w:pPr>
            <w:r>
              <w:rPr>
                <w:rFonts w:ascii="Calibri" w:hAnsi="Calibri"/>
                <w:sz w:val="20"/>
              </w:rPr>
              <w:t xml:space="preserve">−0,01</w:t>
            </w:r>
          </w:p>
        </w:tc>
        <w:tc>
          <w:tcPr/>
          <w:p>
            <w:pPr>
              <w:pStyle w:val="Compact"/>
            </w:pPr>
            <w:r>
              <w:rPr>
                <w:rFonts w:ascii="Calibri" w:hAnsi="Calibri"/>
                <w:sz w:val="20"/>
              </w:rPr>
              <w:t xml:space="preserve">0,50</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VIX (puntos)</w:t>
            </w:r>
          </w:p>
        </w:tc>
        <w:tc>
          <w:tcPr/>
          <w:p>
            <w:pPr>
              <w:pStyle w:val="Compact"/>
            </w:pPr>
            <w:r>
              <w:rPr>
                <w:rFonts w:ascii="Calibri" w:hAnsi="Calibri"/>
                <w:sz w:val="20"/>
              </w:rPr>
              <w:t xml:space="preserve">20,15</w:t>
            </w:r>
          </w:p>
        </w:tc>
        <w:tc>
          <w:tcPr/>
          <w:p>
            <w:pPr>
              <w:pStyle w:val="Compact"/>
            </w:pPr>
            <w:r>
              <w:rPr>
                <w:rFonts w:ascii="Calibri" w:hAnsi="Calibri"/>
                <w:sz w:val="20"/>
              </w:rPr>
              <w:t xml:space="preserve">7,11</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c>
          <w:tcPr/>
          <w:p>
            <w:pPr>
              <w:pStyle w:val="Compact"/>
            </w:pPr>
            <w:r>
              <w:rPr>
                <w:rFonts w:ascii="Calibri" w:hAnsi="Calibri"/>
                <w:sz w:val="20"/>
              </w:rPr>
              <w:t xml:space="preserve">120</w:t>
            </w:r>
          </w:p>
        </w:tc>
      </w:tr>
    </w:tbl>
    <w:p>
      <w:pPr>
        <w:pStyle w:val="BodyText"/>
      </w:pPr>
      <w:r>
        <w:t xml:space="preserve">Fuente: cálculo propio sobre los CSV citados en 5.1. La desviación estándar es muestral (ddof = 1). Los depósitos del Tesoro en el BCRA tienen media de 0,64 % del PIB y desvío de 0,77, y no forman parte de las estadísticas del sistema. El resultado primario trimestral tiene un desvío mayor que el de la suma de cuatro trimestres por su estacionalidad (el mínimo, −12,16, ocurre en 2020T2 y el máximo, 7,02, en 2004T2). El crecimiento del PIB tiene un desvío alto porque la serie conserva la estacionalidad de INDEC y porque el tramo 1996-2003 contiene variaciones trimestrales de la crisis de 2001-2002 (mínimo en 2002T1, máximo en 2010T2). El máximo de la deuda neta ocurre en 2002T3 y el mínimo en 2013T3. El máximo del EMBI+ ocurre en 2002T3 y el mínimo en 2007T1.</w:t>
      </w:r>
    </w:p>
    <w:bookmarkEnd w:id="82"/>
    <w:bookmarkStart w:id="83" w:name="resumen-de-limitaciones-de-datos"/>
    <w:p>
      <w:pPr>
        <w:pStyle w:val="Heading2"/>
      </w:pPr>
      <w:r>
        <w:t xml:space="preserve">5.11 Resumen de limitaciones de datos</w:t>
      </w:r>
    </w:p>
    <w:p>
      <w:pPr>
        <w:pStyle w:val="Compact"/>
        <w:numPr>
          <w:ilvl w:val="0"/>
          <w:numId w:val="1016"/>
        </w:numPr>
      </w:pPr>
      <w:r>
        <w:rPr>
          <w:b/>
          <w:bCs/>
        </w:rPr>
        <w:t xml:space="preserve">Deuda neta sin FGS.</w:t>
      </w:r>
      <w:r>
        <w:t xml:space="preserve"> </w:t>
      </w:r>
      <w:r>
        <w:t xml:space="preserve">Cota superior de la neta del FMI desde 2007T3, con una brecha de 8,2 puntos en 2023 y 9,6 en 2024 (secciones 5.8 y 5.9).</w:t>
      </w:r>
    </w:p>
    <w:p>
      <w:pPr>
        <w:pStyle w:val="Compact"/>
        <w:numPr>
          <w:ilvl w:val="0"/>
          <w:numId w:val="1016"/>
        </w:numPr>
      </w:pPr>
      <w:r>
        <w:rPr>
          <w:b/>
          <w:bCs/>
        </w:rPr>
        <w:t xml:space="preserve">Resultado primario.</w:t>
      </w:r>
      <w:r>
        <w:t xml:space="preserve"> </w:t>
      </w:r>
      <w:r>
        <w:t xml:space="preserve">Incluye todas las rentas de la propiedad, entre ellas las utilidades del BCRA que la API no permite separar. Perímetro del sector público nacional, no del gobierno federal del FMI, y quiebres de metodología en 2006/2007 y 2014/2015 sin período de solapamiento.</w:t>
      </w:r>
    </w:p>
    <w:p>
      <w:pPr>
        <w:pStyle w:val="Compact"/>
        <w:numPr>
          <w:ilvl w:val="0"/>
          <w:numId w:val="1016"/>
        </w:numPr>
      </w:pPr>
      <w:r>
        <w:rPr>
          <w:b/>
          <w:bCs/>
        </w:rPr>
        <w:t xml:space="preserve">Valuación nominal de la tenencia del BCRA.</w:t>
      </w:r>
      <w:r>
        <w:t xml:space="preserve"> </w:t>
      </w:r>
      <w:r>
        <w:t xml:space="preserve">Hay dato nominal en 80 de 120 trimestres; 24 están interpolados y 39 reconstruidos con fechas de emisión o hacia atrás. Los 40 trimestres anteriores a 2006 conservan el valor de libros porque las Letras no existían.</w:t>
      </w:r>
    </w:p>
    <w:p>
      <w:pPr>
        <w:pStyle w:val="Compact"/>
        <w:numPr>
          <w:ilvl w:val="0"/>
          <w:numId w:val="1016"/>
        </w:numPr>
      </w:pPr>
      <w:r>
        <w:rPr>
          <w:b/>
          <w:bCs/>
        </w:rPr>
        <w:t xml:space="preserve">Empalme 1996-2003</w:t>
      </w:r>
      <w:r>
        <w:t xml:space="preserve"> </w:t>
      </w:r>
      <w:r>
        <w:t xml:space="preserve">del PIB real (base 1993 a base 2004, coeficiente k = 1,751) y del PIB nominal (coeficiente 1,0837). Incertidumbre de nivel por el coeficiente de enlace, sin efecto sobre las tasas de crecimiento del PIB real.</w:t>
      </w:r>
    </w:p>
    <w:p>
      <w:pPr>
        <w:pStyle w:val="Compact"/>
        <w:numPr>
          <w:ilvl w:val="0"/>
          <w:numId w:val="1016"/>
        </w:numPr>
      </w:pPr>
      <w:r>
        <w:rPr>
          <w:b/>
          <w:bCs/>
        </w:rPr>
        <w:t xml:space="preserve">Seis trimestres de deuda bruta interpolados</w:t>
      </w:r>
      <w:r>
        <w:t xml:space="preserve"> </w:t>
      </w:r>
      <w:r>
        <w:t xml:space="preserve">(1996-1997) y</w:t>
      </w:r>
      <w:r>
        <w:t xml:space="preserve"> </w:t>
      </w:r>
      <w:r>
        <w:rPr>
          <w:b/>
          <w:bCs/>
        </w:rPr>
        <w:t xml:space="preserve">cuatro de TCRM retropolados</w:t>
      </w:r>
      <w:r>
        <w:t xml:space="preserve"> </w:t>
      </w:r>
      <w:r>
        <w:t xml:space="preserve">(1996).</w:t>
      </w:r>
    </w:p>
    <w:p>
      <w:pPr>
        <w:pStyle w:val="Compact"/>
        <w:numPr>
          <w:ilvl w:val="0"/>
          <w:numId w:val="1016"/>
        </w:numPr>
      </w:pPr>
      <w:r>
        <w:rPr>
          <w:b/>
          <w:bCs/>
        </w:rPr>
        <w:t xml:space="preserve">Swap con el PBoC</w:t>
      </w:r>
      <w:r>
        <w:t xml:space="preserve"> </w:t>
      </w:r>
      <w:r>
        <w:t xml:space="preserve">y</w:t>
      </w:r>
      <w:r>
        <w:t xml:space="preserve"> </w:t>
      </w:r>
      <w:r>
        <w:rPr>
          <w:b/>
          <w:bCs/>
        </w:rPr>
        <w:t xml:space="preserve">pases en neto</w:t>
      </w:r>
      <w:r>
        <w:t xml:space="preserve"> </w:t>
      </w:r>
      <w:r>
        <w:t xml:space="preserve">en los pasivos del BCRA.</w:t>
      </w:r>
    </w:p>
    <w:p>
      <w:pPr>
        <w:pStyle w:val="Compact"/>
        <w:numPr>
          <w:ilvl w:val="0"/>
          <w:numId w:val="1016"/>
        </w:numPr>
      </w:pPr>
      <w:r>
        <w:rPr>
          <w:b/>
          <w:bCs/>
        </w:rPr>
        <w:t xml:space="preserve">Denominador</w:t>
      </w:r>
      <w:r>
        <w:t xml:space="preserve"> </w:t>
      </w:r>
      <w:r>
        <w:t xml:space="preserve">con rezago en períodos de inflación alta.</w:t>
      </w:r>
    </w:p>
    <w:bookmarkEnd w:id="83"/>
    <w:bookmarkEnd w:id="84"/>
    <w:bookmarkStart w:id="85" w:name="referencias"/>
    <w:p>
      <w:pPr>
        <w:pStyle w:val="Heading1"/>
      </w:pPr>
      <w:r>
        <w:t xml:space="preserve">Referencias</w:t>
      </w:r>
    </w:p>
    <w:p>
      <w:pPr>
        <w:pStyle w:val="Compact"/>
        <w:numPr>
          <w:ilvl w:val="0"/>
          <w:numId w:val="1017"/>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7"/>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7"/>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7"/>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7"/>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7"/>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7"/>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7"/>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7"/>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7"/>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7"/>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7"/>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7"/>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7"/>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7"/>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7"/>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7"/>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7"/>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7"/>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7"/>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7"/>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7"/>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7"/>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7"/>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7"/>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7"/>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7"/>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7"/>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7"/>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7"/>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7"/>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7"/>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7"/>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7"/>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7"/>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7"/>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7"/>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7"/>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7"/>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7"/>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7"/>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7"/>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7"/>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7"/>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7"/>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7"/>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7"/>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7"/>
        </w:numPr>
      </w:pPr>
      <w:r>
        <w:t xml:space="preserve">Ley 27.541 de Solidaridad Social y Reactivación Productiva en el Marco de la Emergencia Pública (2019). Boletín Oficial de la República Argentina, 23 de diciembre de 2019.</w:t>
      </w:r>
    </w:p>
    <w:p>
      <w:pPr>
        <w:pStyle w:val="Compact"/>
        <w:numPr>
          <w:ilvl w:val="0"/>
          <w:numId w:val="1017"/>
        </w:numPr>
      </w:pPr>
      <w:r>
        <w:t xml:space="preserve">Ley 27.612 de Fortalecimiento de la Sostenibilidad de la Deuda Pública (2021). Boletín Oficial de la República Argentina, 3 de marzo de 2021.</w:t>
      </w:r>
    </w:p>
    <w:p>
      <w:pPr>
        <w:pStyle w:val="Compact"/>
        <w:numPr>
          <w:ilvl w:val="0"/>
          <w:numId w:val="1017"/>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7"/>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7"/>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7"/>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7"/>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7"/>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7"/>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7"/>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7"/>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7"/>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7"/>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7"/>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7"/>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7"/>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Federal Reserve Bank of Kansas City.</w:t>
      </w:r>
    </w:p>
    <w:p>
      <w:pPr>
        <w:pStyle w:val="Compact"/>
        <w:numPr>
          <w:ilvl w:val="0"/>
          <w:numId w:val="1017"/>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7"/>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7"/>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7"/>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7"/>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7"/>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7"/>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7"/>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7"/>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7"/>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7"/>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7"/>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85"/>
    <w:bookmarkStart w:id="90" w:name="X94fa00cbba88d80644c76c995e4abd03512405e"/>
    <w:p>
      <w:pPr>
        <w:pStyle w:val="Heading1"/>
      </w:pPr>
      <w:r>
        <w:t xml:space="preserve">Notas para el grupo (no forman parte del texto de la tesis)</w:t>
      </w:r>
    </w:p>
    <w:bookmarkStart w:id="86"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86"/>
    <w:bookmarkStart w:id="87" w:name="X6e923efd645ab780f33626d97e87b3009ff5b88"/>
    <w:p>
      <w:pPr>
        <w:pStyle w:val="Heading2"/>
      </w:pPr>
      <w:r>
        <w:t xml:space="preserve">Nota 2. Tamaño del shock de la FED (pendiente)</w:t>
      </w:r>
    </w:p>
    <w:p>
      <w:pPr>
        <w:pStyle w:val="FirstParagraph"/>
      </w:pPr>
      <w:r>
        <w:t xml:space="preserve">Los +100 puntos básicos de la versión anterior no estaban justificados y se sacaron. Hay dos criterios defendibles: un desvío estándar de la variación trimestral de la tasa sombra de la FED en 1996-2025, que es la convención de la literatura de VAR, o un episodio histórico como el ciclo de subas de 2022-2023. Se decide con la serie construida.</w:t>
      </w:r>
    </w:p>
    <w:bookmarkEnd w:id="87"/>
    <w:bookmarkStart w:id="88"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8"/>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8"/>
        </w:numPr>
      </w:pPr>
      <w:r>
        <w:rPr>
          <w:b/>
          <w:bCs/>
        </w:rPr>
        <w:t xml:space="preserve">Citas corregidas:</w:t>
      </w:r>
    </w:p>
    <w:p>
      <w:pPr>
        <w:pStyle w:val="Compact"/>
        <w:numPr>
          <w:ilvl w:val="1"/>
          <w:numId w:val="1019"/>
        </w:numPr>
      </w:pPr>
      <w:r>
        <w:t xml:space="preserve">Reinhart et al. (2003) se usa ahora para la intolerancia a la deuda.</w:t>
      </w:r>
    </w:p>
    <w:p>
      <w:pPr>
        <w:pStyle w:val="Compact"/>
        <w:numPr>
          <w:ilvl w:val="1"/>
          <w:numId w:val="1019"/>
        </w:numPr>
      </w:pPr>
      <w:r>
        <w:t xml:space="preserve">Mendoza y Oviedo (2007), para la incertidumbre y el límite de deuda.</w:t>
      </w:r>
    </w:p>
    <w:p>
      <w:pPr>
        <w:pStyle w:val="Compact"/>
        <w:numPr>
          <w:ilvl w:val="1"/>
          <w:numId w:val="1019"/>
        </w:numPr>
      </w:pPr>
      <w:r>
        <w:t xml:space="preserve">La fatiga fiscal pasa a Ghosh et al. (2013).</w:t>
      </w:r>
    </w:p>
    <w:p>
      <w:pPr>
        <w:pStyle w:val="Compact"/>
        <w:numPr>
          <w:ilvl w:val="1"/>
          <w:numId w:val="1019"/>
        </w:numPr>
      </w:pPr>
      <w:r>
        <w:t xml:space="preserve">Ando et al. queda con año 2025.</w:t>
      </w:r>
    </w:p>
    <w:p>
      <w:pPr>
        <w:pStyle w:val="Compact"/>
        <w:numPr>
          <w:ilvl w:val="1"/>
          <w:numId w:val="1019"/>
        </w:numPr>
      </w:pPr>
      <w:r>
        <w:t xml:space="preserve">Se sacan Garud y la tesis propia.</w:t>
      </w:r>
    </w:p>
    <w:p>
      <w:pPr>
        <w:pStyle w:val="Compact"/>
        <w:numPr>
          <w:ilvl w:val="0"/>
          <w:numId w:val="1018"/>
        </w:numPr>
      </w:pPr>
      <w:r>
        <w:rPr>
          <w:b/>
          <w:bCs/>
        </w:rPr>
        <w:t xml:space="preserve">Canal cuasifiscal del shock de la FED:</w:t>
      </w:r>
      <w:r>
        <w:t xml:space="preserve"> </w:t>
      </w:r>
      <w:r>
        <w:t xml:space="preserve">se redacta en pasado.</w:t>
      </w:r>
    </w:p>
    <w:p>
      <w:pPr>
        <w:pStyle w:val="Compact"/>
        <w:numPr>
          <w:ilvl w:val="0"/>
          <w:numId w:val="1018"/>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8"/>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20"/>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20"/>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20"/>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21"/>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21"/>
        </w:numPr>
      </w:pPr>
      <w:r>
        <w:rPr>
          <w:b/>
          <w:bCs/>
        </w:rPr>
        <w:t xml:space="preserve">Párrafo cortado:</w:t>
      </w:r>
      <w:r>
        <w:t xml:space="preserve"> </w:t>
      </w:r>
      <w:r>
        <w:t xml:space="preserve">el párrafo de Santiago sobre la subordinación del BCRA, que estaba cortado, se completó y quedó marcado para verificar.</w:t>
      </w:r>
    </w:p>
    <w:bookmarkEnd w:id="88"/>
    <w:bookmarkStart w:id="89" w:name="nota-4.-pendientes"/>
    <w:p>
      <w:pPr>
        <w:pStyle w:val="Heading2"/>
      </w:pPr>
      <w:r>
        <w:t xml:space="preserve">Nota 4. Pendientes</w:t>
      </w:r>
    </w:p>
    <w:p>
      <w:pPr>
        <w:pStyle w:val="Compact"/>
        <w:numPr>
          <w:ilvl w:val="0"/>
          <w:numId w:val="1022"/>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22"/>
        </w:numPr>
      </w:pPr>
      <w:r>
        <w:t xml:space="preserve">Klemm et al. (2014) y Adler y Magud (2014) salieron del texto: no se pudo leer el capítulo de Klemm et al., y en Adler y Magud no está definido el índice que se les atribuía.</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Interrupción repentina de los flujos de capital.</w:t>
      </w:r>
    </w:p>
  </w:footnote>
  <w:footnote w:id="15">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1">
    <w:p>
      <w:pPr>
        <w:pStyle w:val="FootnoteText"/>
      </w:pPr>
      <w:r>
        <w:rPr>
          <w:rStyle w:val="FootnoteReference"/>
        </w:rPr>
        <w:footnoteRef/>
      </w:r>
      <w:r>
        <w:t xml:space="preserve"> </w:t>
      </w:r>
      <w:r>
        <w:t xml:space="preserve">Acreedores que rechazan una reestructuración y reclaman judicialmente el pago completo.</w:t>
      </w:r>
    </w:p>
  </w:footnote>
  <w:footnote w:id="25">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6">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2026-10-11T15:35:05Z</dcterms:created>
  <dcterms:modified xsi:type="dcterms:W3CDTF">2026-10-11T15:35:05Z</dcterms:modified>
</cp:coreProperties>
</file>

<file path=docProps/custom.xml><?xml version="1.0" encoding="utf-8"?>
<Properties xmlns="http://schemas.openxmlformats.org/officeDocument/2006/custom-properties" xmlns:vt="http://schemas.openxmlformats.org/officeDocument/2006/docPropsVTypes"/>
</file>