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Introducción y Antecedentes (versión 3, borrador para el grupo)</w:t>
      </w:r>
    </w:p>
    <w:bookmarkStart w:id="19" w:name="introducción"/>
    <w:p>
      <w:pPr>
        <w:pStyle w:val="Heading1"/>
      </w:pPr>
      <w:r>
        <w:t xml:space="preserve">1. Introducción</w:t>
      </w:r>
    </w:p>
    <w:bookmarkStart w:id="10"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9"/>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por USD 1.000 millones a una tasa de 9,26% anual y bajo legislación local. [VERIFICAR antes de entregar: si hubo emisión bajo ley de Nueva York en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0"/>
    <w:bookmarkStart w:id="11" w:name="planteamiento-del-problema"/>
    <w:p>
      <w:pPr>
        <w:pStyle w:val="Heading2"/>
      </w:pPr>
      <w:r>
        <w:t xml:space="preserve">1.2 Planteamiento del problema</w:t>
      </w:r>
    </w:p>
    <w:p>
      <w:pPr>
        <w:pStyle w:val="FirstParagraph"/>
      </w:pPr>
      <w:r>
        <w:t xml:space="preserve">Frente a esta coyuntura, surge la necesidad de evaluar si la consecución de un superávit fiscal primario y la voluntad política de pago bastan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volatilidad de los spreads de riesgo país ante shocks financieros externos (Adler y Sosa, 2014) y la menor tolerancia a la deuda de las economías con historia de default (Reinhart et al., 2003). Por último, la incertidumbre macroeconómica reduce el nivel de deuda que un gobierno puede sostener (Mendoza y Oviedo, 2007), y existe un límite político e institucional a los superávits que una sociedad acepta de manera prolongada, conocido como fatiga fiscal (Ghosh et al., 2013).</w:t>
      </w:r>
    </w:p>
    <w:bookmarkEnd w:id="11"/>
    <w:bookmarkStart w:id="12"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(Klemm et al., 2014). Desencadena una depreciación del tipo de cambio real, con efectos de valuación sobre los pasivos dolarizados (Adler y Sosa, 2014;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2"/>
    <w:bookmarkStart w:id="13"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3"/>
    <w:bookmarkStart w:id="14" w:name="hipótesis"/>
    <w:p>
      <w:pPr>
        <w:pStyle w:val="Heading2"/>
      </w:pPr>
      <w:r>
        <w:t xml:space="preserve">1.5 Hipótesis</w:t>
      </w:r>
    </w:p>
    <w:p>
      <w:pPr>
        <w:pStyle w:val="FirstParagraph"/>
      </w:pPr>
      <w:r>
        <w:t xml:space="preserve">H1a. La dinámica de la deuda pública consolidada argentina (1996-2025) responde en mayor medida a los canales cambiario y de riesgo soberano que al resultado primario, cuya reacción ante el nivel de deuda no es estadísticamente significativa. En consecuencia, el superávit primario, por sí solo, no basta para estabilizar la deuda en 2026-2035.</w:t>
      </w:r>
    </w:p>
    <w:p>
      <w:pPr>
        <w:pStyle w:val="BodyText"/>
      </w:pPr>
      <w:r>
        <w:t xml:space="preserve">H1b. En el escenario base, la probabilidad de que la deuda consolidada no se estabilice hacia el final del horizonte de proyección supera el 50%. La métrica es la que el FMI utiliza en su marco de riesgo soberano (FMI, 2021), y el corte del 50% equivale a afirmar que la trayectoria mediana de la distribución simulada no se estabiliza (la justificación se desarrolla en el Capítulo 4).</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[DECIDIR el tamaño del shock con criterio justificado: ver nota 2 al final del archivo.]</w:t>
      </w:r>
    </w:p>
    <w:bookmarkEnd w:id="14"/>
    <w:bookmarkStart w:id="16"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5"/>
      </w:r>
      <w:r>
        <w:t xml:space="preserve"> </w:t>
      </w:r>
      <w:r>
        <w:t xml:space="preserve">y en las métricas que utiliza el FMI para evaluar el riesgo soberano.</w:t>
      </w:r>
    </w:p>
    <w:bookmarkEnd w:id="16"/>
    <w:bookmarkStart w:id="17"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7"/>
    <w:bookmarkStart w:id="18"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8"/>
    <w:bookmarkEnd w:id="19"/>
    <w:bookmarkStart w:id="32"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2014;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0"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0"/>
    <w:bookmarkStart w:id="22"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1"/>
      </w:r>
      <w:r>
        <w:t xml:space="preserve">.</w:t>
      </w:r>
    </w:p>
    <w:bookmarkEnd w:id="22"/>
    <w:bookmarkStart w:id="23"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3"/>
    <w:bookmarkStart w:id="24"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4"/>
    <w:bookmarkStart w:id="27"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de términos de intercambio y a interrupciones del financiamiento. Adler y Sosa (2014) estimaron modelos VAR globales y de panel para países de América Latina, con un índice de precios netos de materias primas como variable externa (Adler y Magud, 2014). Encontraron que más de la mitad de la variabilidad de las entradas de capital de corto plazo responde a condiciones internacionales, como la tasa de la Reserva Federal y el índice VIX, y no a factores locales. Es decir, la sostenibilidad de la deuda en la región depende en buena medida de factores de empuje externos (</w:t>
      </w:r>
      <w:r>
        <w:rPr>
          <w:i/>
          <w:iCs/>
        </w:rPr>
        <w:t xml:space="preserve">push</w:t>
      </w:r>
      <w:r>
        <w:t xml:space="preserve">)</w:t>
      </w:r>
      <w:r>
        <w:rPr>
          <w:rStyle w:val="FootnoteReference"/>
        </w:rPr>
        <w:footnoteReference w:id="25"/>
      </w:r>
      <w:r>
        <w:t xml:space="preserve">. El mismo estudio documentó una asimetría argentina: en las crisis, el capital residente tiende a sumarse a la salida en lugar de repatriarse para amortiguarla.</w:t>
      </w:r>
    </w:p>
    <w:p>
      <w:pPr>
        <w:pStyle w:val="BodyText"/>
      </w:pPr>
      <w:r>
        <w:t xml:space="preserve">La literatura de sistemas de alerta temprana (</w:t>
      </w:r>
      <w:r>
        <w:rPr>
          <w:i/>
          <w:iCs/>
        </w:rPr>
        <w:t xml:space="preserve">early warning systems</w:t>
      </w:r>
      <w:r>
        <w:t xml:space="preserve">)</w:t>
      </w:r>
      <w:r>
        <w:rPr>
          <w:rStyle w:val="FootnoteReference"/>
        </w:rPr>
        <w:footnoteReference w:id="26"/>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con un umbral de probabilidad del 30%.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7"/>
    <w:bookmarkStart w:id="28"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8"/>
    <w:bookmarkStart w:id="29"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federal bruta a más del 150% del PIB (FMI, 2025, anexo II). En el marco del FMI, ese salto ensanchó el gráfico de abanico y llevó la señal mecánica de riesgo a</w:t>
      </w:r>
      <w:r>
        <w:t xml:space="preserve"> </w:t>
      </w:r>
      <w:r>
        <w:t xml:space="preserve">“alto”</w:t>
      </w:r>
      <w:r>
        <w:t xml:space="preserve">. El propio FMI matizó esa lectura y, una vez que el efecto de la devaluación se disipó, la señal volvió a</w:t>
      </w:r>
      <w:r>
        <w:t xml:space="preserve"> </w:t>
      </w:r>
      <w:r>
        <w:t xml:space="preserve">“moderado”</w:t>
      </w:r>
      <w:r>
        <w:t xml:space="preserve"> </w:t>
      </w:r>
      <w:r>
        <w:t xml:space="preserve">(FMI, 2025, anexo II). [VERIFICAR en FMI (2024) las cifras de 156,7% del PIB y de 122,7 puntos de ancho del abanico que citaba la versión anterior.]</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29"/>
    <w:bookmarkStart w:id="30"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0"/>
    <w:bookmarkStart w:id="31"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y Sosa, 2014).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la Reserva Federal sobre América Latina se estudiaron en paneles regionales, sobre flujos de capital, spreads y actividad (Adler y Sosa, 2014; Klemm et al., 2014).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El BCRA careció durante buena parte del período de independencia funcional frente al Tesoro. Tras la crisis de 2001-2002, la reaparición del déficit derivó en un uso creciente de su balance, mediante la cancelación de deuda con reservas y la transferencia de utilidades, y la reforma de su Carta Orgánica de 2012 amplió los márgenes legales de asistencia al Tesoro (Damill et al., 2015; Porto, 2020). La absorción de esa liquidez se hizo con pasivos remunerados: letras (LEBAC y NOBAC) hasta 2018, Leliq y pases entre 2018 y 2024, que respondieron a los mismos shocks cambiarios y de riesgo que la deuda del Tesoro. [VERIFICAR en Porto (2020) y Damill et al. (2015) el respaldo de cada afirmación de este párrafo; el texto de Santiago estaba cortado a mitad de oración y se completó con la cronología de los instrumentos.] Un modelo estimado solo sobre la deuda del Tesoro omite esa parte del endeudamiento y puede subestimar la sensibilidad de la deuda a esos shocks. Esto sigue siendo cierto aunque, desde 2024, los pasivos del BCRA se hayan reducido a niveles mínimos: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bookmarkEnd w:id="31"/>
    <w:bookmarkEnd w:id="32"/>
    <w:bookmarkStart w:id="33" w:name="referencias"/>
    <w:p>
      <w:pPr>
        <w:pStyle w:val="Heading1"/>
      </w:pPr>
      <w:r>
        <w:t xml:space="preserve">Referencias</w:t>
      </w:r>
    </w:p>
    <w:p>
      <w:pPr>
        <w:pStyle w:val="Compact"/>
        <w:numPr>
          <w:ilvl w:val="0"/>
          <w:numId w:val="1002"/>
        </w:numPr>
      </w:pPr>
      <w:r>
        <w:t xml:space="preserve">Adler, G., y Magud, N. E. (2014). [VERIFICAR: en</w:t>
      </w:r>
      <w:r>
        <w:t xml:space="preserve"> </w:t>
      </w:r>
      <w:r>
        <w:rPr>
          <w:rStyle w:val="VerbatimChar"/>
        </w:rPr>
        <w:t xml:space="preserve">referencias.bib</w:t>
      </w:r>
      <w:r>
        <w:t xml:space="preserve"> </w:t>
      </w:r>
      <w:r>
        <w:t xml:space="preserve">figura</w:t>
      </w:r>
      <w:r>
        <w:t xml:space="preserve"> </w:t>
      </w:r>
      <w:r>
        <w:rPr>
          <w:i/>
          <w:iCs/>
        </w:rPr>
        <w:t xml:space="preserve">Four decades of terms-of-trade booms: A metric of income windfall</w:t>
      </w:r>
      <w:r>
        <w:t xml:space="preserve"> </w:t>
      </w:r>
      <w:r>
        <w:t xml:space="preserve">(IMF Working Paper WP/14/103), y Santiago cita</w:t>
      </w:r>
      <w:r>
        <w:t xml:space="preserve"> </w:t>
      </w:r>
      <w:r>
        <w:rPr>
          <w:i/>
          <w:iCs/>
        </w:rPr>
        <w:t xml:space="preserve">Terms-of-trade booms: Saving-investment patterns and a new metric of income windfall</w:t>
      </w:r>
      <w:r>
        <w:t xml:space="preserve"> </w:t>
      </w:r>
      <w:r>
        <w:t xml:space="preserve">(capítulo del libro del FMI editado por Iakova et al.). Son dos versiones distintas: elegir la que respalda lo que se afirma.]</w:t>
      </w:r>
    </w:p>
    <w:p>
      <w:pPr>
        <w:pStyle w:val="Compact"/>
        <w:numPr>
          <w:ilvl w:val="0"/>
          <w:numId w:val="1002"/>
        </w:numPr>
      </w:pPr>
      <w:r>
        <w:t xml:space="preserve">Adler, G., y Sosa, S. (2014). [VERIFICAR: en</w:t>
      </w:r>
      <w:r>
        <w:t xml:space="preserve"> </w:t>
      </w:r>
      <w:r>
        <w:rPr>
          <w:rStyle w:val="VerbatimChar"/>
        </w:rPr>
        <w:t xml:space="preserve">referencias.bib</w:t>
      </w:r>
      <w:r>
        <w:t xml:space="preserve"> </w:t>
      </w:r>
      <w:r>
        <w:t xml:space="preserve">figura</w:t>
      </w:r>
      <w:r>
        <w:t xml:space="preserve"> </w:t>
      </w:r>
      <w:r>
        <w:rPr>
          <w:i/>
          <w:iCs/>
        </w:rPr>
        <w:t xml:space="preserve">Global financial shocks and their transmission to emerging markets</w:t>
      </w:r>
      <w:r>
        <w:t xml:space="preserve"> </w:t>
      </w:r>
      <w:r>
        <w:t xml:space="preserve">(IMF Working Paper WP/14/72), y Santiago cita</w:t>
      </w:r>
      <w:r>
        <w:t xml:space="preserve"> </w:t>
      </w:r>
      <w:r>
        <w:rPr>
          <w:i/>
          <w:iCs/>
        </w:rPr>
        <w:t xml:space="preserve">External conditions and debt sustainability in Latin America</w:t>
      </w:r>
      <w:r>
        <w:t xml:space="preserve"> </w:t>
      </w:r>
      <w:r>
        <w:t xml:space="preserve">(capítulo del mismo libro del FMI). Son trabajos distintos. Hay que confirmar en cuál están el resultado de</w:t>
      </w:r>
      <w:r>
        <w:t xml:space="preserve"> </w:t>
      </w:r>
      <w:r>
        <w:t xml:space="preserve">“más de la mitad de la variabilidad de las entradas de capital”</w:t>
      </w:r>
      <w:r>
        <w:t xml:space="preserve"> </w:t>
      </w:r>
      <w:r>
        <w:t xml:space="preserve">y la asimetría argentina.]</w:t>
      </w:r>
    </w:p>
    <w:p>
      <w:pPr>
        <w:pStyle w:val="Compact"/>
        <w:numPr>
          <w:ilvl w:val="0"/>
          <w:numId w:val="1002"/>
        </w:numPr>
      </w:pPr>
      <w:r>
        <w:t xml:space="preserve">Ando, S., Mishra, P., Patel, N., Peralta-Alva, A., y Presbitero, A. F. (2025). Fiscal consolidation and public debt.</w:t>
      </w:r>
      <w:r>
        <w:t xml:space="preserve"> </w:t>
      </w:r>
      <w:r>
        <w:rPr>
          <w:i/>
          <w:iCs/>
        </w:rPr>
        <w:t xml:space="preserve">Journal of Economic Dynamics and Control</w:t>
      </w:r>
      <w:r>
        <w:t xml:space="preserve">, 170. [VERIFICAR número de artículo.]</w:t>
      </w:r>
    </w:p>
    <w:p>
      <w:pPr>
        <w:pStyle w:val="Compact"/>
        <w:numPr>
          <w:ilvl w:val="0"/>
          <w:numId w:val="1002"/>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02"/>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02"/>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02"/>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02"/>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 [VERIFICAR autores y que sostenga la absorción de la fatiga fiscal en los marcos europeos.]</w:t>
      </w:r>
    </w:p>
    <w:p>
      <w:pPr>
        <w:pStyle w:val="Compact"/>
        <w:numPr>
          <w:ilvl w:val="0"/>
          <w:numId w:val="1002"/>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02"/>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02"/>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02"/>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02"/>
        </w:numPr>
      </w:pPr>
      <w:r>
        <w:t xml:space="preserve">Cetrángolo, O., Damill, M., Frenkel, R., y Jiménez, J. P. (1997). [VERIFICAR: en</w:t>
      </w:r>
      <w:r>
        <w:t xml:space="preserve"> </w:t>
      </w:r>
      <w:r>
        <w:rPr>
          <w:rStyle w:val="VerbatimChar"/>
        </w:rPr>
        <w:t xml:space="preserve">referencias.bib</w:t>
      </w:r>
      <w:r>
        <w:t xml:space="preserve"> </w:t>
      </w:r>
      <w:r>
        <w:t xml:space="preserve">figura</w:t>
      </w:r>
      <w:r>
        <w:t xml:space="preserve"> </w:t>
      </w:r>
      <w:r>
        <w:rPr>
          <w:i/>
          <w:iCs/>
        </w:rPr>
        <w:t xml:space="preserve">Sector público argentino: Ahorro, inversión y financiamiento (1975-1996)</w:t>
      </w:r>
      <w:r>
        <w:t xml:space="preserve"> </w:t>
      </w:r>
      <w:r>
        <w:t xml:space="preserve">(CEPAL, Oficina en Buenos Aires), y Santiago cita</w:t>
      </w:r>
      <w:r>
        <w:t xml:space="preserve"> </w:t>
      </w:r>
      <w:r>
        <w:rPr>
          <w:i/>
          <w:iCs/>
        </w:rPr>
        <w:t xml:space="preserve">La sostenibilidad de la política fiscal en América Latina: El caso argentino</w:t>
      </w:r>
      <w:r>
        <w:t xml:space="preserve"> </w:t>
      </w:r>
      <w:r>
        <w:t xml:space="preserve">(CEDES). Confirmar cuál es el documento descripto.]</w:t>
      </w:r>
    </w:p>
    <w:p>
      <w:pPr>
        <w:pStyle w:val="Compact"/>
        <w:numPr>
          <w:ilvl w:val="0"/>
          <w:numId w:val="1002"/>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02"/>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02"/>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02"/>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02"/>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02"/>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02"/>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[VERIFICAR número: Santiago cita 24/167;</w:t>
      </w:r>
      <w:r>
        <w:t xml:space="preserve"> </w:t>
      </w:r>
      <w:r>
        <w:rPr>
          <w:rStyle w:val="VerbatimChar"/>
        </w:rPr>
        <w:t xml:space="preserve">referencias.bib</w:t>
      </w:r>
      <w:r>
        <w:t xml:space="preserve"> </w:t>
      </w:r>
      <w:r>
        <w:t xml:space="preserve">dice</w:t>
      </w:r>
      <w:r>
        <w:t xml:space="preserve"> </w:t>
      </w:r>
      <w:r>
        <w:t xml:space="preserve">“Eighth and Ninth Reviews”</w:t>
      </w:r>
      <w:r>
        <w:t xml:space="preserve">.]</w:t>
      </w:r>
    </w:p>
    <w:p>
      <w:pPr>
        <w:pStyle w:val="Compact"/>
        <w:numPr>
          <w:ilvl w:val="0"/>
          <w:numId w:val="1002"/>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02"/>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02"/>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02"/>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02"/>
        </w:numPr>
      </w:pPr>
      <w:r>
        <w:t xml:space="preserve">Hastie, T., Tibshirani, R., y Friedman, J. (2009).</w:t>
      </w:r>
      <w:r>
        <w:t xml:space="preserve"> </w:t>
      </w:r>
      <w:r>
        <w:rPr>
          <w:i/>
          <w:iCs/>
        </w:rPr>
        <w:t xml:space="preserve">The elements of statistical learning</w:t>
      </w:r>
      <w:r>
        <w:t xml:space="preserve"> </w:t>
      </w:r>
      <w:r>
        <w:t xml:space="preserve">(2.ª ed.). Springer.</w:t>
      </w:r>
    </w:p>
    <w:p>
      <w:pPr>
        <w:pStyle w:val="Compact"/>
        <w:numPr>
          <w:ilvl w:val="0"/>
          <w:numId w:val="1002"/>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02"/>
        </w:numPr>
      </w:pPr>
      <w:r>
        <w:t xml:space="preserve">Klemm, A., Meier, A., y Sosa, S. (2014). Spillovers to Latin America from the normalization of U.S. monetary policy. En D. Iakova, L. M. Cubeddu, G. Adler y S. Sosa (Eds.),</w:t>
      </w:r>
      <w:r>
        <w:t xml:space="preserve"> </w:t>
      </w:r>
      <w:r>
        <w:rPr>
          <w:i/>
          <w:iCs/>
        </w:rPr>
        <w:t xml:space="preserve">Latin America: New challenges to growth and stability</w:t>
      </w:r>
      <w:r>
        <w:t xml:space="preserve">. Fondo Monetario Internacional.</w:t>
      </w:r>
    </w:p>
    <w:p>
      <w:pPr>
        <w:pStyle w:val="Compact"/>
        <w:numPr>
          <w:ilvl w:val="0"/>
          <w:numId w:val="1002"/>
        </w:numPr>
      </w:pPr>
      <w:r>
        <w:t xml:space="preserve">Levy Yeyati, E., y Sturzenegger, F. (2023). A balance-sheet approach to fiscal sustainability.</w:t>
      </w:r>
      <w:r>
        <w:t xml:space="preserve"> </w:t>
      </w:r>
      <w:r>
        <w:rPr>
          <w:i/>
          <w:iCs/>
        </w:rPr>
        <w:t xml:space="preserve">Fiscal Studies</w:t>
      </w:r>
      <w:r>
        <w:t xml:space="preserve">, 44(1), 61-84.</w:t>
      </w:r>
    </w:p>
    <w:p>
      <w:pPr>
        <w:pStyle w:val="Compact"/>
        <w:numPr>
          <w:ilvl w:val="0"/>
          <w:numId w:val="1002"/>
        </w:numPr>
      </w:pPr>
      <w:r>
        <w:t xml:space="preserve">Ley 27.541 de Solidaridad Social y Reactivación Productiva en el Marco de la Emergencia Pública (2019). Boletín Oficial de la República Argentina, 23 de diciembre de 2019.</w:t>
      </w:r>
    </w:p>
    <w:p>
      <w:pPr>
        <w:pStyle w:val="Compact"/>
        <w:numPr>
          <w:ilvl w:val="0"/>
          <w:numId w:val="1002"/>
        </w:numPr>
      </w:pPr>
      <w:r>
        <w:t xml:space="preserve">Ley 27.612 de Fortalecimiento de la Sostenibilidad de la Deuda Pública (2021). Boletín Oficial de la República Argentina, 3 de marzo de 2021.</w:t>
      </w:r>
    </w:p>
    <w:p>
      <w:pPr>
        <w:pStyle w:val="Compact"/>
        <w:numPr>
          <w:ilvl w:val="0"/>
          <w:numId w:val="1002"/>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02"/>
        </w:numPr>
      </w:pPr>
      <w:r>
        <w:t xml:space="preserve">Mendoza, E. G., y Oviedo, P. M. (2007). Public debt, fiscal solvency and macroeconomic uncertainty in Latin America.</w:t>
      </w:r>
      <w:r>
        <w:t xml:space="preserve"> </w:t>
      </w:r>
      <w:r>
        <w:rPr>
          <w:i/>
          <w:iCs/>
        </w:rPr>
        <w:t xml:space="preserve">Economía</w:t>
      </w:r>
      <w:r>
        <w:t xml:space="preserve">. [COMPLETAR volumen y páginas.]</w:t>
      </w:r>
    </w:p>
    <w:p>
      <w:pPr>
        <w:pStyle w:val="Compact"/>
        <w:numPr>
          <w:ilvl w:val="0"/>
          <w:numId w:val="1002"/>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02"/>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02"/>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02"/>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02"/>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02"/>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02"/>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02"/>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02"/>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02"/>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02"/>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02"/>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02"/>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02"/>
        </w:numPr>
      </w:pPr>
      <w:r>
        <w:t xml:space="preserve">Wijayanti, R., y Rachmanira, S. (2020). [VERIFICAR: en</w:t>
      </w:r>
      <w:r>
        <w:t xml:space="preserve"> </w:t>
      </w:r>
      <w:r>
        <w:rPr>
          <w:rStyle w:val="VerbatimChar"/>
        </w:rPr>
        <w:t xml:space="preserve">referencias.bib</w:t>
      </w:r>
      <w:r>
        <w:t xml:space="preserve"> </w:t>
      </w:r>
      <w:r>
        <w:t xml:space="preserve">figura como ponencia (</w:t>
      </w:r>
      <w:r>
        <w:rPr>
          <w:i/>
          <w:iCs/>
        </w:rPr>
        <w:t xml:space="preserve">An early warning system for sovereign debt crisis in developing countries: A signal approach</w:t>
      </w:r>
      <w:r>
        <w:t xml:space="preserve">, International Conference on Business, Economics, Social Sciences, and Humanities), y Santiago la cita como artículo en</w:t>
      </w:r>
      <w:r>
        <w:t xml:space="preserve"> </w:t>
      </w:r>
      <w:r>
        <w:rPr>
          <w:i/>
          <w:iCs/>
        </w:rPr>
        <w:t xml:space="preserve">Journal of Central Banking Theory and Practice</w:t>
      </w:r>
      <w:r>
        <w:t xml:space="preserve">, 9 (número especial), 103-124. Confirmar cuál es.]</w:t>
      </w:r>
    </w:p>
    <w:p>
      <w:r>
        <w:pict>
          <v:rect style="width:0;height:1.5pt" o:hralign="center" o:hrstd="t" o:hr="t"/>
        </w:pict>
      </w:r>
    </w:p>
    <w:bookmarkEnd w:id="33"/>
    <w:bookmarkStart w:id="39" w:name="X94fa00cbba88d80644c76c995e4abd03512405e"/>
    <w:p>
      <w:pPr>
        <w:pStyle w:val="Heading1"/>
      </w:pPr>
      <w:r>
        <w:t xml:space="preserve">Notas para el grupo (no forman parte del texto de la tesis)</w:t>
      </w:r>
    </w:p>
    <w:bookmarkStart w:id="34" w:name="X3df75d651ef1940a8b8f22e6014631654d3e841"/>
    <w:p>
      <w:pPr>
        <w:pStyle w:val="Heading2"/>
      </w:pPr>
      <w:r>
        <w:t xml:space="preserve">Nota 1. Justificación del criterio de H1b</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La no estabilización de la deuda es además uno de los tres conceptos centrales que distingue el marco (FMI, 2021, recuadro 2).</w:t>
      </w:r>
    </w:p>
    <w:p>
      <w:pPr>
        <w:pStyle w:val="BodyText"/>
      </w:pPr>
      <w:r>
        <w:rPr>
          <w:b/>
          <w:bCs/>
        </w:rPr>
        <w:t xml:space="preserve">El corte del 50%.</w:t>
      </w:r>
      <w:r>
        <w:t xml:space="preserve"> </w:t>
      </w:r>
      <w:r>
        <w:t xml:space="preserve">Se justifica por tres razones:</w:t>
      </w:r>
    </w:p>
    <w:p>
      <w:pPr>
        <w:pStyle w:val="Compact"/>
        <w:numPr>
          <w:ilvl w:val="0"/>
          <w:numId w:val="1003"/>
        </w:numPr>
      </w:pPr>
      <w:r>
        <w:rPr>
          <w:b/>
          <w:bCs/>
        </w:rPr>
        <w:t xml:space="preserve">Equivalencia con la mediana.</w:t>
      </w:r>
      <w:r>
        <w:t xml:space="preserve"> </w:t>
      </w:r>
      <w:r>
        <w:t xml:space="preserve">Si X es la diferencia entre el resultado primario proyectado y el que estabiliza la deuda, P(X &lt; 0) &gt; 0,5 si y solo si la mediana de X es negativa. Afirmar que la probabilidad supera el 50% equivale a afirmar que la trayectoria central de la simulación no estabiliza la deuda.</w:t>
      </w:r>
    </w:p>
    <w:p>
      <w:pPr>
        <w:pStyle w:val="Compact"/>
        <w:numPr>
          <w:ilvl w:val="0"/>
          <w:numId w:val="1003"/>
        </w:numPr>
      </w:pPr>
      <w:r>
        <w:rPr>
          <w:b/>
          <w:bCs/>
        </w:rPr>
        <w:t xml:space="preserve">Regla de decisión estándar.</w:t>
      </w:r>
      <w:r>
        <w:t xml:space="preserve"> </w:t>
      </w:r>
      <w:r>
        <w:t xml:space="preserve">Con costos simétricos de error, la regla que minimiza el error esperado elige el estado más probable, lo que equivale a un corte de 0,5 (clasificador de Bayes; Hastie, Tibshirani y Friedman, 2009, sección 2.4). [VERIFICAR la sección.]</w:t>
      </w:r>
    </w:p>
    <w:p>
      <w:pPr>
        <w:pStyle w:val="Compact"/>
        <w:numPr>
          <w:ilvl w:val="0"/>
          <w:numId w:val="1003"/>
        </w:numPr>
      </w:pPr>
      <w:r>
        <w:rPr>
          <w:b/>
          <w:bCs/>
        </w:rPr>
        <w:t xml:space="preserve">El corte calibrado del FMI no es replicable con un solo país.</w:t>
      </w:r>
      <w:r>
        <w:t xml:space="preserve"> </w:t>
      </w:r>
      <w:r>
        <w:t xml:space="preserve">Los cortes del índice compuesto del FMI (1,13 y 2,08) se calibraron sobre un panel de crisis y requieren un índice institucional que no está publicado (FMI y ESM, 2023, diapositiva 31).</w:t>
      </w:r>
    </w:p>
    <w:p>
      <w:pPr>
        <w:pStyle w:val="FirstParagraph"/>
      </w:pPr>
      <w:r>
        <w:rPr>
          <w:b/>
          <w:bCs/>
        </w:rPr>
        <w:t xml:space="preserve">Blindaje.</w:t>
      </w:r>
      <w:r>
        <w:t xml:space="preserve"> </w:t>
      </w:r>
      <w:r>
        <w:t xml:space="preserve">Se reporta la probabilidad completa y el ancho del abanico entre los percentiles 5 y 95, y se muestra a partir de qué corte cambiaría la conclusión.</w:t>
      </w:r>
    </w:p>
    <w:bookmarkEnd w:id="34"/>
    <w:bookmarkStart w:id="35" w:name="X7b46dba93c0f787b157470c5ad6078b1cb6de62"/>
    <w:p>
      <w:pPr>
        <w:pStyle w:val="Heading2"/>
      </w:pPr>
      <w:r>
        <w:t xml:space="preserve">Nota 2. Dato nuevo del FMI que conviene discutir antes de cerrar H1b</w:t>
      </w:r>
    </w:p>
    <w:p>
      <w:pPr>
        <w:pStyle w:val="FirstParagraph"/>
      </w:pPr>
      <w:r>
        <w:t xml:space="preserve">El FMI estimó para Argentina, en abril de 2025, una probabilidad de estabilización de la deuda de alrededor de 97%, tanto a mediano plazo como en un abanico a 2034 (FMI, 2025, anexo II, párrs. 6 y 8). Es decir, una probabilidad de no estabilización cercana al 3%, sobre la deuda federal bruta y con shocks no identificados.</w:t>
      </w:r>
    </w:p>
    <w:p>
      <w:pPr>
        <w:pStyle w:val="BodyText"/>
      </w:pPr>
      <w:r>
        <w:t xml:space="preserve">Esto abre una alternativa para H1b que puede ser mejor que el corte del 50%:</w:t>
      </w:r>
      <w:r>
        <w:t xml:space="preserve"> </w:t>
      </w:r>
      <w:r>
        <w:rPr>
          <w:b/>
          <w:bCs/>
        </w:rPr>
        <w:t xml:space="preserve">contrastar contra el número del FMI.</w:t>
      </w:r>
      <w:r>
        <w:t xml:space="preserve"> </w:t>
      </w:r>
      <w:r>
        <w:t xml:space="preserve">Por ejemplo:</w:t>
      </w:r>
      <w:r>
        <w:t xml:space="preserve"> </w:t>
      </w:r>
      <w:r>
        <w:t xml:space="preserve">“La probabilidad de no estabilización de la deuda consolidada, estimada con shocks estructuralmente identificados, es mayor que la que reporta el FMI para la deuda federal bruta (cerca de 3%)”</w:t>
      </w:r>
      <w:r>
        <w:t xml:space="preserve">. Tiene tres ventajas:</w:t>
      </w:r>
    </w:p>
    <w:p>
      <w:pPr>
        <w:pStyle w:val="Compact"/>
        <w:numPr>
          <w:ilvl w:val="0"/>
          <w:numId w:val="1004"/>
        </w:numPr>
      </w:pPr>
      <w:r>
        <w:t xml:space="preserve">El umbral sale de una fuente oficial y no de una regla general.</w:t>
      </w:r>
    </w:p>
    <w:p>
      <w:pPr>
        <w:pStyle w:val="Compact"/>
        <w:numPr>
          <w:ilvl w:val="0"/>
          <w:numId w:val="1004"/>
        </w:numPr>
      </w:pPr>
      <w:r>
        <w:t xml:space="preserve">Conecta la hipótesis directamente con la vacancia, porque mide si el perímetro consolidado y los shocks identificados cambian el diagnóstico del FMI.</w:t>
      </w:r>
    </w:p>
    <w:p>
      <w:pPr>
        <w:pStyle w:val="Compact"/>
        <w:numPr>
          <w:ilvl w:val="0"/>
          <w:numId w:val="1004"/>
        </w:numPr>
      </w:pPr>
      <w:r>
        <w:t xml:space="preserve">Es mucho más probable que tenga un resultado informativo. Con un corte del 50%, si el FMI da 97% de estabilización, H1b casi seguro se rechaza.</w:t>
      </w:r>
    </w:p>
    <w:p>
      <w:pPr>
        <w:pStyle w:val="FirstParagraph"/>
      </w:pPr>
      <w:r>
        <w:t xml:space="preserve">La desventaja es que la comparación no es exacta: el escenario base del FMI incorpora los supuestos de política del programa. Hay que usar el mismo escenario base, o explicar la diferencia.</w:t>
      </w:r>
      <w:r>
        <w:t xml:space="preserve"> </w:t>
      </w:r>
      <w:r>
        <w:rPr>
          <w:b/>
          <w:bCs/>
        </w:rPr>
        <w:t xml:space="preserve">Decidir en el grupo.</w:t>
      </w:r>
    </w:p>
    <w:bookmarkEnd w:id="35"/>
    <w:bookmarkStart w:id="36" w:name="X11e66d3a982dd3b3472471caeb818aa3f8bf4b7"/>
    <w:p>
      <w:pPr>
        <w:pStyle w:val="Heading2"/>
      </w:pPr>
      <w:r>
        <w:t xml:space="preserve">Nota 3. Tamaño del shock de la FED (pendiente)</w:t>
      </w:r>
    </w:p>
    <w:p>
      <w:pPr>
        <w:pStyle w:val="FirstParagraph"/>
      </w:pPr>
      <w:r>
        <w:t xml:space="preserve">Los +100 puntos básicos de la versión anterior no estaban justificados y se sacaron. Hay dos criterios defendibles: un desvío estándar de la variación trimestral de la tasa sombra de la FED en 1996-2025, que es la convención de la literatura de VAR, o un episodio histórico como el ciclo de subas de 2022-2023. Se decide con la serie construida.</w:t>
      </w:r>
    </w:p>
    <w:bookmarkEnd w:id="36"/>
    <w:bookmarkStart w:id="37" w:name="X2cff6b1868df304be9b72ed4e5d5e3de2a6a214"/>
    <w:p>
      <w:pPr>
        <w:pStyle w:val="Heading2"/>
      </w:pPr>
      <w:r>
        <w:t xml:space="preserve">Nota 4. Cambios respecto del texto de Santiago</w:t>
      </w:r>
    </w:p>
    <w:p>
      <w:pPr>
        <w:pStyle w:val="FirstParagraph"/>
      </w:pPr>
      <w:r>
        <w:rPr>
          <w:b/>
          <w:bCs/>
        </w:rPr>
        <w:t xml:space="preserve">Introducción:</w:t>
      </w:r>
    </w:p>
    <w:p>
      <w:pPr>
        <w:pStyle w:val="Compact"/>
        <w:numPr>
          <w:ilvl w:val="0"/>
          <w:numId w:val="1005"/>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05"/>
        </w:numPr>
      </w:pPr>
      <w:r>
        <w:rPr>
          <w:b/>
          <w:bCs/>
        </w:rPr>
        <w:t xml:space="preserve">Citas corregidas:</w:t>
      </w:r>
    </w:p>
    <w:p>
      <w:pPr>
        <w:pStyle w:val="Compact"/>
        <w:numPr>
          <w:ilvl w:val="1"/>
          <w:numId w:val="1006"/>
        </w:numPr>
      </w:pPr>
      <w:r>
        <w:t xml:space="preserve">Reinhart et al. (2003) se usa ahora para la intolerancia a la deuda.</w:t>
      </w:r>
    </w:p>
    <w:p>
      <w:pPr>
        <w:pStyle w:val="Compact"/>
        <w:numPr>
          <w:ilvl w:val="1"/>
          <w:numId w:val="1006"/>
        </w:numPr>
      </w:pPr>
      <w:r>
        <w:t xml:space="preserve">Mendoza y Oviedo (2007), para la incertidumbre y el límite de deuda.</w:t>
      </w:r>
    </w:p>
    <w:p>
      <w:pPr>
        <w:pStyle w:val="Compact"/>
        <w:numPr>
          <w:ilvl w:val="1"/>
          <w:numId w:val="1006"/>
        </w:numPr>
      </w:pPr>
      <w:r>
        <w:t xml:space="preserve">La fatiga fiscal pasa a Ghosh et al. (2013).</w:t>
      </w:r>
    </w:p>
    <w:p>
      <w:pPr>
        <w:pStyle w:val="Compact"/>
        <w:numPr>
          <w:ilvl w:val="1"/>
          <w:numId w:val="1006"/>
        </w:numPr>
      </w:pPr>
      <w:r>
        <w:t xml:space="preserve">Ando et al. queda con año 2025.</w:t>
      </w:r>
    </w:p>
    <w:p>
      <w:pPr>
        <w:pStyle w:val="Compact"/>
        <w:numPr>
          <w:ilvl w:val="1"/>
          <w:numId w:val="1006"/>
        </w:numPr>
      </w:pPr>
      <w:r>
        <w:t xml:space="preserve">Se sacan Garud y la tesis propia.</w:t>
      </w:r>
    </w:p>
    <w:p>
      <w:pPr>
        <w:pStyle w:val="Compact"/>
        <w:numPr>
          <w:ilvl w:val="0"/>
          <w:numId w:val="1005"/>
        </w:numPr>
      </w:pPr>
      <w:r>
        <w:rPr>
          <w:b/>
          <w:bCs/>
        </w:rPr>
        <w:t xml:space="preserve">Canal cuasifiscal del shock de la FED:</w:t>
      </w:r>
      <w:r>
        <w:t xml:space="preserve"> </w:t>
      </w:r>
      <w:r>
        <w:t xml:space="preserve">se redacta en pasado.</w:t>
      </w:r>
    </w:p>
    <w:p>
      <w:pPr>
        <w:pStyle w:val="Compact"/>
        <w:numPr>
          <w:ilvl w:val="0"/>
          <w:numId w:val="1005"/>
        </w:numPr>
      </w:pPr>
      <w:r>
        <w:rPr>
          <w:b/>
          <w:bCs/>
        </w:rPr>
        <w:t xml:space="preserve">Pregunta e hipótesis:</w:t>
      </w:r>
      <w:r>
        <w:t xml:space="preserve"> </w:t>
      </w:r>
      <w:r>
        <w:t xml:space="preserve">se acorta la pregunta, se agregan seis objetivos específicos y H1a pasa a ser contrastable.</w:t>
      </w:r>
    </w:p>
    <w:p>
      <w:pPr>
        <w:pStyle w:val="Compact"/>
        <w:numPr>
          <w:ilvl w:val="0"/>
          <w:numId w:val="1005"/>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07"/>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07"/>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07"/>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08"/>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08"/>
        </w:numPr>
      </w:pPr>
      <w:r>
        <w:rPr>
          <w:b/>
          <w:bCs/>
        </w:rPr>
        <w:t xml:space="preserve">Párrafo cortado:</w:t>
      </w:r>
      <w:r>
        <w:t xml:space="preserve"> </w:t>
      </w:r>
      <w:r>
        <w:t xml:space="preserve">el párrafo de Santiago sobre la subordinación del BCRA, que estaba cortado, se completó y quedó marcado para verificar.</w:t>
      </w:r>
    </w:p>
    <w:bookmarkEnd w:id="37"/>
    <w:bookmarkStart w:id="38" w:name="nota-5.-pendientes-de-verificación"/>
    <w:p>
      <w:pPr>
        <w:pStyle w:val="Heading2"/>
      </w:pPr>
      <w:r>
        <w:t xml:space="preserve">Nota 5. Pendientes de verificación</w:t>
      </w:r>
    </w:p>
    <w:p>
      <w:pPr>
        <w:pStyle w:val="Compact"/>
        <w:numPr>
          <w:ilvl w:val="0"/>
          <w:numId w:val="1009"/>
        </w:numPr>
      </w:pPr>
      <w:r>
        <w:t xml:space="preserve">Si hubo emisión bajo ley de Nueva York en 2026.</w:t>
      </w:r>
    </w:p>
    <w:p>
      <w:pPr>
        <w:pStyle w:val="Compact"/>
        <w:numPr>
          <w:ilvl w:val="0"/>
          <w:numId w:val="1009"/>
        </w:numPr>
      </w:pPr>
      <w:r>
        <w:t xml:space="preserve">La fuente oficial de la colocación de diciembre de 2025.</w:t>
      </w:r>
    </w:p>
    <w:p>
      <w:pPr>
        <w:pStyle w:val="Compact"/>
        <w:numPr>
          <w:ilvl w:val="0"/>
          <w:numId w:val="1009"/>
        </w:numPr>
      </w:pPr>
      <w:r>
        <w:t xml:space="preserve">El nivel de los pasivos del BCRA a fines de 2025 en nuestra serie.</w:t>
      </w:r>
    </w:p>
    <w:p>
      <w:pPr>
        <w:pStyle w:val="Compact"/>
        <w:numPr>
          <w:ilvl w:val="0"/>
          <w:numId w:val="1009"/>
        </w:numPr>
      </w:pPr>
      <w:r>
        <w:t xml:space="preserve">Las cuatro referencias con dos versiones distintas: Adler y Sosa, Adler y Magud, Cetrángolo et al., y Wijayanti y Rachmanira.</w:t>
      </w:r>
    </w:p>
    <w:p>
      <w:pPr>
        <w:pStyle w:val="Compact"/>
        <w:numPr>
          <w:ilvl w:val="0"/>
          <w:numId w:val="1009"/>
        </w:numPr>
      </w:pPr>
      <w:r>
        <w:t xml:space="preserve">Bouabdallah et al. (2017).</w:t>
      </w:r>
    </w:p>
    <w:p>
      <w:pPr>
        <w:pStyle w:val="Compact"/>
        <w:numPr>
          <w:ilvl w:val="0"/>
          <w:numId w:val="1009"/>
        </w:numPr>
      </w:pPr>
      <w:r>
        <w:t xml:space="preserve">Las cifras de FMI (2024).</w:t>
      </w:r>
    </w:p>
    <w:p>
      <w:pPr>
        <w:pStyle w:val="Compact"/>
        <w:numPr>
          <w:ilvl w:val="0"/>
          <w:numId w:val="1009"/>
        </w:numPr>
      </w:pPr>
      <w:r>
        <w:t xml:space="preserve">Porto (2020) y Damill et al. (2015) para el párrafo del BCRA.</w:t>
      </w:r>
    </w:p>
    <w:p>
      <w:pPr>
        <w:pStyle w:val="Compact"/>
        <w:numPr>
          <w:ilvl w:val="0"/>
          <w:numId w:val="1009"/>
        </w:numPr>
      </w:pPr>
      <w:r>
        <w:t xml:space="preserve">Klemm et al. (2014).</w:t>
      </w:r>
    </w:p>
    <w:p>
      <w:pPr>
        <w:pStyle w:val="Compact"/>
        <w:numPr>
          <w:ilvl w:val="0"/>
          <w:numId w:val="1009"/>
        </w:numPr>
      </w:pPr>
      <w:r>
        <w:t xml:space="preserve">Levy Yeyati y Sturzenegger: confirmar que su VAR no incluye riesgo soberano.</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Interrupción repentina de los flujos de capital.</w:t>
      </w:r>
    </w:p>
  </w:footnote>
  <w:footnote w:id="15">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1">
    <w:p>
      <w:pPr>
        <w:pStyle w:val="FootnoteText"/>
      </w:pPr>
      <w:r>
        <w:rPr>
          <w:rStyle w:val="FootnoteReference"/>
        </w:rPr>
        <w:footnoteRef/>
      </w:r>
      <w:r>
        <w:t xml:space="preserve"> </w:t>
      </w:r>
      <w:r>
        <w:t xml:space="preserve">Acreedores que rechazan una reestructuración y reclaman judicialmente el pago completo.</w:t>
      </w:r>
    </w:p>
  </w:footnote>
  <w:footnote w:id="25">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6">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y Antecedentes (versión 3, borrador para el grupo)</dc:title>
  <dc:creator/>
  <cp:keywords/>
  <dcterms:created xsi:type="dcterms:W3CDTF">2026-10-11T00:49:55Z</dcterms:created>
  <dcterms:modified xsi:type="dcterms:W3CDTF">2026-10-11T00:49:55Z</dcterms:modified>
</cp:coreProperties>
</file>

<file path=docProps/custom.xml><?xml version="1.0" encoding="utf-8"?>
<Properties xmlns="http://schemas.openxmlformats.org/officeDocument/2006/custom-properties" xmlns:vt="http://schemas.openxmlformats.org/officeDocument/2006/docPropsVTypes"/>
</file>