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documentar mejor las tenencias del FGS (sección 8).</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se resolvió en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la definición operativa del FMI);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La versión final tiene 94 páginas con referencias y apéndice. Si la cátedra fija un máximo menor, hay que recortar.</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Resuelto (D16).</w:t>
      </w:r>
      <w:r>
        <w:t xml:space="preserve"> </w:t>
      </w:r>
      <w:r>
        <w:t xml:space="preserve">El código calcula las dos métricas, más la lectura literal del recuadro 3, con las 1.000 réplicas. La definición operativa del FMI decide el contraste, porque de ella salen las cifras de comparación; la métrica anual se informa como complemento. Con la definición del FMI: 3,1% [0,0; 6,3] en 2031 y 5,1% [0,0; 10,2] en 2035, de modo que H1b no se respalda; la condición (ii) de H1a tampoco (0,9% con el máximo histórico); H2 se mantiene (+17,1 [0,6; 32,6]). H1a y H1b quedan no respaldadas y H2, parcialmente respaldada.</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2026-10-20T12:57:36Z</dcterms:created>
  <dcterms:modified xsi:type="dcterms:W3CDTF">2026-10-20T12:57:36Z</dcterms:modified>
</cp:coreProperties>
</file>

<file path=docProps/custom.xml><?xml version="1.0" encoding="utf-8"?>
<Properties xmlns="http://schemas.openxmlformats.org/officeDocument/2006/custom-properties" xmlns:vt="http://schemas.openxmlformats.org/officeDocument/2006/docPropsVTypes"/>
</file>