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ban-hechas"/>
    <w:p>
      <w:pPr>
        <w:pStyle w:val="Heading3"/>
      </w:pPr>
      <w:r>
        <w:t xml:space="preserve">Las cuatro piezas que faltaban (hechas)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coherente: bruta, neta a valor libros y neta con las Letras Intransferibles a valor nominal (la principal).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de Wu y Xia, trimestrales.</w:t>
      </w:r>
    </w:p>
    <w:p>
      <w:pPr>
        <w:pStyle w:val="Compact"/>
        <w:numPr>
          <w:ilvl w:val="0"/>
          <w:numId w:val="1004"/>
        </w:numPr>
      </w:pPr>
      <w:r>
        <w:t xml:space="preserve">SVARX nuevo (</w:t>
      </w:r>
      <w:r>
        <w:rPr>
          <w:rStyle w:val="VerbatimChar"/>
        </w:rPr>
        <w:t xml:space="preserve">fase24_svarx_1996_2025.py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Simulación desde el SVARX con la métrica del FMI (</w:t>
      </w:r>
      <w:r>
        <w:rPr>
          <w:rStyle w:val="VerbatimChar"/>
        </w:rPr>
        <w:t xml:space="preserve">fase25_simulacion_dsa_svarx.py</w:t>
      </w:r>
      <w:r>
        <w:t xml:space="preserve">), más la variante con shocks a la manera del FMI y su diagnóstico (</w:t>
      </w:r>
      <w:r>
        <w:rPr>
          <w:rStyle w:val="VerbatimChar"/>
        </w:rPr>
        <w:t xml:space="preserve">fase25b_diagnostico_abanico_fmi.py</w:t>
      </w:r>
      <w:r>
        <w:t xml:space="preserve">).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FMI, con el escenario base del FMI. Desde el 11/10/2026 se usa el análisis más reciente (FMI, 2026: 1,0% a mediano plazo y menos de 3% a diez años); el de abril de 2025 (3%) queda como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diagnóstico. El escenario y el umbral se toman siempre del mismo informe.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Una sola muestra de estimación: todas las especificaciones se estiman sobre la misma muestra efectiva, 1998T2-2025T4, y los primeros trimestres de 1996-1998 se usan como condiciones iniciales de los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criterios de información solo se pueden comparar entre órdenes sobre un mismo período (Lütkepohl, 2005, sec. 4.3), y así la deuda neta, la neta en libros y la bruta se estiman sobre los mismos trimestres.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se contrasta a cinco años (2030) y a diez años (2035).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Son los dos horizontes del FMI (2026): el abanico de mediano plazo y el de diez años, que termina en 2035.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shock de la FED se mide de dos maneras: un desvío estándar (0,50 puntos) y el ciclo de 2022-2023 (5,25 puntos).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Convención de la literatura de VAR y episodio histórico reciente.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especificación principal es el SVARX; los shocks a la manera del FMI se informan como comparación. La elección se fijó antes de ver los resultados.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Solo los shocks identificados permiten contrastar H1a (bloques de shocks) y H2 (shock externo).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de tasas en pesos se informa como variante: el riesgo país también reprecia la deuda en pesos.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interés del país (Neumeyer y Perri, 2005; Uribe y Yue, 2006). No hay una tasa en pesos homogénea para 1996-2025 que permita sumarla al VAR.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8e6682cd329c11d0be0fd84830bfe77f1960cf0"/>
    <w:p>
      <w:pPr>
        <w:pStyle w:val="Heading3"/>
      </w:pPr>
      <w:r>
        <w:t xml:space="preserve">Etapa 1. Introducción (hecha; en revisión del grupo)</w:t>
      </w:r>
    </w:p>
    <w:p>
      <w:pPr>
        <w:pStyle w:val="Compact"/>
        <w:numPr>
          <w:ilvl w:val="0"/>
          <w:numId w:val="1005"/>
        </w:numPr>
      </w:pPr>
      <w:r>
        <w:t xml:space="preserve">Borrador corregido, con la H1a de Santiago, H1b a cinco y diez años y el tamaño del shock de la FED definido.</w:t>
      </w:r>
    </w:p>
    <w:bookmarkEnd w:id="16"/>
    <w:bookmarkStart w:id="17" w:name="X21d30eca0d7e3f1d214a006535a93fa47abd3ed"/>
    <w:p>
      <w:pPr>
        <w:pStyle w:val="Heading3"/>
      </w:pPr>
      <w:r>
        <w:t xml:space="preserve">Etapa 2. Antecedentes y área de vacancia (hecha; en revisión del grupo)</w:t>
      </w:r>
    </w:p>
    <w:p>
      <w:pPr>
        <w:pStyle w:val="Compact"/>
        <w:numPr>
          <w:ilvl w:val="0"/>
          <w:numId w:val="1006"/>
        </w:numPr>
      </w:pPr>
      <w:r>
        <w:t xml:space="preserve">Ocho ejes y la vacancia en tres partes, con el perímetro del FMI verificado en su informe de 2025.</w:t>
      </w:r>
    </w:p>
    <w:bookmarkEnd w:id="17"/>
    <w:bookmarkStart w:id="18" w:name="etapa-3.-datos-hecha"/>
    <w:p>
      <w:pPr>
        <w:pStyle w:val="Heading3"/>
      </w:pPr>
      <w:r>
        <w:t xml:space="preserve">Etapa 3. Datos (hecha)</w:t>
      </w:r>
    </w:p>
    <w:p>
      <w:pPr>
        <w:pStyle w:val="Compact"/>
        <w:numPr>
          <w:ilvl w:val="0"/>
          <w:numId w:val="1007"/>
        </w:numPr>
      </w:pPr>
      <w:r>
        <w:t xml:space="preserve">Series construidas desde fuentes primarias (MECON, BCRA, INDEC, FRED) y controladas contra el FMI (Capítulo 5).</w:t>
      </w:r>
    </w:p>
    <w:bookmarkEnd w:id="18"/>
    <w:bookmarkStart w:id="19" w:name="etapa-4.-metodología-hecha"/>
    <w:p>
      <w:pPr>
        <w:pStyle w:val="Heading3"/>
      </w:pPr>
      <w:r>
        <w:t xml:space="preserve">Etapa 4. Metodología (hecha)</w:t>
      </w:r>
    </w:p>
    <w:p>
      <w:pPr>
        <w:pStyle w:val="Compact"/>
        <w:numPr>
          <w:ilvl w:val="0"/>
          <w:numId w:val="1008"/>
        </w:numPr>
      </w:pPr>
      <w:r>
        <w:t xml:space="preserve">SVARX, identificación, muestra de estimación común, rezagos con regla AIC más estabilidad, canales de la FED, variantes y criterios de contraste (Capítulo 4).</w:t>
      </w:r>
    </w:p>
    <w:bookmarkEnd w:id="19"/>
    <w:bookmarkStart w:id="20" w:name="etapa-5.-estimación-hecha"/>
    <w:p>
      <w:pPr>
        <w:pStyle w:val="Heading3"/>
      </w:pPr>
      <w:r>
        <w:t xml:space="preserve">Etapa 5. Estimación (hecha)</w:t>
      </w:r>
    </w:p>
    <w:p>
      <w:pPr>
        <w:pStyle w:val="Compact"/>
        <w:numPr>
          <w:ilvl w:val="0"/>
          <w:numId w:val="1009"/>
        </w:numPr>
      </w:pPr>
      <w:r>
        <w:t xml:space="preserve">Reacción fiscal 0,051 [0,020; 0,082]; respuestas a la FED no significativas por separado; diagnósticos informados (Capítulo 6).</w:t>
      </w:r>
    </w:p>
    <w:bookmarkEnd w:id="20"/>
    <w:bookmarkStart w:id="21" w:name="etapa-6.-simulación-hecha"/>
    <w:p>
      <w:pPr>
        <w:pStyle w:val="Heading3"/>
      </w:pPr>
      <w:r>
        <w:t xml:space="preserve">Etapa 6. Simulación (hecha)</w:t>
      </w:r>
    </w:p>
    <w:p>
      <w:pPr>
        <w:pStyle w:val="Compact"/>
        <w:numPr>
          <w:ilvl w:val="0"/>
          <w:numId w:val="1010"/>
        </w:numPr>
      </w:pPr>
      <w:r>
        <w:t xml:space="preserve">Escenario base y dos escenarios de la FED, robustez por perímetro, canal de tasas en pesos y shocks a la manera del FMI.</w:t>
      </w:r>
    </w:p>
    <w:bookmarkEnd w:id="21"/>
    <w:bookmarkStart w:id="22" w:name="Xc907a071765566996626b616efabd2797d61fd7"/>
    <w:p>
      <w:pPr>
        <w:pStyle w:val="Heading3"/>
      </w:pPr>
      <w:r>
        <w:t xml:space="preserve">Etapa 7. Resultados, discusión y conclusiones (borrador listo para revisión del grupo)</w:t>
      </w:r>
    </w:p>
    <w:p>
      <w:pPr>
        <w:pStyle w:val="Compact"/>
        <w:numPr>
          <w:ilvl w:val="0"/>
          <w:numId w:val="1011"/>
        </w:numPr>
      </w:pPr>
      <w:r>
        <w:t xml:space="preserve">Resultados corregidos tras la revisión adversarial del 11/10 (inflación relativa del FMI en la identidad, retroalimentación sobre el desvío acumulado, corrección de sesgo de Kilian, deuda regenerada en el bootstrap, horizonte 2031, senda real de la FED 2022-2025). H1b respaldada y robusta: 25,2% en 2031 [19,0; 27,7] contra 1%, y 22,3% en 2035 contra menos de 3%, en las 18 especificaciones. H1a respaldada por suficiencia: hace falta un superávit de 7,0% del PIB, el doble del máximo histórico (3,6%); la descomposición de la varianza no es robusta. H2 respaldada de manera débil: +13 puntos de probabilidad en 2035 [1; 25], que no se sostienen con Bonferroni.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2"/>
        </w:numPr>
      </w:pPr>
      <w:r>
        <w:t xml:space="preserve">Revisión del grupo y del director, y pasaje al formato final.</w:t>
      </w:r>
    </w:p>
    <w:bookmarkEnd w:id="23"/>
    <w:bookmarkEnd w:id="24"/>
    <w:bookmarkStart w:id="29" w:name="Xa8e40bf0238b7256ac06a4dd328c61f94733314"/>
    <w:p>
      <w:pPr>
        <w:pStyle w:val="Heading2"/>
      </w:pPr>
      <w:r>
        <w:t xml:space="preserve">5. Qué falta: tareas, verificaciones y decisiones (actualizado el 11/10/2026)</w:t>
      </w:r>
    </w:p>
    <w:bookmarkStart w:id="25" w:name="datos-que-hay-que-bajar-o-confirmar"/>
    <w:p>
      <w:pPr>
        <w:pStyle w:val="Heading3"/>
      </w:pPr>
      <w:r>
        <w:t xml:space="preserve">5.1 Datos que hay que bajar o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deuda neta no descuenta la deuda del Tesoro en manos del FGS. Por eso queda unos 8 a 10 puntos del PIB por encima de la consolidada del FMI (119,0 contra 110,8 en 2023; 61,1 contra 51,5 en 2024). Según una nota de prensa no verificada, la cartera de títulos del FGS rondaba los USD 44.000 millones en octubre de 2024 (cerca de 7,7% del PIB): del orden de la brecha.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Sirve como dato descriptivo de la deuda intra-sector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Ya 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(trimestral 2021-2025; anual en % del PIB 2004-2025),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LEFI entre julio de 2024 y julio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no estaban en la deuda del Tesoro, faltaban en la consolidada.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Verificado en el Informe de Deuda del MECON al 31/12/2024 (hoja A.1.7): la LeFi/$/TNAPM/17-07-2025 figura en el stock de títulos y letras del Tesoro en moneda nacional, por 23,0 billones de pesos. Está en la deuda bruta, y la parte en poder del BCRA se resta como tenencia del BCRA. No falta nada.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Resuelto</w:t>
            </w:r>
          </w:p>
        </w:tc>
      </w:tr>
    </w:tbl>
    <w:bookmarkEnd w:id="25"/>
    <w:bookmarkStart w:id="26" w:name="verificaciones-de-citas"/>
    <w:p>
      <w:pPr>
        <w:pStyle w:val="Heading3"/>
      </w:pPr>
      <w:r>
        <w:t xml:space="preserve">5.2 Verificaciones de citas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original; si no, se cita a través de la fuente secundaria (Katz y Kosacoff, CEPAL) indicándolo.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verificó sobre el documento de trabajo del FMI (WP/14/60), no sobre la versión de la revista. Conviene leer la versión publicada si el tribunal lo exige.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siete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6"/>
    <w:bookmarkStart w:id="27" w:name="decisiones-abiertas-para-el-grupo"/>
    <w:p>
      <w:pPr>
        <w:pStyle w:val="Heading3"/>
      </w:pPr>
      <w:r>
        <w:t xml:space="preserve">5.3 Decisiones abiertas para el grupo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Criterio de H1a (decidido el 11/10, para revisar con el grupo).</w:t>
      </w:r>
      <w:r>
        <w:t xml:space="preserve"> </w:t>
      </w:r>
      <w:r>
        <w:t xml:space="preserve">La descomposición de la varianza no mide si el superávit alcanza, y con las correcciones no es significativa ni robusta. El criterio principal pasa a ser el contraste de suficiencia: el superávit que haría falta para llevar la probabilidad de no estabilización al 1% del FMI, comparado con el máximo histórico del Sector Público Nacional. La varianza se sigue informando. Conviene que Santiago y Pablo lo validen, porque es un cambio de criterio.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Deuda neta con o sin FGS.</w:t>
      </w:r>
      <w:r>
        <w:t xml:space="preserve"> </w:t>
      </w:r>
      <w:r>
        <w:t xml:space="preserve">Cuando esté la serie del FGS, hay que definir si la deuda neta sin el FGS pasa a ser la especificación principal, porque es la más parecida a la del FMI, o si queda como robustez. En los dos casos hay que reestimar y volver a simular.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Propuestas del grupo ya incorporadas el 11/10.</w:t>
      </w:r>
      <w:r>
        <w:t xml:space="preserve"> </w:t>
      </w:r>
      <w:r>
        <w:t xml:space="preserve">Por un lado, la retroalimentación entre la deuda y las variables (arquitectura B de Santiago): un punto más de deuda sube el EMBI+ 22 puntos básicos [11; 41], y está en la sección 6.1. Por otro, el contraste sin retroalimentación (arquitectura A), en la sección 6.6. Se repuso además en las líneas futuras el panel Argentina-Chile (decisión del 17/9), y se sumaron los shocks de la FED de alta frecuencia y los términos de intercambio que proponía Santiago.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Escenario base del FMI actualizado (11/10/2026).</w:t>
      </w:r>
      <w:r>
        <w:t xml:space="preserve"> </w:t>
      </w:r>
      <w:r>
        <w:t xml:space="preserve">El FMI publicó dos análisis de sostenibilidad posteriores al de abril de 2025: la primera revisión (Informe 25/219, agosto de 2025) y el Artículo IV con la segunda revisión (Informe 26/105, mayo de 2026). Se pasó al de mayo de 2026, extraído del PDF con</w:t>
      </w:r>
      <w:r>
        <w:t xml:space="preserve"> </w:t>
      </w:r>
      <w:r>
        <w:rPr>
          <w:rStyle w:val="VerbatimChar"/>
        </w:rPr>
        <w:t xml:space="preserve">codigo/ingesta_datos/extraer_escenario_base_fmi_cr26105.py</w:t>
      </w:r>
      <w:r>
        <w:t xml:space="preserve">. La tesis, los gráficos y la guía de defensa ya usan esas cifras.</w:t>
      </w:r>
    </w:p>
    <w:bookmarkEnd w:id="27"/>
    <w:bookmarkStart w:id="28" w:name="otras-tareas"/>
    <w:p>
      <w:pPr>
        <w:pStyle w:val="Heading3"/>
      </w:pPr>
      <w:r>
        <w:t xml:space="preserve">5.4 Otras tareas</w:t>
      </w:r>
    </w:p>
    <w:p>
      <w:pPr>
        <w:pStyle w:val="Compact"/>
        <w:numPr>
          <w:ilvl w:val="0"/>
          <w:numId w:val="1014"/>
        </w:numPr>
      </w:pPr>
      <w:r>
        <w:t xml:space="preserve">Revisión del texto completo por el grupo y por Pablo.</w:t>
      </w:r>
    </w:p>
    <w:p>
      <w:pPr>
        <w:pStyle w:val="Compact"/>
        <w:numPr>
          <w:ilvl w:val="0"/>
          <w:numId w:val="1014"/>
        </w:numPr>
      </w:pPr>
      <w:r>
        <w:t xml:space="preserve">Confirmado: no se pide resumen en inglés y la extensión tiene que ser corta. Candidato a recortar: el capítulo de Datos, llevando el detalle de construcción al apéndice.</w:t>
      </w:r>
    </w:p>
    <w:p>
      <w:pPr>
        <w:pStyle w:val="Compact"/>
        <w:numPr>
          <w:ilvl w:val="0"/>
          <w:numId w:val="1014"/>
        </w:numPr>
      </w:pPr>
      <w:r>
        <w:t xml:space="preserve">Hecho: se borraron de</w:t>
      </w:r>
      <w:r>
        <w:t xml:space="preserve"> </w:t>
      </w:r>
      <w:r>
        <w:rPr>
          <w:rStyle w:val="VerbatimChar"/>
        </w:rPr>
        <w:t xml:space="preserve">tesis/figuras/</w:t>
      </w:r>
      <w:r>
        <w:t xml:space="preserve"> </w:t>
      </w:r>
      <w:r>
        <w:t xml:space="preserve">las figuras de los modelos viejos que ya no usaba ningún capítulo (quedan en el historial de git).</w:t>
      </w:r>
    </w:p>
    <w:bookmarkEnd w:id="28"/>
    <w:bookmarkEnd w:id="29"/>
    <w:bookmarkStart w:id="30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5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2026-10-12T17:49:56Z</dcterms:created>
  <dcterms:modified xsi:type="dcterms:W3CDTF">2026-10-12T17:49:56Z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