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9" w:name="resumen"/>
    <w:p>
      <w:pPr>
        <w:pStyle w:val="Heading1"/>
      </w:pPr>
      <w:r>
        <w:t xml:space="preserve">Resumen</w:t>
      </w:r>
    </w:p>
    <w:p>
      <w:pPr>
        <w:pStyle w:val="FirstParagraph"/>
      </w:pPr>
      <w:r>
        <w:rPr>
          <w:b/>
          <w:bCs/>
        </w:rPr>
        <w:t xml:space="preserve">Objetivo.</w:t>
      </w:r>
      <w:r>
        <w:t xml:space="preserve"> </w:t>
      </w:r>
      <w:r>
        <w:t xml:space="preserve">La tesis evalúa la sostenibilidad de la deuda pública consolidada argentina, que suma la del Tesoro nacional y la del Banco Central, en el horizonte 2026-2035, a partir de sus determinantes macroeconómicos históricos (1996-2025): el crecimiento, el tipo de cambio real, el riesgo país y el resultado primario.</w:t>
      </w:r>
    </w:p>
    <w:p>
      <w:pPr>
        <w:pStyle w:val="BodyText"/>
      </w:pPr>
      <w:r>
        <w:rPr>
          <w:b/>
          <w:bCs/>
        </w:rPr>
        <w:t xml:space="preserve">Metodología.</w:t>
      </w:r>
      <w:r>
        <w:t xml:space="preserve"> </w:t>
      </w:r>
      <w:r>
        <w:t xml:space="preserve">Se estima un modelo de vectores autorregresivos estructural con variables exógenas (SVARX) sobre datos trimestrales, con la tasa de política de la Reserva Federal y la volatilidad financiera global como variables externas. Los</w:t>
      </w:r>
      <w:r>
        <w:t xml:space="preserve"> </w:t>
      </w:r>
      <w:r>
        <w:rPr>
          <w:i/>
          <w:iCs/>
        </w:rPr>
        <w:t xml:space="preserve">shocks</w:t>
      </w:r>
      <w:r>
        <w:t xml:space="preserve"> </w:t>
      </w:r>
      <w:r>
        <w:t xml:space="preserve">fiscales se identifican con el método de Blanchard y Perotti (2002), y la deuda consolidada neta se construye según el criterio del FMI (2021). Con el modelo se simulan las trayectorias de la deuda alrededor del escenario base del análisis de sostenibilidad del FMI de 2026, y se mide la probabilidad de que la deuda no se estabilice, que es una de las métricas del marco de sostenibilidad del FMI. La comparación se hace contra las cifras que el FMI informa para la deuda federal bruta.</w:t>
      </w:r>
    </w:p>
    <w:p>
      <w:pPr>
        <w:pStyle w:val="BodyText"/>
      </w:pPr>
      <w:r>
        <w:rPr>
          <w:b/>
          <w:bCs/>
        </w:rPr>
        <w:t xml:space="preserve">Resultados.</w:t>
      </w:r>
      <w:r>
        <w:t xml:space="preserve"> </w:t>
      </w:r>
      <w:r>
        <w:t xml:space="preserve">La probabilidad de que la deuda no se estabilice es de 25,2% en 2031, con un intervalo de 90% de 19,0% a 27,7%, frente a 1% en el análisis del FMI, y de 22,3% en 2035, frente a menos de 3%. El resultado se mantiene en 18 especificaciones alternativas. La política fiscal respondió a la deuda en el período, pero para llevar la probabilidad al nivel del FMI el superávit primario tendría que ser de 7,0% del PIB, el doble del máximo de tres décadas. Un endurecimiento de la Reserva Federal como el de 2022-2025 eleva la probabilidad de no estabilización, pero el efecto se estima con poca precisión.</w:t>
      </w:r>
    </w:p>
    <w:p>
      <w:pPr>
        <w:pStyle w:val="BodyText"/>
      </w:pPr>
      <w:r>
        <w:rPr>
          <w:b/>
          <w:bCs/>
        </w:rPr>
        <w:t xml:space="preserve">Conclusión.</w:t>
      </w:r>
      <w:r>
        <w:t xml:space="preserve"> </w:t>
      </w:r>
      <w:r>
        <w:t xml:space="preserve">El superávit primario es necesario pero, por sí solo, no basta para estabilizar la deuda. Con las series argentinas de 1996-2025, el diagnóstico de sostenibilidad resulta más exigente que el del FMI.</w:t>
      </w:r>
    </w:p>
    <w:p>
      <w:pPr>
        <w:pStyle w:val="BodyText"/>
      </w:pPr>
      <w:r>
        <w:rPr>
          <w:b/>
          <w:bCs/>
        </w:rPr>
        <w:t xml:space="preserve">Palabras clave:</w:t>
      </w:r>
      <w:r>
        <w:t xml:space="preserve"> </w:t>
      </w:r>
      <w:r>
        <w:t xml:space="preserve">deuda pública, sostenibilidad fiscal, SVARX, gráfico de abanico, riesgo soberano, Argentina.</w:t>
      </w:r>
    </w:p>
    <w:p>
      <w:pPr>
        <w:pStyle w:val="BodyText"/>
      </w:pPr>
      <w:r>
        <w:rPr>
          <w:b/>
          <w:bCs/>
        </w:rPr>
        <w:t xml:space="preserve">Clasificación JEL:</w:t>
      </w:r>
      <w:r>
        <w:t xml:space="preserve"> </w:t>
      </w:r>
      <w:r>
        <w:t xml:space="preserve">C32, E62, F34, H63, H68.</w:t>
      </w:r>
    </w:p>
    <w:bookmarkEnd w:id="9"/>
    <w:bookmarkStart w:id="23" w:name="introducción"/>
    <w:p>
      <w:pPr>
        <w:pStyle w:val="Heading1"/>
      </w:pPr>
      <w:r>
        <w:t xml:space="preserve">1. Introducción</w:t>
      </w:r>
    </w:p>
    <w:bookmarkStart w:id="13"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10"/>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
          <w:iCs/>
        </w:rPr>
        <w:t xml:space="preserve">default</w:t>
      </w:r>
      <w:r>
        <w:rPr>
          <w:rStyle w:val="FootnoteReference"/>
        </w:rPr>
        <w:footnoteReference w:id="11"/>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
          <w:iCs/>
        </w:rPr>
        <w:t xml:space="preserve">stock</w:t>
      </w:r>
      <w:r>
        <w:rPr>
          <w:rStyle w:val="FootnoteReference"/>
        </w:rPr>
        <w:footnoteReference w:id="12"/>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3"/>
    <w:bookmarkStart w:id="14" w:name="planteamiento-del-problema"/>
    <w:p>
      <w:pPr>
        <w:pStyle w:val="Heading2"/>
      </w:pPr>
      <w:r>
        <w:t xml:space="preserve">1.2 Planteamiento del problema</w:t>
      </w:r>
    </w:p>
    <w:p>
      <w:pPr>
        <w:pStyle w:val="FirstParagraph"/>
      </w:pPr>
      <w:r>
        <w:t xml:space="preserve">Resta determinar si un superávit fiscal primario alcanza para asegurar la sostenibilidad de la deuda en el mediano plazo. La alternativa es que los determinantes estructurales de la economía argentina condicionen el resultado fiscal e incrementen la probabilidad de un nuevo</w:t>
      </w:r>
      <w:r>
        <w:t xml:space="preserve"> </w:t>
      </w:r>
      <w:r>
        <w:rPr>
          <w:i/>
          <w:iCs/>
        </w:rPr>
        <w:t xml:space="preserve">default</w:t>
      </w:r>
      <w:r>
        <w:t xml:space="preserve"> </w:t>
      </w:r>
      <w:r>
        <w:t xml:space="preserve">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
          <w:iCs/>
        </w:rPr>
        <w:t xml:space="preserve">default</w:t>
      </w:r>
      <w:r>
        <w:t xml:space="preserve"> </w:t>
      </w:r>
      <w:r>
        <w:t xml:space="preserve">(Reinhart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4"/>
    <w:bookmarkStart w:id="15" w:name="preguntas-de-investigación"/>
    <w:p>
      <w:pPr>
        <w:pStyle w:val="Heading2"/>
      </w:pPr>
      <w:r>
        <w:t xml:space="preserve">1.3 Preguntas de investigación</w:t>
      </w:r>
    </w:p>
    <w:p>
      <w:pPr>
        <w:pStyle w:val="FirstParagraph"/>
      </w:pPr>
      <w:r>
        <w:t xml:space="preserve">La pregunta principal tiene dos partes. La deuda pública consolidada suma la del Tesoro nacional y la del Banco Central de la República Argentina (BCRA). La primera parte es: ¿en qué medida el crecimiento, el tipo de cambio real, el riesgo país y el resultado primario de Argentina (1996-2025) condicionan la sostenibilidad de esa deuda consolidada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w:t>
      </w:r>
      <w:r>
        <w:t xml:space="preserve"> </w:t>
      </w:r>
      <w:r>
        <w:rPr>
          <w:i/>
          <w:iCs/>
        </w:rPr>
        <w:t xml:space="preserve">stock</w:t>
      </w:r>
      <w:r>
        <w:t xml:space="preserve"> </w:t>
      </w:r>
      <w:r>
        <w:t xml:space="preserve">llegó a 18,4% del PIB en 2023 y cayó a 2,2% en 2024, cuando la esterilización monetaria pasó al Tesoro (FMI, 2025, anexo II, cuadro 2).</w:t>
      </w:r>
    </w:p>
    <w:bookmarkEnd w:id="15"/>
    <w:bookmarkStart w:id="17" w:name="objetivos"/>
    <w:p>
      <w:pPr>
        <w:pStyle w:val="Heading2"/>
      </w:pPr>
      <w:r>
        <w:t xml:space="preserve">1.4 Objetivos</w:t>
      </w:r>
    </w:p>
    <w:p>
      <w:pPr>
        <w:pStyle w:val="FirstParagraph"/>
      </w:pPr>
      <w:r>
        <w:t xml:space="preserve">El objetivo general es evaluar la dinámica de la deuda pública consolidada argentina (Tesoro nacional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(deuda del Tesoro nacional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los bloques de</w:t>
      </w:r>
      <w:r>
        <w:t xml:space="preserve"> </w:t>
      </w:r>
      <w:r>
        <w:rPr>
          <w:i/>
          <w:iCs/>
        </w:rPr>
        <w:t xml:space="preserve">shocks</w:t>
      </w:r>
      <w:r>
        <w:rPr>
          <w:rStyle w:val="FootnoteReference"/>
        </w:rPr>
        <w:footnoteReference w:id="16"/>
      </w:r>
      <w:r>
        <w:t xml:space="preserve"> </w:t>
      </w:r>
      <w:r>
        <w:t xml:space="preserve">fiscal, de actividad y cambiario y de riesgo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7"/>
    <w:bookmarkStart w:id="18"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(Tesoro nacional y BCRA), de modo que el superávit primario, por sí solo, no basta para estabilizarla en 2026-2035.</w:t>
      </w:r>
    </w:p>
    <w:p>
      <w:pPr>
        <w:pStyle w:val="BodyText"/>
      </w:pPr>
      <w:r>
        <w:t xml:space="preserve">H1b. La probabilidad de que la deuda consolidada no se estabilice, medida en 2031 (el último año del abanico de mediano plazo del FMI) y en 2035 (el final del horizonte de proyección y de su abanico de diez años), es mayor que la que el FMI reporta para la deuda federal bruta en su análisis más reciente: alrededor de 1% a mediano plazo y menos de 3% a diez años (FMI, 2026).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El</w:t>
      </w:r>
      <w:r>
        <w:t xml:space="preserve"> </w:t>
      </w:r>
      <w:r>
        <w:rPr>
          <w:i/>
          <w:iCs/>
        </w:rPr>
        <w:t xml:space="preserve">shock</w:t>
      </w:r>
      <w:r>
        <w:t xml:space="preserve"> </w:t>
      </w:r>
      <w:r>
        <w:t xml:space="preserve">se mide de dos maneras: un desvío estándar de la variación trimestral de la tasa (convención de la literatura de vectores autorregresivos, VAR) y una repetición de la senda efectiva de la tasa en 2022-2025.</w:t>
      </w:r>
    </w:p>
    <w:bookmarkEnd w:id="18"/>
    <w:bookmarkStart w:id="20"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rezagada en todas las ecuaciones del sistema y se acumula con la identidad contable, de modo que los</w:t>
      </w:r>
      <w:r>
        <w:t xml:space="preserve"> </w:t>
      </w:r>
      <w:r>
        <w:rPr>
          <w:i/>
          <w:iCs/>
        </w:rPr>
        <w:t xml:space="preserve">shocks</w:t>
      </w:r>
      <w:r>
        <w:t xml:space="preserve"> </w:t>
      </w:r>
      <w:r>
        <w:t xml:space="preserve">se transmiten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9"/>
      </w:r>
      <w:r>
        <w:t xml:space="preserve"> </w:t>
      </w:r>
      <w:r>
        <w:t xml:space="preserve">y en las métricas que utiliza el FMI para evaluar el riesgo soberano.</w:t>
      </w:r>
    </w:p>
    <w:bookmarkEnd w:id="20"/>
    <w:bookmarkStart w:id="21" w:name="justificación"/>
    <w:p>
      <w:pPr>
        <w:pStyle w:val="Heading2"/>
      </w:pPr>
      <w:r>
        <w:t xml:space="preserve">1.7 Justificación</w:t>
      </w:r>
    </w:p>
    <w:p>
      <w:pPr>
        <w:pStyle w:val="FirstParagraph"/>
      </w:pPr>
      <w:r>
        <w:t xml:space="preserve">La Ley 27.612 de Fortalecimiento de la Sostenibilidad de la Deuda Pública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la sección 2.9 muestra que la literatura sobre Argentina no ofrece todavía una estimación con</w:t>
      </w:r>
      <w:r>
        <w:t xml:space="preserve"> </w:t>
      </w:r>
      <w:r>
        <w:rPr>
          <w:i/>
          <w:iCs/>
        </w:rPr>
        <w:t xml:space="preserve">shocks</w:t>
      </w:r>
      <w:r>
        <w:t xml:space="preserve"> </w:t>
      </w:r>
      <w:r>
        <w:t xml:space="preserve">identificados sobre el perímetro consolidado.</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que aplicó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
          <w:iCs/>
        </w:rPr>
        <w:t xml:space="preserve">shock</w:t>
      </w:r>
      <w:r>
        <w:t xml:space="preserve"> </w:t>
      </w:r>
      <w:r>
        <w:t xml:space="preserve">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21"/>
    <w:bookmarkStart w:id="22"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w:t>
      </w:r>
      <w:r>
        <w:t xml:space="preserve"> </w:t>
      </w:r>
      <w:r>
        <w:rPr>
          <w:i/>
          <w:iCs/>
        </w:rPr>
        <w:t xml:space="preserve">shock</w:t>
      </w:r>
      <w:r>
        <w:t xml:space="preserve"> </w:t>
      </w:r>
      <w:r>
        <w:t xml:space="preserve">de la FED. El Capítulo 7 los discute y presenta, en la sección 7.5, las limitaciones. El Capítulo 8 reúne las conclusiones. El Apéndice estadístico completa las pruebas y estimaciones.</w:t>
      </w:r>
    </w:p>
    <w:p>
      <w:r>
        <w:pict>
          <v:rect style="width:0;height:1.5pt" o:hralign="center" o:hrstd="t" o:hr="t"/>
        </w:pict>
      </w:r>
    </w:p>
    <w:bookmarkEnd w:id="22"/>
    <w:bookmarkEnd w:id="23"/>
    <w:bookmarkStart w:id="39" w:name="antecedentes"/>
    <w:p>
      <w:pPr>
        <w:pStyle w:val="Heading1"/>
      </w:pPr>
      <w:r>
        <w:t xml:space="preserve">2. Antecedentes</w:t>
      </w:r>
    </w:p>
    <w:p>
      <w:pPr>
        <w:pStyle w:val="FirstParagraph"/>
      </w:pPr>
      <w:r>
        <w:t xml:space="preserve">Este capítulo ordena la literatura relevante en ocho ejes. Los tres primeros provienen de la literatura argentina reciente: las limitaciones de los enfoques contables (Rodríguez, 2023; Sanches, 2019), la economía política del endeudamiento y de las reestructuraciones (Aruguete, 2021; Roldán, 2021) y las consecuencias materiales del ciclo financiero (Bohoslavsky y Cantamutto, 2024; Cantamutto et al., 2024). El cuarto reúne la discusión internacional sobre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w:t>
      </w:r>
      <w:r>
        <w:t xml:space="preserve"> </w:t>
      </w:r>
      <w:r>
        <w:rPr>
          <w:i/>
          <w:iCs/>
        </w:rPr>
        <w:t xml:space="preserve">default</w:t>
      </w:r>
      <w:r>
        <w:t xml:space="preserve"> </w:t>
      </w:r>
      <w:r>
        <w:t xml:space="preserve">(Hébert y Schreger, 2017). El capítulo cierra con el área de vacancia.</w:t>
      </w:r>
    </w:p>
    <w:bookmarkStart w:id="24"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4"/>
    <w:bookmarkStart w:id="26"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5"/>
      </w:r>
      <w:r>
        <w:t xml:space="preserve">.</w:t>
      </w:r>
    </w:p>
    <w:bookmarkEnd w:id="26"/>
    <w:bookmarkStart w:id="27"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7"/>
    <w:bookmarkStart w:id="28"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Junto a los trabajos que la documentan, la literatura incluye otros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que reportan Ghosh et al. (2013) es una regularidad genuina o un efecto de agregar países heterogéneos en un solo panel. Usan el estimador de grupos medios (Pesaran y Smith, 1995),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que Argentina no tiene. Esta advertencia respalda el diseño de caso único de esta tesis.</w:t>
      </w:r>
    </w:p>
    <w:bookmarkEnd w:id="28"/>
    <w:bookmarkStart w:id="31"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función de reacción incluyó un término cúbico de la deuda rezagada, tomado de la versión de documento de trabajo de Ghosh et al. (2013), y encontró que la respuesta del superávit primario se debilita a partir de una deuda de 80% a 90% del PIB. Esa noción de fatiga fiscal la absorbieron luego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w:t>
      </w:r>
      <w:r>
        <w:t xml:space="preserve"> </w:t>
      </w:r>
      <w:r>
        <w:rPr>
          <w:i/>
          <w:iCs/>
        </w:rPr>
        <w:t xml:space="preserve">shocks</w:t>
      </w:r>
      <w:r>
        <w:t xml:space="preserve"> </w:t>
      </w:r>
      <w:r>
        <w:t xml:space="preserve">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9"/>
      </w:r>
      <w:r>
        <w:t xml:space="preserve">. Adler et al. (2016) estimaron un VAR de panel de los flujos brutos de capital de 38 economías emergentes entre 1990 y 2012. Los inversores locales cumplen un papel estabilizador ante los</w:t>
      </w:r>
      <w:r>
        <w:t xml:space="preserve"> </w:t>
      </w:r>
      <w:r>
        <w:rPr>
          <w:i/>
          <w:iCs/>
        </w:rPr>
        <w:t xml:space="preserve">shocks</w:t>
      </w:r>
      <w:r>
        <w:t xml:space="preserve"> </w:t>
      </w:r>
      <w:r>
        <w:t xml:space="preserve">de incertidumbre global y de la tasa larga de Estados Unidos, aunque en el segundo caso la compensación es mucho más limitada. Ante los</w:t>
      </w:r>
      <w:r>
        <w:t xml:space="preserve"> </w:t>
      </w:r>
      <w:r>
        <w:rPr>
          <w:i/>
          <w:iCs/>
        </w:rPr>
        <w:t xml:space="preserve">shocks</w:t>
      </w:r>
      <w:r>
        <w:t xml:space="preserve"> </w:t>
      </w:r>
      <w:r>
        <w:t xml:space="preserve">de la tasa corta, residentes y no residentes retiran capital de los emergentes por igual, con magnitudes económicamente poco significativas.</w:t>
      </w:r>
    </w:p>
    <w:p>
      <w:pPr>
        <w:pStyle w:val="BodyText"/>
      </w:pPr>
      <w:r>
        <w:t xml:space="preserve">La literatura de sistemas de alerta temprana (</w:t>
      </w:r>
      <w:r>
        <w:rPr>
          <w:i/>
          <w:iCs/>
        </w:rPr>
        <w:t xml:space="preserve">early warning systems</w:t>
      </w:r>
      <w:r>
        <w:t xml:space="preserve">)</w:t>
      </w:r>
      <w:r>
        <w:rPr>
          <w:rStyle w:val="FootnoteReference"/>
        </w:rPr>
        <w:footnoteReference w:id="30"/>
      </w:r>
      <w:r>
        <w:t xml:space="preserve"> </w:t>
      </w:r>
      <w:r>
        <w:t xml:space="preserve">buscó anticipar crisis de deuda con otro objetivo: no explicar mecanismos, sino maximizar el poder predictivo. Wijayanti y Rachmanira (2020) aplicaron el enfoque de señales de Kaminsky et al. (1998)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31"/>
    <w:bookmarkStart w:id="32"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 y Prescott (1997)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w:t>
      </w:r>
      <w:r>
        <w:t xml:space="preserve"> </w:t>
      </w:r>
      <w:r>
        <w:rPr>
          <w:i/>
          <w:iCs/>
        </w:rPr>
        <w:t xml:space="preserve">stock</w:t>
      </w:r>
      <w:r>
        <w:t xml:space="preserve"> </w:t>
      </w:r>
      <w:r>
        <w:t xml:space="preserve">(descalce patrimonial). Ambos coinciden en que el diagnóstico fiscal de corto plazo no bastaba para juzgar la sostenibilidad.</w:t>
      </w:r>
    </w:p>
    <w:bookmarkEnd w:id="32"/>
    <w:bookmarkStart w:id="35"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w:t>
      </w:r>
      <w:r>
        <w:rPr>
          <w:rStyle w:val="FootnoteReference"/>
        </w:rPr>
        <w:footnoteReference w:id="33"/>
      </w:r>
      <w:r>
        <w:t xml:space="preserve">.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rPr>
          <w:rStyle w:val="FootnoteReference"/>
        </w:rPr>
        <w:footnoteReference w:id="34"/>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w:t>
      </w:r>
      <w:r>
        <w:t xml:space="preserve"> </w:t>
      </w:r>
      <w:r>
        <w:rPr>
          <w:i/>
          <w:iCs/>
        </w:rPr>
        <w:t xml:space="preserve">shock</w:t>
      </w:r>
      <w:r>
        <w:t xml:space="preserve"> </w:t>
      </w:r>
      <w:r>
        <w:t xml:space="preserve">habría producido un deterioro severo.</w:t>
      </w:r>
    </w:p>
    <w:bookmarkEnd w:id="35"/>
    <w:bookmarkStart w:id="36" w:name="octavo-eje-el-costo-real-del-default"/>
    <w:p>
      <w:pPr>
        <w:pStyle w:val="Heading2"/>
      </w:pPr>
      <w:r>
        <w:t xml:space="preserve">2.8 Octavo eje: el costo real del</w:t>
      </w:r>
      <w:r>
        <w:t xml:space="preserve"> </w:t>
      </w:r>
      <w:r>
        <w:rPr>
          <w:i/>
          <w:iCs/>
        </w:rPr>
        <w:t xml:space="preserve">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w:t>
      </w:r>
      <w:r>
        <w:t xml:space="preserve"> </w:t>
      </w:r>
      <w:r>
        <w:rPr>
          <w:i/>
          <w:iCs/>
        </w:rPr>
        <w:t xml:space="preserve">default</w:t>
      </w:r>
      <w:r>
        <w:t xml:space="preserve"> </w:t>
      </w:r>
      <w:r>
        <w:t xml:space="preserve">percibida por el mercado con independencia de las noticias económicas del día. Con identificación por heterocedasticidad (Rigobon, 2003; Rigobon y Sack, 2004), estimaron que un aumento de 10 puntos porcentuales en la probabilidad de</w:t>
      </w:r>
      <w:r>
        <w:t xml:space="preserve"> </w:t>
      </w:r>
      <w:r>
        <w:rPr>
          <w:i/>
          <w:iCs/>
        </w:rPr>
        <w:t xml:space="preserve">default</w:t>
      </w:r>
      <w:r>
        <w:t xml:space="preserve">,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6"/>
    <w:bookmarkStart w:id="38"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w:t>
      </w:r>
      <w:r>
        <w:t xml:space="preserve"> </w:t>
      </w:r>
      <w:r>
        <w:rPr>
          <w:i/>
          <w:iCs/>
        </w:rPr>
        <w:t xml:space="preserve">shocks</w:t>
      </w:r>
      <w:r>
        <w:t xml:space="preserve"> </w:t>
      </w:r>
      <w:r>
        <w:t xml:space="preserve">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no integra el grupo de países con series aptas para una estimación individual (González y Hernández, 2023). El gráfico de abanico del FMI, por su parte, aplica al escenario base</w:t>
      </w:r>
      <w:r>
        <w:t xml:space="preserve"> </w:t>
      </w:r>
      <w:r>
        <w:rPr>
          <w:i/>
          <w:iCs/>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
          <w:bCs/>
        </w:rPr>
        <w:t xml:space="preserve">Un</w:t>
      </w:r>
      <w:r>
        <w:rPr>
          <w:b/>
          <w:bCs/>
        </w:rPr>
        <w:t xml:space="preserve"> </w:t>
      </w:r>
      <w:r>
        <w:rPr>
          <w:b/>
          <w:bCs/>
          <w:i/>
          <w:iCs/>
        </w:rPr>
        <w:t xml:space="preserve">shock</w:t>
      </w:r>
      <w:r>
        <w:rPr>
          <w:b/>
          <w:bCs/>
        </w:rPr>
        <w:t xml:space="preserve"> </w:t>
      </w:r>
      <w:r>
        <w:rPr>
          <w:b/>
          <w:bCs/>
        </w:rPr>
        <w:t xml:space="preserve">externo identificado.</w:t>
      </w:r>
      <w:r>
        <w:t xml:space="preserve"> </w:t>
      </w:r>
      <w:r>
        <w:t xml:space="preserve">Los efectos de la política monetaria de Estados Unidos sobre las economías emergentes se estudiaron sobre los</w:t>
      </w:r>
      <w:r>
        <w:t xml:space="preserve"> </w:t>
      </w:r>
      <w:r>
        <w:rPr>
          <w:i/>
          <w:iCs/>
        </w:rPr>
        <w:t xml:space="preserve">spreads</w:t>
      </w:r>
      <w:r>
        <w:rPr>
          <w:rStyle w:val="FootnoteReference"/>
        </w:rPr>
        <w:footnoteReference w:id="37"/>
      </w:r>
      <w:r>
        <w:t xml:space="preserve"> </w:t>
      </w:r>
      <w:r>
        <w:t xml:space="preserve">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w:t>
      </w:r>
      <w:r>
        <w:t xml:space="preserve"> </w:t>
      </w:r>
      <w:r>
        <w:rPr>
          <w:i/>
          <w:iCs/>
        </w:rPr>
        <w:t xml:space="preserve">stocks</w:t>
      </w:r>
      <w:r>
        <w:t xml:space="preserve">: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Es plausible que ese</w:t>
      </w:r>
      <w:r>
        <w:t xml:space="preserve"> </w:t>
      </w:r>
      <w:r>
        <w:rPr>
          <w:i/>
          <w:iCs/>
        </w:rPr>
        <w:t xml:space="preserve">stock</w:t>
      </w:r>
      <w:r>
        <w:t xml:space="preserve"> </w:t>
      </w:r>
      <w:r>
        <w:t xml:space="preserve">haya respondido a los mismos</w:t>
      </w:r>
      <w:r>
        <w:t xml:space="preserve"> </w:t>
      </w:r>
      <w:r>
        <w:rPr>
          <w:i/>
          <w:iCs/>
        </w:rPr>
        <w:t xml:space="preserve">shocks</w:t>
      </w:r>
      <w:r>
        <w:t xml:space="preserve"> </w:t>
      </w:r>
      <w:r>
        <w:t xml:space="preserve">cambiarios y de riesgo que la deuda del Tesoro, y esta tesis lo trata como una hipótesis. Un modelo estimado solo sobre la deuda del Tesoro omite esa parte del endeudamiento y puede subestimar la sensibilidad de la deuda a esos</w:t>
      </w:r>
      <w:r>
        <w:t xml:space="preserve"> </w:t>
      </w:r>
      <w:r>
        <w:rPr>
          <w:i/>
          <w:iCs/>
        </w:rPr>
        <w:t xml:space="preserve">shocks</w:t>
      </w:r>
      <w:r>
        <w:t xml:space="preserve">. Esto sigue siendo cierto aunque, desde 2024, los pasivos remunerados del BCRA se hayan reducido a niveles mínimos. Los pases pasivos se suspendieron en julio de 2024 y su</w:t>
      </w:r>
      <w:r>
        <w:t xml:space="preserve"> </w:t>
      </w:r>
      <w:r>
        <w:rPr>
          <w:i/>
          <w:iCs/>
        </w:rPr>
        <w:t xml:space="preserve">stock</w:t>
      </w:r>
      <w:r>
        <w:t xml:space="preserve"> </w:t>
      </w:r>
      <w:r>
        <w:t xml:space="preserve">pasó al Tesoro como Letras Fiscales de Liquidez (LEFI), que el BCRA dejó de ofrecer en julio de 2025 (BCRA, 2025). A fin de 2025 el</w:t>
      </w:r>
      <w:r>
        <w:t xml:space="preserve"> </w:t>
      </w:r>
      <w:r>
        <w:rPr>
          <w:i/>
          <w:iCs/>
        </w:rPr>
        <w:t xml:space="preserve">stock</w:t>
      </w:r>
      <w:r>
        <w:t xml:space="preserve"> </w:t>
      </w:r>
      <w:r>
        <w:t xml:space="preserve">de LEFI era nulo, frente a 11,1 billones de pesos un año antes (BCRA, 2026).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Tesoro nacional y el BCRA, con identificación estructural de los canales y la tasa de la FED como variable exógena. Sus resultados alimentan una simulación de Monte Carlo que expresa el riesgo con las métricas del propio FMI, lo que permite comparar directamente ambos resultados. La metodología se elige porque no se probó para Argentina con</w:t>
      </w:r>
      <w:r>
        <w:t xml:space="preserve"> </w:t>
      </w:r>
      <w:r>
        <w:rPr>
          <w:i/>
          <w:iCs/>
        </w:rPr>
        <w:t xml:space="preserve">shocks</w:t>
      </w:r>
      <w:r>
        <w:t xml:space="preserve"> </w:t>
      </w:r>
      <w:r>
        <w:t xml:space="preserve">identificados y perímetro consolidado: los trabajos que identifican</w:t>
      </w:r>
      <w:r>
        <w:t xml:space="preserve"> </w:t>
      </w:r>
      <w:r>
        <w:rPr>
          <w:i/>
          <w:iCs/>
        </w:rPr>
        <w:t xml:space="preserve">shocks</w:t>
      </w:r>
      <w:r>
        <w:t xml:space="preserve"> </w:t>
      </w:r>
      <w:r>
        <w:t xml:space="preserve">lo hacen sobre paneles de países, y los que estudian la deuda argentina no los identifican. Las variables se eligen porque son los impulsores de la deuda en la identidad del FMI (crecimiento, tipo de cambio real, costo del financiamiento a través del riesgo país y resultado primario), a los que se suma la tasa de la FED como el</w:t>
      </w:r>
      <w:r>
        <w:t xml:space="preserve"> </w:t>
      </w:r>
      <w:r>
        <w:rPr>
          <w:i/>
          <w:iCs/>
        </w:rPr>
        <w:t xml:space="preserve">shock</w:t>
      </w:r>
      <w:r>
        <w:t xml:space="preserve"> </w:t>
      </w:r>
      <w:r>
        <w:t xml:space="preserve">externo que la literatura revisada vincula con esos canales.</w:t>
      </w:r>
    </w:p>
    <w:bookmarkEnd w:id="38"/>
    <w:bookmarkEnd w:id="39"/>
    <w:bookmarkStart w:id="52"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40"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antes que por la disponibilidad de ahorro o de capacidad ociosa. Braun y Joy (1968) formalizaron un modelo de estancamiento para la economía argentina en el que el balance de pagos, los precios internos y el nivel de actividad se determinan conjuntamente. Diamand (1972) dio la explicación de fondo con el concepto de estructura productiva desequilibrada: un sector primario que opera a precios internacionales y un sector industrial con precios y costos superiores a los internacionales. Como la industria necesita divisas para crecer y no genera las que consume, el abastecimiento de divisas recae en el sector agropecuario, y la expansión interna termina en una crisis de balanza de pagos y una devaluación (Diamand, 1972).</w:t>
      </w:r>
    </w:p>
    <w:p>
      <w:pPr>
        <w:pStyle w:val="BodyText"/>
      </w:pPr>
      <w:r>
        <w:t xml:space="preserve">Thirlwall (1979) dio a la idea una forma general. Si se exige equilibrio de la cuenta corriente en el largo plazo, la tasa de crecimiento compatible con ese equilibrio se aproxima por el cociente entre el crecimiento de las exportaciones y la elasticidad ingreso de la demanda de importaciones. En ese esquema, lo que se ajusta para equilibrar el balance de pagos es el producto, no los precios relativos (Thirlwall, 1979).</w:t>
      </w:r>
    </w:p>
    <w:p>
      <w:pPr>
        <w:pStyle w:val="BodyText"/>
      </w:pPr>
      <w:r>
        <w:t xml:space="preserve">Esos autores describen una restricción de flujos comerciales. Diamand (1972) ya advertía que el crédito externo la posterga sin resolverla, porque cada nuevo crédito agrega intereses y aumenta el déficit externo inicial, de modo que el proceso es inestable cuando se frena la entrada de capitales. Desde los años setenta, la acumulación de deuda pública y privada en moneda extranjera sumó un problema de vulnerabilidad financiera externa (Aruguete, 2021). Ese es el punto de contacto con esta tesis. La deuda en divisas convierte la restricción de divisas en una restricción sobre la deuda pública: los ingresos del Estado se obtienen en pesos y una parte del servicio se paga en dólares. El FMI reconoce esa limitación para el caso actual, al señalar que la base exportadora es pequeña y la capacidad de generar divisas es limitada, de modo que cumplir con las obligaciones en moneda extranjera exige reforzar el balance de pagos (FMI, 2025, anexo II).</w:t>
      </w:r>
    </w:p>
    <w:p>
      <w:pPr>
        <w:pStyle w:val="BodyText"/>
      </w:pPr>
      <w:r>
        <w:t xml:space="preserve">El enfoque cumple en esta tesis una función interpretativa. No se contrasta aquí la ley de Thirlwall, y el modelo no incluye el saldo comercial. Lo que el enfoque aporta es la razón para tratar al tipo de cambio real y al riesgo soberano como determinantes de la deuda y no solo como variables de control. Si la escasez de divisas es el límite del proceso, el superávit primario en pesos no se traduce de manera directa en capacidad de pago en dólares. Esa es la intuición detrás de la hipótesis H1a, y se formaliza con la identidad de la deuda de la sección siguiente.</w:t>
      </w:r>
    </w:p>
    <w:bookmarkEnd w:id="40"/>
    <w:bookmarkStart w:id="45" w:name="Xa279cf3229c29106283bb4d1e58e9229cedcf6a"/>
    <w:p>
      <w:pPr>
        <w:pStyle w:val="Heading2"/>
      </w:pPr>
      <w:r>
        <w:t xml:space="preserve">3.2 Solvencia intertemporal, la regla de Bohn y la identidad de la deuda</w:t>
      </w:r>
    </w:p>
    <w:bookmarkStart w:id="41"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no la insolvencia. Se la interpreta como un indicador de riesgo, no como un diagnóstico de reestructuración.</w:t>
      </w:r>
    </w:p>
    <w:bookmarkEnd w:id="41"/>
    <w:bookmarkStart w:id="42"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w:t>
      </w:r>
      <w:r>
        <w:t xml:space="preserve"> </w:t>
      </w:r>
      <w:r>
        <w:rPr>
          <w:i/>
          <w:iCs/>
        </w:rPr>
        <w:t xml:space="preserve">stock</w:t>
      </w:r>
      <w:r>
        <w:t xml:space="preserve"> </w:t>
      </w:r>
      <w:r>
        <w:t xml:space="preserve">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El mecanismo opera en las dos direcciones. En 2024 la deuda federal bruta pasó de 155,4% a 85,3% del PIB (FMI, 2025). La mayor parte de esa caída se explica por la apreciación real del peso, que redujo el valor en pesos de la deuda en moneda extranjera, y por la inflación, que elevó el PIB nominal del denominador. El ajuste fiscal de más de cinco puntos del PIB aportó una parte menor. Esta simetría muestra que el tipo de cambio real puede mover la ratio más que el resultado primario en cualquiera de los dos sentidos.</w:t>
      </w:r>
    </w:p>
    <w:bookmarkEnd w:id="42"/>
    <w:bookmarkStart w:id="43"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uₜ,</w:t>
      </w:r>
    </w:p>
    <w:p>
      <w:pPr>
        <w:pStyle w:val="BodyText"/>
      </w:pPr>
      <w:r>
        <w:t xml:space="preserve">con zₜ un conjunto de determinantes cíclicos. Si ρ &gt; 0, uₜ está acotado como proporción del PIB y el valor presente del PIB es finito, la política fiscal satisface la restricción presupuestaria intertemporal y la condición de transversalidad. La demostración formal figuraba en un apéndice no publicado de Bohn (1998) y se expone en Bohn (2005) como un resultado de trabajos previos del autor. La idea de la prueba es que una respuesta positiva reduce el crecimiento de la deuda respecto de un esquema Ponzi en un factor (1-ρ) por período, por lo que el valor presente de la deuda tiende a cero (Bohn, 2005).</w:t>
      </w:r>
    </w:p>
    <w:p>
      <w:pPr>
        <w:pStyle w:val="BodyText"/>
      </w:pPr>
      <w:r>
        <w:t xml:space="preserve">Bohn (2005) subraya tres puntos que importan para esta tesis. Primero, la proposición es una condición suficiente y no necesaria, porque una respuesta ausente o inestable es compatible tanto con una política insostenible como con una muestra insuficiente para identificarla. Segundo, la regla puede ser no lineal o variar en el tiempo y conservar la propiedad, siempre que la respuesta sea positiva a niveles altos de deuda. Tercero, los datos de Estados Unidos entre 1792 y 2003 arrojan una respuesta positiva y robusta del superávit primario a la deuda, y el propio autor la considera la evidencia más creíble a favor de la sostenibilidad (Bohn, 2005). Para el período 1916-1995, Bohn (1998) reporta un coeficiente de alrededor de 0,05.</w:t>
      </w:r>
    </w:p>
    <w:p>
      <w:pPr>
        <w:pStyle w:val="BodyText"/>
      </w:pPr>
      <w:r>
        <w:t xml:space="preserve">Durante años, la ausencia de cointegración entre el resultado primario y la deuda, o entre ingresos y gastos, se leyó como evidencia contra la restricción presupuestaria intertemporal (Hakkio y Rush, 1991; Trehan y Walsh, 1991). Bohn (2007) muestra que esas pruebas no son necesarias: la restricción intertemporal se cumple aunque la deuda, o los ingresos y gastos con intereses, sean integrados de orden arbitrariamente alto, y no hace falta que ingresos y gastos cointegren. La condición suficiente es la reacción fiscal positiva, cuya demostración proviene de Bohn (1998, 2005) y no de Bohn (2007). La lectura de Bohn (2007) tiene una consecuencia para el diseño econométrico: que una prueba de cointegración no rechace la hipótesis nula de no cointegración, como ocurre en la muestra de la tesis, no permite concluir que la política sea insostenible, y por eso el sistema se estima en niveles sin imponer relaciones de cointegración.</w:t>
      </w:r>
    </w:p>
    <w:bookmarkEnd w:id="43"/>
    <w:bookmarkStart w:id="44"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uₜ .</w:t>
      </w:r>
    </w:p>
    <w:p>
      <w:pPr>
        <w:pStyle w:val="BodyText"/>
      </w:pPr>
      <w:r>
        <w:t xml:space="preserve">La ratio converge a un nivel finito solo si ρ &gt; (r-g)/(1+g). Si 0 &lt; ρ &lt; (r-g)/(1+g), la deuda crece a una tasa inferior a la de un esquema Ponzi y, por lo tanto, la condición de transversalidad se cumple, pero la ratio sigue aumentando. Dicho de otro modo, un coeficiente positivo y significativo es compatible con una trayectoria que no se estabiliza en un horizonte de decisión relevante.</w:t>
      </w:r>
    </w:p>
    <w:p>
      <w:pPr>
        <w:pStyle w:val="BodyText"/>
      </w:pPr>
      <w:r>
        <w:t xml:space="preserve">Esta es la lógica de H1a. Con un coeficiente del orden de 0,05, como el que Bohn estima para Estados Unidos, la regla solo estabiliza la deuda si el diferencial (r-g)/(1+g) se mantiene por debajo de unos cinco puntos. En años de depreciación real y suba del riesgo país, ese diferencial supera con frecuencia ese valor en Argentina. En una economía con deuda en moneda extranjera, el término r incluye la depreciación real y el</w:t>
      </w:r>
      <w:r>
        <w:t xml:space="preserve"> </w:t>
      </w:r>
      <w:r>
        <w:rPr>
          <w:i/>
          <w:iCs/>
        </w:rPr>
        <w:t xml:space="preserve">spread</w:t>
      </w:r>
      <w:r>
        <w:t xml:space="preserve"> </w:t>
      </w:r>
      <w:r>
        <w:t xml:space="preserve">soberano, que son variables con</w:t>
      </w:r>
      <w:r>
        <w:t xml:space="preserve"> </w:t>
      </w:r>
      <w:r>
        <w:rPr>
          <w:i/>
          <w:iCs/>
        </w:rPr>
        <w:t xml:space="preserve">shocks</w:t>
      </w:r>
      <w:r>
        <w:t xml:space="preserve"> </w:t>
      </w:r>
      <w:r>
        <w:t xml:space="preserve">grandes y poco predecibles, de modo que (r-g)/(1+g) puede exceder a ρ por márgenes amplios en años de estrés. El coeficiente ρ que estima esta tesis es positivo y de magnitud reducida (Capítulo 6). La conclusión que corresponde a H1a no es que el gobierno no reaccione, sino que su reacción, por sí sola, no basta para estabilizar la deuda cuando dominan el diferencial r-g, los efectos de valuación y los</w:t>
      </w:r>
      <w:r>
        <w:t xml:space="preserve"> </w:t>
      </w:r>
      <w:r>
        <w:rPr>
          <w:i/>
          <w:iCs/>
        </w:rPr>
        <w:t xml:space="preserve">shocks</w:t>
      </w:r>
      <w:r>
        <w:t xml:space="preserve"> </w:t>
      </w:r>
      <w:r>
        <w:t xml:space="preserve">externos. Esa lectura es compatible con la evidencia de que las consolidaciones fiscales discrecionales tienen en promedio un efecto reducido sobre la ratio de deuda (Ando et al., 2025).</w:t>
      </w:r>
    </w:p>
    <w:bookmarkEnd w:id="44"/>
    <w:bookmarkEnd w:id="45"/>
    <w:bookmarkStart w:id="46"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w:t>
      </w:r>
      <w:r>
        <w:t xml:space="preserve"> </w:t>
      </w:r>
      <w:r>
        <w:rPr>
          <w:i/>
          <w:iCs/>
        </w:rPr>
        <w:t xml:space="preserve">stock</w:t>
      </w:r>
      <w:r>
        <w:t xml:space="preserve"> </w:t>
      </w:r>
      <w:r>
        <w:t xml:space="preserve">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es decir, no corrige el resultado primario ante la deuda, y la monetaria es pasiva (región II de Leeper, 1991), se asemeja al régimen fiscal dominante de Sargent y Wallace (1981) y suele llamarse dominancia fiscal.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46"/>
    <w:bookmarkStart w:id="47" w:name="X20862c7541b595f20b5f9ddc0e3ce04fa00711b"/>
    <w:p>
      <w:pPr>
        <w:pStyle w:val="Heading2"/>
      </w:pPr>
      <w:r>
        <w:t xml:space="preserve">3.4 Descalce de monedas, pecado original e interrupciones repentinas</w:t>
      </w:r>
    </w:p>
    <w:p>
      <w:pPr>
        <w:pStyle w:val="FirstParagraph"/>
      </w:pPr>
      <w:r>
        <w:t xml:space="preserve">Eichengreen et al.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et al., 2003). El pecado original es la dificultad de los emergentes para endeudarse en el exterior en su propia moneda. La intolerancia a la deuda y el pecado original buscan explicar el origen del problema; la literatura sobre descalce de monedas se ocupa de sus consecuencias y de cómo las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et al.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w:t>
      </w:r>
    </w:p>
    <w:bookmarkEnd w:id="47"/>
    <w:bookmarkStart w:id="48"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Los tres primeros están en el modelo de la tesis, y el cuarto queda fuera de él.</w:t>
      </w:r>
    </w:p>
    <w:p>
      <w:pPr>
        <w:pStyle w:val="BodyText"/>
      </w:pPr>
      <w:r>
        <w:rPr>
          <w:b/>
          <w:bCs/>
        </w:rPr>
        <w:t xml:space="preserve">Riesgo soberano.</w:t>
      </w:r>
      <w:r>
        <w:t xml:space="preserve"> </w:t>
      </w:r>
      <w:r>
        <w:t xml:space="preserve">Uribe y Yue (2006) estiman que los</w:t>
      </w:r>
      <w:r>
        <w:t xml:space="preserve"> </w:t>
      </w:r>
      <w:r>
        <w:rPr>
          <w:i/>
          <w:iCs/>
        </w:rPr>
        <w:t xml:space="preserve">shocks</w:t>
      </w:r>
      <w:r>
        <w:t xml:space="preserve"> </w:t>
      </w:r>
      <w:r>
        <w:t xml:space="preserve">de la tasa de Estados Unidos explican alrededor de 20% de los movimientos de la actividad en economías emergentes en frecuencias de ciclo económico, y que afectan a las variables domésticas sobre todo a través del</w:t>
      </w:r>
      <w:r>
        <w:t xml:space="preserve"> </w:t>
      </w:r>
      <w:r>
        <w:rPr>
          <w:i/>
          <w:iCs/>
        </w:rPr>
        <w:t xml:space="preserve">spread</w:t>
      </w:r>
      <w:r>
        <w:t xml:space="preserve"> </w:t>
      </w:r>
      <w:r>
        <w:t xml:space="preserve">soberano. Kalemli-Özcan (2019) encuentra que la política monetaria de Estados Unidos afecta el costo del crédito interno de otros países a través de la percepción de riesgo de los inversores globales, con efectos más intensos sobre los emergentes que sobre las economías avanzadas, y que los flujos de capital, muy sensibles a esa percepción, inciden de forma directa sobre los</w:t>
      </w:r>
      <w:r>
        <w:t xml:space="preserve"> </w:t>
      </w:r>
      <w:r>
        <w:rPr>
          <w:i/>
          <w:iCs/>
        </w:rPr>
        <w:t xml:space="preserve">spreads</w:t>
      </w:r>
      <w:r>
        <w:t xml:space="preserve"> </w:t>
      </w:r>
      <w:r>
        <w:t xml:space="preserve">de crédito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w:t>
      </w:r>
      <w:r>
        <w:t xml:space="preserve"> </w:t>
      </w:r>
      <w:r>
        <w:rPr>
          <w:i/>
          <w:iCs/>
        </w:rPr>
        <w:t xml:space="preserve">shocks</w:t>
      </w:r>
      <w:r>
        <w:t xml:space="preserve"> </w:t>
      </w:r>
      <w:r>
        <w:t xml:space="preserve">de Estados Unidos influyen en las economías de América Latina por vía financiera y producen en dos episodios, las crisis de Argentina y de Brasil,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2005). El resultado sugiere que el canal relevante es el</w:t>
      </w:r>
      <w:r>
        <w:t xml:space="preserve"> </w:t>
      </w:r>
      <w:r>
        <w:rPr>
          <w:i/>
          <w:iCs/>
        </w:rPr>
        <w:t xml:space="preserve">spread</w:t>
      </w:r>
      <w:r>
        <w:t xml:space="preserve"> </w:t>
      </w:r>
      <w:r>
        <w:t xml:space="preserve">y no el nivel de la tasa de referencia, y coincide con el de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w:t>
      </w:r>
      <w:r>
        <w:t xml:space="preserve"> </w:t>
      </w:r>
      <w:r>
        <w:rPr>
          <w:i/>
          <w:iCs/>
        </w:rPr>
        <w:t xml:space="preserve">shocks</w:t>
      </w:r>
      <w:r>
        <w:t xml:space="preserve"> </w:t>
      </w:r>
      <w:r>
        <w:t xml:space="preserve">de Estados Unidos y los trata como exógenos respecto de los países latinoamericanos. Adler et al. (2016), con un VAR de panel de los flujos brutos de capital de 38 economías emergentes entre 1990 y 2012, muestran que la respuesta ante los</w:t>
      </w:r>
      <w:r>
        <w:t xml:space="preserve"> </w:t>
      </w:r>
      <w:r>
        <w:rPr>
          <w:i/>
          <w:iCs/>
        </w:rPr>
        <w:t xml:space="preserve">shocks</w:t>
      </w:r>
      <w:r>
        <w:t xml:space="preserve"> </w:t>
      </w:r>
      <w:r>
        <w:t xml:space="preserve">globales difiere según el tipo de</w:t>
      </w:r>
      <w:r>
        <w:t xml:space="preserve"> </w:t>
      </w:r>
      <w:r>
        <w:rPr>
          <w:i/>
          <w:iCs/>
        </w:rPr>
        <w:t xml:space="preserve">shock</w:t>
      </w:r>
      <w:r>
        <w:t xml:space="preserve">. Los inversores locales cumplen un papel estabilizador ante los</w:t>
      </w:r>
      <w:r>
        <w:t xml:space="preserve"> </w:t>
      </w:r>
      <w:r>
        <w:rPr>
          <w:i/>
          <w:iCs/>
        </w:rPr>
        <w:t xml:space="preserve">shocks</w:t>
      </w:r>
      <w:r>
        <w:t xml:space="preserve"> </w:t>
      </w:r>
      <w:r>
        <w:t xml:space="preserve">de incertidumbre global, donde la repatriación de activos compensa en buena medida la salida de no residentes, y ante los de la tasa larga de Estados Unidos, donde la compensación es mucho más limitada. Ante los</w:t>
      </w:r>
      <w:r>
        <w:t xml:space="preserve"> </w:t>
      </w:r>
      <w:r>
        <w:rPr>
          <w:i/>
          <w:iCs/>
        </w:rPr>
        <w:t xml:space="preserve">shocks</w:t>
      </w:r>
      <w:r>
        <w:t xml:space="preserve"> </w:t>
      </w:r>
      <w:r>
        <w:t xml:space="preserve">de la tasa corta, residentes y no residentes retiran capital de los emergentes por igual, con magnitudes económicamente poco significativas. Esto justifica incluir a la vez la tasa de la FED y el VIX, que no se confunden entre sí.</w:t>
      </w:r>
    </w:p>
    <w:bookmarkEnd w:id="48"/>
    <w:bookmarkStart w:id="49"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et al. (2006) proponen un algoritmo de simulación de la trayectoria de la deuda con</w:t>
      </w:r>
      <w:r>
        <w:t xml:space="preserve"> </w:t>
      </w:r>
      <w:r>
        <w:rPr>
          <w:i/>
          <w:iCs/>
        </w:rPr>
        <w:t xml:space="preserve">shocks</w:t>
      </w:r>
      <w:r>
        <w:t xml:space="preserve"> </w:t>
      </w:r>
      <w:r>
        <w:t xml:space="preserve">realistas al crecimiento, a las tasas de interés y al tipo de cambio, junto con la respuesta endógena de la política fiscal y los</w:t>
      </w:r>
      <w:r>
        <w:t xml:space="preserve"> </w:t>
      </w:r>
      <w:r>
        <w:rPr>
          <w:i/>
          <w:iCs/>
        </w:rPr>
        <w:t xml:space="preserve">shocks</w:t>
      </w:r>
      <w:r>
        <w:t xml:space="preserve"> </w:t>
      </w:r>
      <w:r>
        <w:t xml:space="preserve">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w:t>
      </w:r>
      <w:r>
        <w:t xml:space="preserve"> </w:t>
      </w:r>
      <w:r>
        <w:rPr>
          <w:i/>
          <w:iCs/>
        </w:rPr>
        <w:t xml:space="preserve">shocks</w:t>
      </w:r>
      <w:r>
        <w:t xml:space="preserve"> </w:t>
      </w:r>
      <w:r>
        <w:t xml:space="preserve">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Sugiere correr los escenarios de sostenibilidad también con una función de reacción fiscal o con una hipótesis equivalente de reversión a la media (Medeiros, 2012).</w:t>
      </w:r>
    </w:p>
    <w:p>
      <w:pPr>
        <w:pStyle w:val="BodyText"/>
      </w:pPr>
      <w:r>
        <w:t xml:space="preserve">El FMI adoptó esa lógica. Su marco de 2021 construye el gráfico de abanico aplicando al escenario base</w:t>
      </w:r>
      <w:r>
        <w:t xml:space="preserve"> </w:t>
      </w:r>
      <w:r>
        <w:rPr>
          <w:i/>
          <w:iCs/>
        </w:rPr>
        <w:t xml:space="preserve">shocks</w:t>
      </w:r>
      <w:r>
        <w:t xml:space="preserve"> </w:t>
      </w:r>
      <w:r>
        <w:t xml:space="preserve">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(2026) estima una probabilidad de estabilización de alrededor de 99% a mediano plazo y superior a 97% en el abanico de diez años que termina en 2035. Esas cifras son los umbrales de H1b.</w:t>
      </w:r>
    </w:p>
    <w:p>
      <w:pPr>
        <w:pStyle w:val="BodyText"/>
      </w:pPr>
      <w:r>
        <w:t xml:space="preserve">Este enfoque tiene una ventaja sobre el análisis puntual: permite separar la dispersión debida a los</w:t>
      </w:r>
      <w:r>
        <w:t xml:space="preserve"> </w:t>
      </w:r>
      <w:r>
        <w:rPr>
          <w:i/>
          <w:iCs/>
        </w:rPr>
        <w:t xml:space="preserve">shocks</w:t>
      </w:r>
      <w:r>
        <w:t xml:space="preserve"> </w:t>
      </w:r>
      <w:r>
        <w:t xml:space="preserve">(los efectos de valuación, de riesgo y de crecimiento) de la trayectoria central. También tiene el límite que se desprende de la sección 3.2: una probabilidad de no estabilización es una medida de riesgo bajo un escenario base, no una prueba de insostenibilidad en el sentido formal del FMI (FMI, 2021, recuadro 2).</w:t>
      </w:r>
    </w:p>
    <w:bookmarkEnd w:id="49"/>
    <w:bookmarkStart w:id="50"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et al. (2013) sostienen que esa respuesta se debilita cuando la deuda crece, porque la capacidad de aumentar el resultado primario no sigue el ritmo del aumento de la deuda. Esa fatiga fiscal genera un límite endógeno de la deuda más allá del cual no puede refinanciarse (Ghosh et al., 2013). Su evidencia proviene de 23 economías avanzadas entre 1970 y 2007, por lo que trasladarla a una economía emergente con restricción externa requiere cautela.</w:t>
      </w:r>
    </w:p>
    <w:p>
      <w:pPr>
        <w:pStyle w:val="BodyText"/>
      </w:pPr>
      <w:r>
        <w:t xml:space="preserve">En esta tesis la fatiga fiscal no organiza el marco ni sustenta una hipótesis, y no se contrasta. Queda como marco de referencia y como limitación de la regla lineal que se estima (Ghosh et al., 2013). La razón es que el objetivo es evaluar el peso conjunto de los canales sobre la deuda y la probabilidad de que no se estabilice, y para eso la reacción fiscal es un componente más del sistema.</w:t>
      </w:r>
    </w:p>
    <w:bookmarkEnd w:id="50"/>
    <w:bookmarkStart w:id="51" w:name="alcances-y-límites-del-marco"/>
    <w:p>
      <w:pPr>
        <w:pStyle w:val="Heading2"/>
      </w:pPr>
      <w:r>
        <w:t xml:space="preserve">3.8 Alcances y límites del marco</w:t>
      </w:r>
    </w:p>
    <w:p>
      <w:pPr>
        <w:pStyle w:val="FirstParagraph"/>
      </w:pPr>
      <w:r>
        <w:t xml:space="preserve">El marco tiene cuatro límites. Primero, la restricción externa se usa como enfoque interpretativo y no se contrasta de manera directa, porque el sistema no incluye el saldo comercial ni la disponibilidad de reservas. Segundo, la regla de Bohn es una condición suficiente de solvencia asintótica, no una prueba de que la deuda se estabilice en el horizonte 2026-2035, y su interpretación requiere compararla con el diferencial r-g. Tercero, el canal de las tasas domésticas y del costo cuasifiscal no se identifica por separado y se absorbe en la deuda consolidada y en la tasa efectiva del escenario base. Cuarto, la probabilidad de no estabilización se mide bajo el escenario base del FMI y no es una medida de insolvencia ni de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51"/>
    <w:bookmarkEnd w:id="52"/>
    <w:bookmarkStart w:id="60"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53" w:name="arquitectura-general"/>
    <w:p>
      <w:pPr>
        <w:pStyle w:val="Heading2"/>
      </w:pPr>
      <w:r>
        <w:t xml:space="preserve">4.1 Arquitectura general</w:t>
      </w:r>
    </w:p>
    <w:p>
      <w:pPr>
        <w:pStyle w:val="FirstParagraph"/>
      </w:pPr>
      <w:r>
        <w:t xml:space="preserve">El modelo sigue la arquitectura que el FMI desarrolló para economías emergentes. Celasun et al. (2006) proponen tres piezas:</w:t>
      </w:r>
    </w:p>
    <w:p>
      <w:pPr>
        <w:pStyle w:val="Compact"/>
        <w:numPr>
          <w:ilvl w:val="0"/>
          <w:numId w:val="1002"/>
        </w:numPr>
      </w:pPr>
      <w:r>
        <w:t xml:space="preserve">Un</w:t>
      </w:r>
      <w:r>
        <w:t xml:space="preserve"> </w:t>
      </w:r>
      <w:r>
        <w:rPr>
          <w:b/>
          <w:bCs/>
        </w:rPr>
        <w:t xml:space="preserve">VAR trimestral</w:t>
      </w:r>
      <w:r>
        <w:t xml:space="preserve"> </w:t>
      </w:r>
      <w:r>
        <w:t xml:space="preserve">sobre los determinantes de la dinámica de la deuda: crecimiento, tasas de interés y tipo de cambio. El VAR describe cómo se mueven juntos, estima las varianzas y covarianzas de sus</w:t>
      </w:r>
      <w:r>
        <w:t xml:space="preserve"> </w:t>
      </w:r>
      <w:r>
        <w:rPr>
          <w:i/>
          <w:iCs/>
        </w:rPr>
        <w:t xml:space="preserve">shocks</w:t>
      </w:r>
      <w:r>
        <w:t xml:space="preserve"> </w:t>
      </w:r>
      <w:r>
        <w:t xml:space="preserve">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 en moneda extranjera. Por ella pasan las proyecciones del VAR, anualizadas, para calcular la deuda de manera recursiva y construir los gráficos de abanico.</w:t>
      </w:r>
    </w:p>
    <w:p>
      <w:pPr>
        <w:pStyle w:val="FirstParagraph"/>
      </w:pPr>
      <w:r>
        <w:t xml:space="preserve">El marco vigente del FMI (2021, párr. 52) mantiene la idea central: el gráfico de abanico se arma aplicando al escenario base</w:t>
      </w:r>
      <w:r>
        <w:t xml:space="preserve"> </w:t>
      </w:r>
      <w:r>
        <w:rPr>
          <w:i/>
          <w:iCs/>
        </w:rPr>
        <w:t xml:space="preserve">shocks</w:t>
      </w:r>
      <w:r>
        <w:t xml:space="preserve"> </w:t>
      </w:r>
      <w:r>
        <w:t xml:space="preserve">tomados de la historia de los determinantes de la deuda. El modelo de esta tesis conserva esas tres piezas y agrega dos elementos que justifica la vacancia: los</w:t>
      </w:r>
      <w:r>
        <w:t xml:space="preserve"> </w:t>
      </w:r>
      <w:r>
        <w:rPr>
          <w:i/>
          <w:iCs/>
        </w:rPr>
        <w:t xml:space="preserve">shocks</w:t>
      </w:r>
      <w:r>
        <w:t xml:space="preserve"> </w:t>
      </w:r>
      <w:r>
        <w:t xml:space="preserve">se identifican estructuralmente y la tasa de la FED entra como un</w:t>
      </w:r>
      <w:r>
        <w:t xml:space="preserve"> </w:t>
      </w:r>
      <w:r>
        <w:rPr>
          <w:i/>
          <w:iCs/>
        </w:rPr>
        <w:t xml:space="preserve">shock</w:t>
      </w:r>
      <w:r>
        <w:t xml:space="preserve"> </w:t>
      </w:r>
      <w:r>
        <w:t xml:space="preserve">externo con nombre propio.</w:t>
      </w:r>
    </w:p>
    <w:bookmarkEnd w:id="53"/>
    <w:bookmarkStart w:id="54" w:name="variables-del-sistema"/>
    <w:p>
      <w:pPr>
        <w:pStyle w:val="Heading2"/>
      </w:pPr>
      <w:r>
        <w:t xml:space="preserve">4.2 Variables del sistema</w:t>
      </w:r>
    </w:p>
    <w:p>
      <w:pPr>
        <w:pStyle w:val="FirstParagraph"/>
      </w:pPr>
      <w:r>
        <w:rPr>
          <w:b/>
          <w:bCs/>
        </w:rPr>
        <w:t xml:space="preserve">Tabla 4.1. Variables del SVARX</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y no la brecha del producto porque es lo que entra en la identidad. Se toma la serie original y no la desestacionalizada del INDEC, que empieza en 2004; la estacionalidad la absorben variables binarias trimestrales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la prima de riesgo).</w:t>
            </w:r>
          </w:p>
        </w:tc>
      </w:tr>
      <w:tr>
        <w:tc>
          <w:tcPr/>
          <w:p>
            <w:pPr>
              <w:pStyle w:val="Compact"/>
            </w:pPr>
            <w:r>
              <w:rPr>
                <w:rFonts w:ascii="Calibri" w:hAnsi="Calibri"/>
                <w:sz w:val="20"/>
              </w:rPr>
              <w:t xml:space="preserve">Tipo de cambio real multilateral (TCRM)</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 Se usa el multilateral porque es el índice con el que el FMI mide la contribución del tipo de cambio real a la dinámica de la deuda (FMI, 2026, cuadro 6, nota 1).</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Predeterminada: entra rezagada en las ecuaciones y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Variables binarias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 y Perron (2003) estimados sobre la propia serie de deuda.</w:t>
            </w:r>
          </w:p>
        </w:tc>
      </w:tr>
    </w:tbl>
    <w:p>
      <w:pPr>
        <w:pStyle w:val="BodyText"/>
      </w:pPr>
      <w:r>
        <w:t xml:space="preserve">Fuente: elaboración propia.</w:t>
      </w:r>
    </w:p>
    <w:p>
      <w:pPr>
        <w:pStyle w:val="BodyText"/>
      </w:pPr>
      <w:r>
        <w:rPr>
          <w:b/>
          <w:bCs/>
        </w:rPr>
        <w:t xml:space="preserve">Por qué la deuda entra rezagada y se acumula con la identidad.</w:t>
      </w:r>
      <w:r>
        <w:t xml:space="preserve"> </w:t>
      </w:r>
      <w:r>
        <w:t xml:space="preserve">Favero y Giavazzi (2007) muestran que un VAR fiscal que omite la retroalimentación de la deuda está mal especificado: la restricción presupuestaria hace que el nivel de deuda condicione la política fiscal y las tasas. Su solución es incluir la deuda rezagada en las ecuaciones y hacerla evolucionar con la identidad, no con una ecuación estimada. Eso capta los efectos conjuntos que plantea la pregunta de investigación y mantiene la acumulación contablemente exacta.</w:t>
      </w:r>
    </w:p>
    <w:bookmarkEnd w:id="54"/>
    <w:bookmarkStart w:id="55" w:name="variables-exógenas"/>
    <w:p>
      <w:pPr>
        <w:pStyle w:val="Heading2"/>
      </w:pPr>
      <w:r>
        <w:t xml:space="preserve">4.3 Variables exógenas</w:t>
      </w:r>
    </w:p>
    <w:p>
      <w:pPr>
        <w:pStyle w:val="FirstParagraph"/>
      </w:pPr>
      <w:r>
        <w:t xml:space="preserve">Argentina es una economía pequeña y abierta: sus variables no afectan la tasa de la FED ni el VIX. En los VAR de economías pequeñas y abiertas, el supuesto estándar es que las variables externas forman un bloque exógeno (Cushman y Zha, 1997). Así se modela la transmisión de los</w:t>
      </w:r>
      <w:r>
        <w:t xml:space="preserve"> </w:t>
      </w:r>
      <w:r>
        <w:rPr>
          <w:i/>
          <w:iCs/>
        </w:rPr>
        <w:t xml:space="preserve">shocks</w:t>
      </w:r>
      <w:r>
        <w:t xml:space="preserve"> </w:t>
      </w:r>
      <w:r>
        <w:t xml:space="preserve">de Estados Unidos a América Latina (Canova, 2005) y la relación entre tasas internacionales y primas de riesgo en emergentes (Uribe y Yue, 2006). Una consecuencia es que el efecto de la FED (H2) no depende de cómo se ordenen las variables argentinas entre sí: se calcula como un multiplicador dinámico de la variable exógena.</w:t>
      </w:r>
    </w:p>
    <w:p>
      <w:pPr>
        <w:pStyle w:val="BodyText"/>
      </w:pPr>
      <w:r>
        <w:t xml:space="preserve">La serie es la tasa de fondos federales. En los trimestres en que esa tasa estuvo en el piso de cero se usa la tasa sombra de Wu y Xia (2016), que mide la orientación de la política monetaria cuando la tasa efectiva no puede bajar más.</w:t>
      </w:r>
    </w:p>
    <w:p>
      <w:pPr>
        <w:pStyle w:val="BodyText"/>
      </w:pPr>
      <w:r>
        <w:rPr>
          <w:b/>
          <w:bCs/>
        </w:rPr>
        <w:t xml:space="preserve">Tabla 4.2. Canales por los que opera el</w:t>
      </w:r>
      <w:r>
        <w:rPr>
          <w:b/>
          <w:bCs/>
        </w:rPr>
        <w:t xml:space="preserve"> </w:t>
      </w:r>
      <w:r>
        <w:rPr>
          <w:b/>
          <w:bCs/>
          <w:i/>
          <w:iCs/>
        </w:rPr>
        <w:t xml:space="preserve">shock</w:t>
      </w:r>
      <w:r>
        <w:rPr>
          <w:b/>
          <w:bCs/>
        </w:rPr>
        <w:t xml:space="preserve"> </w:t>
      </w:r>
      <w:r>
        <w:rPr>
          <w:b/>
          <w:bCs/>
        </w:rPr>
        <w:t xml:space="preserve">de la FED</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entre tasa y 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55"/>
    <w:bookmarkStart w:id="56" w:name="identificación-de-los-shocks-domésticos"/>
    <w:p>
      <w:pPr>
        <w:pStyle w:val="Heading2"/>
      </w:pPr>
      <w:r>
        <w:t xml:space="preserve">4.4 Identificación de los</w:t>
      </w:r>
      <w:r>
        <w:t xml:space="preserve"> </w:t>
      </w:r>
      <w:r>
        <w:rPr>
          <w:i/>
          <w:iCs/>
        </w:rPr>
        <w:t xml:space="preserve">shocks</w:t>
      </w:r>
      <w:r>
        <w:t xml:space="preserve"> </w:t>
      </w:r>
      <w:r>
        <w:t xml:space="preserve">domésticos</w:t>
      </w:r>
    </w:p>
    <w:p>
      <w:pPr>
        <w:pStyle w:val="FirstParagraph"/>
      </w:pPr>
      <w:r>
        <w:t xml:space="preserve">Los residuos del VAR, u, se relacionan con cuatro</w:t>
      </w:r>
      <w:r>
        <w:t xml:space="preserve"> </w:t>
      </w:r>
      <w:r>
        <w:rPr>
          <w:i/>
          <w:iCs/>
        </w:rPr>
        <w:t xml:space="preserve">shocks</w:t>
      </w:r>
      <w:r>
        <w:t xml:space="preserve"> </w:t>
      </w:r>
      <w:r>
        <w:t xml:space="preserve">estructurales, ε, mediante u = S ε. La matriz S impone las siguientes restricciones en el trimestre del impacto (Tabla 4.3):</w:t>
      </w:r>
    </w:p>
    <w:p>
      <w:pPr>
        <w:pStyle w:val="Compact"/>
        <w:numPr>
          <w:ilvl w:val="0"/>
          <w:numId w:val="1003"/>
        </w:numPr>
      </w:pPr>
      <w:r>
        <w:rPr>
          <w:b/>
          <w:bCs/>
        </w:rPr>
        <w:t xml:space="preserve">Fiscal.</w:t>
      </w:r>
      <w:r>
        <w:t xml:space="preserve"> </w:t>
      </w:r>
      <w:r>
        <w:t xml:space="preserve">Se le descuenta al resultado primario su respuesta automática al ciclo, con una elasticidad de 0,25 respecto del crecimiento (Blanchard y Perotti, 2002; Girouard y André, 2005). Lo que queda es el</w:t>
      </w:r>
      <w:r>
        <w:t xml:space="preserve"> </w:t>
      </w:r>
      <w:r>
        <w:rPr>
          <w:i/>
          <w:iCs/>
        </w:rPr>
        <w:t xml:space="preserve">shock</w:t>
      </w:r>
      <w:r>
        <w:t xml:space="preserve"> </w:t>
      </w:r>
      <w:r>
        <w:t xml:space="preserve">fiscal discrecional. La política discrecional tarda más de un trimestre en reaccionar a la actividad (Blanchard y Perotti, 2002).</w:t>
      </w:r>
    </w:p>
    <w:p>
      <w:pPr>
        <w:pStyle w:val="Compact"/>
        <w:numPr>
          <w:ilvl w:val="0"/>
          <w:numId w:val="1003"/>
        </w:numPr>
      </w:pPr>
      <w:r>
        <w:rPr>
          <w:b/>
          <w:bCs/>
        </w:rPr>
        <w:t xml:space="preserve">Actividad.</w:t>
      </w:r>
      <w:r>
        <w:t xml:space="preserve"> </w:t>
      </w:r>
      <w:r>
        <w:t xml:space="preserve">El crecimiento puede responder al</w:t>
      </w:r>
      <w:r>
        <w:t xml:space="preserve"> </w:t>
      </w:r>
      <w:r>
        <w:rPr>
          <w:i/>
          <w:iCs/>
        </w:rPr>
        <w:t xml:space="preserve">shock</w:t>
      </w:r>
      <w:r>
        <w:t xml:space="preserve"> </w:t>
      </w:r>
      <w:r>
        <w:t xml:space="preserve">fiscal dentro del trimestre; su propio</w:t>
      </w:r>
      <w:r>
        <w:t xml:space="preserve"> </w:t>
      </w:r>
      <w:r>
        <w:rPr>
          <w:i/>
          <w:iCs/>
        </w:rPr>
        <w:t xml:space="preserve">shock</w:t>
      </w:r>
      <w:r>
        <w:t xml:space="preserve"> </w:t>
      </w:r>
      <w:r>
        <w:t xml:space="preserve">es la parte del residuo que el</w:t>
      </w:r>
      <w:r>
        <w:t xml:space="preserve"> </w:t>
      </w:r>
      <w:r>
        <w:rPr>
          <w:i/>
          <w:iCs/>
        </w:rPr>
        <w:t xml:space="preserve">shock</w:t>
      </w:r>
      <w:r>
        <w:t xml:space="preserve"> </w:t>
      </w:r>
      <w:r>
        <w:t xml:space="preserve">fiscal no explica.</w:t>
      </w:r>
    </w:p>
    <w:p>
      <w:pPr>
        <w:pStyle w:val="Compact"/>
        <w:numPr>
          <w:ilvl w:val="0"/>
          <w:numId w:val="1003"/>
        </w:numPr>
      </w:pPr>
      <w:r>
        <w:rPr>
          <w:b/>
          <w:bCs/>
        </w:rPr>
        <w:t xml:space="preserve">Bloque cambiario y de riesgo.</w:t>
      </w:r>
      <w:r>
        <w:t xml:space="preserve"> </w:t>
      </w:r>
      <w:r>
        <w:t xml:space="preserve">El EMBI+ y el TCRM responden en el trimestre a los</w:t>
      </w:r>
      <w:r>
        <w:t xml:space="preserve"> </w:t>
      </w:r>
      <w:r>
        <w:rPr>
          <w:i/>
          <w:iCs/>
        </w:rPr>
        <w:t xml:space="preserve">shocks</w:t>
      </w:r>
      <w:r>
        <w:t xml:space="preserve"> </w:t>
      </w:r>
      <w:r>
        <w:t xml:space="preserve">fiscal y de actividad, pero el resultado primario y el crecimiento no responden en el mismo trimestre a los</w:t>
      </w:r>
      <w:r>
        <w:t xml:space="preserve"> </w:t>
      </w:r>
      <w:r>
        <w:rPr>
          <w:i/>
          <w:iCs/>
        </w:rPr>
        <w:t xml:space="preserve">shocks</w:t>
      </w:r>
      <w:r>
        <w:t xml:space="preserve"> </w:t>
      </w:r>
      <w:r>
        <w:t xml:space="preserve">de ese bloque. Es el supuesto de rezagos de decisión y de información de Blanchard y Perotti (2002) aplicado a la política fiscal, y el de rigidez del producto en el trimestre que usan los VAR monetarios (Christiano et al., 1999). Dentro del bloque no se impone ningún orden con interpretación económica: se usa una ortonormalización cualquiera y solo se informa la contribución conjunta, que no depende de ella (Christiano et al., 1999).</w:t>
      </w:r>
    </w:p>
    <w:p>
      <w:pPr>
        <w:pStyle w:val="FirstParagraph"/>
      </w:pPr>
      <w:r>
        <w:rPr>
          <w:b/>
          <w:bCs/>
        </w:rPr>
        <w:t xml:space="preserve">Tabla 4.3. Restricciones de impacto (S)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fiscal</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actividad</w:t>
            </w:r>
          </w:p>
        </w:tc>
        <w:tc>
          <w:tcPr/>
          <w:p>
            <w:pPr>
              <w:pStyle w:val="Compact"/>
            </w:pPr>
            <w:r>
              <w:rPr>
                <w:rFonts w:ascii="Calibri" w:hAnsi="Calibri"/>
                <w:sz w:val="20"/>
              </w:rPr>
              <w:t xml:space="preserve">Bloque cambiario y de riesgo</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libre</w:t>
            </w:r>
          </w:p>
        </w:tc>
        <w:tc>
          <w:tcPr/>
          <w:p>
            <w:pPr>
              <w:pStyle w:val="Compact"/>
            </w:pPr>
            <w:r>
              <w:rPr>
                <w:rFonts w:ascii="Calibri" w:hAnsi="Calibri"/>
                <w:sz w:val="20"/>
              </w:rPr>
              <w:t xml:space="preserve">0,25 × respuesta del crecimiento</w:t>
            </w:r>
          </w:p>
        </w:tc>
        <w:tc>
          <w:tcPr/>
          <w:p>
            <w:pPr>
              <w:pStyle w:val="Compact"/>
            </w:pPr>
            <w:r>
              <w:rPr>
                <w:rFonts w:ascii="Calibri" w:hAnsi="Calibri"/>
                <w:sz w:val="20"/>
              </w:rPr>
              <w:t xml:space="preserve">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Dos supuestos merecen discusión. El primero es la elasticidad de 0,25, que proviene de estimaciones para países de la OCDE (Girouard y André, 2005); para acotar su efecto, la simulación se repite con elasticidades de 0 y 0,5. El segundo es que el resultado primario no responda en el trimestre al tipo de cambio, cuando en Argentina los derechos de exportación dependen de él. Para evaluarlo se usan dos ordenamientos de Cholesky como robustez: uno que pone primero al resultado primario y otro que lo pone último.</w:t>
      </w:r>
    </w:p>
    <w:bookmarkEnd w:id="56"/>
    <w:bookmarkStart w:id="57" w:name="niveles-rezagos-e-inferencia"/>
    <w:p>
      <w:pPr>
        <w:pStyle w:val="Heading2"/>
      </w:pPr>
      <w:r>
        <w:t xml:space="preserve">4.5 Niveles, rezagos e inferencia</w:t>
      </w:r>
    </w:p>
    <w:p>
      <w:pPr>
        <w:pStyle w:val="Compact"/>
        <w:numPr>
          <w:ilvl w:val="0"/>
          <w:numId w:val="1004"/>
        </w:numPr>
      </w:pPr>
      <w:r>
        <w:rPr>
          <w:b/>
          <w:bCs/>
        </w:rPr>
        <w:t xml:space="preserve">Variables en niveles.</w:t>
      </w:r>
      <w:r>
        <w:t xml:space="preserve"> </w:t>
      </w:r>
      <w:r>
        <w:t xml:space="preserve">El VAR se estima en niveles aunque algunas variables tengan raíz unitaria. Sims et al. (1990) muestran que las estimaciones siguen siendo consistentes sin imponer relaciones de cointegración, aunque la distribución de algunos estimadores no es la estándar; por eso la inferencia se hace con</w:t>
      </w:r>
      <w:r>
        <w:t xml:space="preserve"> </w:t>
      </w:r>
      <w:r>
        <w:rPr>
          <w:i/>
          <w:iCs/>
        </w:rPr>
        <w:t xml:space="preserve">bootstrap</w:t>
      </w:r>
      <w:r>
        <w:t xml:space="preserve"> </w:t>
      </w:r>
      <w:r>
        <w:t xml:space="preserve">y no con los errores de mínimos cuadrados. Las pruebas de raíz unitaria (ADF y KPSS) no permiten clasificar con claridad la mayoría de las series, y la prueba de Johansen (1991) sobre las variables en niveles no rechaza la ausencia de cointegración (Apéndice, sección A.2). Esa prueba no incluye los quiebres, que sesgan los valores críticos (Johansen et al., 2000), de modo que su resultado se toma como indicativo.</w:t>
      </w:r>
    </w:p>
    <w:p>
      <w:pPr>
        <w:pStyle w:val="Compact"/>
        <w:numPr>
          <w:ilvl w:val="0"/>
          <w:numId w:val="1004"/>
        </w:numPr>
      </w:pPr>
      <w:r>
        <w:rPr>
          <w:b/>
          <w:bCs/>
        </w:rPr>
        <w:t xml:space="preserve">Muestra de estimación.</w:t>
      </w:r>
      <w:r>
        <w:t xml:space="preserve"> </w:t>
      </w:r>
      <w:r>
        <w:t xml:space="preserve">Todas las series cubren 1996-2025, y todas las especificaciones se estiman sobre la misma muestra efectiva, 1998T2-2025T4 (111 trimestres). Los primeros trimestres se usan como condiciones iniciales de los rezagos (la variación de la tasa de la FED con dos rezagos y hasta seis rezagos del VAR). Reservar el mismo número de observaciones para cualquier orden permite comparar los criterios de información entre órdenes (Lütkepohl, 2005, sec. 4.3).</w:t>
      </w:r>
    </w:p>
    <w:p>
      <w:pPr>
        <w:pStyle w:val="Compact"/>
        <w:numPr>
          <w:ilvl w:val="0"/>
          <w:numId w:val="1004"/>
        </w:numPr>
      </w:pPr>
      <w:r>
        <w:rPr>
          <w:b/>
          <w:bCs/>
        </w:rPr>
        <w:t xml:space="preserve">Rezagos.</w:t>
      </w:r>
      <w:r>
        <w:t xml:space="preserve"> </w:t>
      </w:r>
      <w:r>
        <w:t xml:space="preserve">Se toma el mayor orden estable que no supera al que elige el criterio de información de Akaike (AIC). Un VAR es estable si todos los autovalores de su matriz compañera tienen módulo menor que uno, que es lo mismo que pedir que las raíces del polinomio característico queden fuera del círculo unitario; la estabilidad es la condición para que existan las respuestas al impulso y la simulación de largo plazo (Lütkepohl, 2005, cap. 2). Con datos trimestrales, Ivanov y Kilian (2005) recomiendan el AIC para el análisis de respuestas al impulso, porque usar menos rezagos de los necesarios distorsiona más las respuestas que usar de más. El AIC alcanza su mínimo en seis rezagos, el máximo considerado, pero los órdenes desde cuatro son inestables (autovalor máximo de 1,02 a 1,03). Se usan tres rezagos (autovalor máximo de 0,96). Entre los órdenes estables, el AIC, el criterio de Hannan-Quinn y el de Schwarz eligen dos, dos y uno; por eso la simulación se repite con dos rezagos (Capítulo 6). La prueba de Portmanteau multivariada (Hosking, 1980) rechaza la ausencia de autocorrelación residual al 5% (p = 0,036). Como el remuestreo de</w:t>
      </w:r>
      <w:r>
        <w:t xml:space="preserve"> </w:t>
      </w:r>
      <w:r>
        <w:rPr>
          <w:i/>
          <w:iCs/>
        </w:rPr>
        <w:t xml:space="preserve">shocks</w:t>
      </w:r>
      <w:r>
        <w:t xml:space="preserve"> </w:t>
      </w:r>
      <w:r>
        <w:t xml:space="preserve">supone independencia entre trimestres, se trata como una limitación de la simulación.</w:t>
      </w:r>
    </w:p>
    <w:p>
      <w:pPr>
        <w:pStyle w:val="Compact"/>
        <w:numPr>
          <w:ilvl w:val="0"/>
          <w:numId w:val="1004"/>
        </w:numPr>
      </w:pPr>
      <w:r>
        <w:rPr>
          <w:b/>
          <w:bCs/>
        </w:rPr>
        <w:t xml:space="preserve">Intervalos de confianza.</w:t>
      </w:r>
      <w:r>
        <w:t xml:space="preserve"> </w:t>
      </w:r>
      <w:r>
        <w:t xml:space="preserve">Los residuos rechazan la normalidad (Jarque y Bera, 1987), y la volatilidad de las variables cambia entre subperíodos. Los intervalos se calculan con un</w:t>
      </w:r>
      <w:r>
        <w:t xml:space="preserve"> </w:t>
      </w:r>
      <w:r>
        <w:rPr>
          <w:i/>
          <w:iCs/>
        </w:rPr>
        <w:t xml:space="preserve">bootstrap</w:t>
      </w:r>
      <w:r>
        <w:t xml:space="preserve"> </w:t>
      </w:r>
      <w:r>
        <w:t xml:space="preserve">salvaje de diseño recursivo, válido con heterocedasticidad condicional de forma desconocida (Gonçalves y Kilian, 2004). En cada réplica se regenera también la deuda, con un VAR auxiliar que la incluye como quinta variable, de modo que la retroalimentación entre la deuda y el sistema esté presente en los datos simulados. Los coeficientes de rezago se corrigen por el sesgo de muestra chica con el procedimiento de Kilian (1998): una primera etapa de 100 réplicas mide el sesgo, y la estimación y cada réplica de la segunda etapa se corrigen por él, con una corrección reducida cuando la completa volvería inestable al VAR. La semilla es fija para que los resultados se puedan reproducir.</w:t>
      </w:r>
    </w:p>
    <w:bookmarkEnd w:id="57"/>
    <w:bookmarkStart w:id="58" w:name="simulación-de-monte-carlo"/>
    <w:p>
      <w:pPr>
        <w:pStyle w:val="Heading2"/>
      </w:pPr>
      <w:r>
        <w:t xml:space="preserve">4.6 Simulación de Monte Carlo</w:t>
      </w:r>
    </w:p>
    <w:p>
      <w:pPr>
        <w:pStyle w:val="FirstParagraph"/>
      </w:pPr>
      <w:r>
        <w:rPr>
          <w:b/>
          <w:bCs/>
        </w:rPr>
        <w:t xml:space="preserve">Escenario base.</w:t>
      </w:r>
      <w:r>
        <w:t xml:space="preserve"> </w:t>
      </w:r>
      <w:r>
        <w:t xml:space="preserve">Los senderos son los del análisis de sostenibilidad más reciente del FMI (2026, cuadro 6), publicado en mayo de 2026: crecimiento real g, deflactor del PIB π, tasa de interés efectiva i, resultado primario pb, ajuste stock-flujo sf e inflación relativa ri, que es la contribución de la depreciación nominal del escenario a la deuda en moneda extranjera. Antes de simular se verifica que la identidad, aplicada al</w:t>
      </w:r>
      <w:r>
        <w:t xml:space="preserve"> </w:t>
      </w:r>
      <w:r>
        <w:rPr>
          <w:i/>
          <w:iCs/>
        </w:rPr>
        <w:t xml:space="preserve">stock</w:t>
      </w:r>
      <w:r>
        <w:t xml:space="preserve"> </w:t>
      </w:r>
      <w:r>
        <w:t xml:space="preserve">de deuda del FMI, reproduzca su senda; el desvío máximo es de 0,1 puntos del PIB. Como robustez se usa el escenario de abril de 2025 (FMI, 2025, anexo II).</w:t>
      </w:r>
    </w:p>
    <w:p>
      <w:pPr>
        <w:pStyle w:val="BodyText"/>
      </w:pPr>
      <w:r>
        <w:rPr>
          <w:b/>
          <w:bCs/>
        </w:rPr>
        <w:t xml:space="preserve">Identidad de la deuda.</w:t>
      </w:r>
      <w:r>
        <w:t xml:space="preserve"> </w:t>
      </w:r>
      <w:r>
        <w:t xml:space="preserve">Para cada año t de 2026 a 2035:</w:t>
      </w:r>
    </w:p>
    <w:p>
      <w:pPr>
        <w:pStyle w:val="BodyText"/>
      </w:pPr>
      <w:r>
        <w:t xml:space="preserve">d_t = d_{t-1} M_t − pb_t + sf_t + ri_t d_{t-1} / d^FMI_{t-1}</w:t>
      </w:r>
    </w:p>
    <w:p>
      <w:pPr>
        <w:pStyle w:val="BodyText"/>
      </w:pPr>
      <w:r>
        <w:t xml:space="preserve">M_t = (1 + i_t + (1 − a) x_t)(1 + (1 − a) e_t) / ((1 + π_t)(1 + g_t))</w:t>
      </w:r>
    </w:p>
    <w:p>
      <w:pPr>
        <w:pStyle w:val="BodyText"/>
      </w:pPr>
      <w:r>
        <w:t xml:space="preserve">donde a = 0,42 es la proporción de la deuda en pesos (diciembre de 2025), e_t es el desvío de la depreciación real que simula el SVARX y x_t es el desvío de la tasa en dólares (EMBI+ y FED). La inflación relativa del FMI se escala por el cociente entre la deuda simulada y la del FMI, porque es proporcional al</w:t>
      </w:r>
      <w:r>
        <w:t xml:space="preserve"> </w:t>
      </w:r>
      <w:r>
        <w:rPr>
          <w:i/>
          <w:iCs/>
        </w:rPr>
        <w:t xml:space="preserve">stock</w:t>
      </w:r>
      <w:r>
        <w:t xml:space="preserve"> </w:t>
      </w:r>
      <w:r>
        <w:t xml:space="preserve">en moneda extranjera. La tasa en dólares se reprecia de a poco: cada año se refinancia la fracción λ = 18,0/63,6 ≈ 0,28, cociente entre las necesidades brutas de financiamiento promedio y la deuda promedio de los seis primeros años del escenario del FMI. Como esa fracción incluye la refinanciación de letras en pesos de corto plazo, se informa la sensibilidad a λ = 0,15 y 0,40.</w:t>
      </w:r>
    </w:p>
    <w:p>
      <w:pPr>
        <w:pStyle w:val="BodyText"/>
      </w:pPr>
      <w:r>
        <w:rPr>
          <w:b/>
          <w:bCs/>
        </w:rPr>
        <w:t xml:space="preserve">Algoritmo.</w:t>
      </w:r>
    </w:p>
    <w:p>
      <w:pPr>
        <w:pStyle w:val="Compact"/>
        <w:numPr>
          <w:ilvl w:val="0"/>
          <w:numId w:val="1005"/>
        </w:numPr>
      </w:pPr>
      <w:r>
        <w:t xml:space="preserve">El SVARX se simula trimestre a trimestre, en desvíos respecto del escenario base, durante 40 trimestres. Como la simulación es en desvíos, la constante, las variables binarias estacionales y las de quiebre no intervienen.</w:t>
      </w:r>
    </w:p>
    <w:p>
      <w:pPr>
        <w:pStyle w:val="Compact"/>
        <w:numPr>
          <w:ilvl w:val="0"/>
          <w:numId w:val="1005"/>
        </w:numPr>
      </w:pPr>
      <w:r>
        <w:t xml:space="preserve">Los</w:t>
      </w:r>
      <w:r>
        <w:t xml:space="preserve"> </w:t>
      </w:r>
      <w:r>
        <w:rPr>
          <w:i/>
          <w:iCs/>
        </w:rPr>
        <w:t xml:space="preserve">shocks</w:t>
      </w:r>
      <w:r>
        <w:t xml:space="preserve"> </w:t>
      </w:r>
      <w:r>
        <w:t xml:space="preserve">estructurales se remuestrean de los 111 trimestres históricos, con reposición y como vectores, para conservar las colas gordas y la correlación entre variables (FMI, 2021, párr. 52).</w:t>
      </w:r>
    </w:p>
    <w:p>
      <w:pPr>
        <w:pStyle w:val="Compact"/>
        <w:numPr>
          <w:ilvl w:val="0"/>
          <w:numId w:val="1005"/>
        </w:numPr>
      </w:pPr>
      <w:r>
        <w:t xml:space="preserve">Al final de cada año, los desvíos trimestrales se anualizan (suma para el crecimiento, promedio para el resultado primario y el EMBI+, variación de fin de año para el TCRM) y entran en la identidad.</w:t>
      </w:r>
    </w:p>
    <w:p>
      <w:pPr>
        <w:pStyle w:val="Compact"/>
        <w:numPr>
          <w:ilvl w:val="0"/>
          <w:numId w:val="1005"/>
        </w:numPr>
      </w:pPr>
      <w:r>
        <w:t xml:space="preserve">La deuda simulada vuelve al sistema como desvío acumulado respecto de la senda base, multiplicada por los coeficientes de la deuda rezagada.</w:t>
      </w:r>
    </w:p>
    <w:p>
      <w:pPr>
        <w:pStyle w:val="FirstParagraph"/>
      </w:pPr>
      <w:r>
        <w:rPr>
          <w:b/>
          <w:bCs/>
        </w:rPr>
        <w:t xml:space="preserve">Métrica de no estabilización.</w:t>
      </w:r>
      <w:r>
        <w:t xml:space="preserve"> </w:t>
      </w:r>
      <w:r>
        <w:t xml:space="preserve">Es la del FMI (2021, párr. 53 y anexo VI, nota 9): la deuda no se estabiliza en el año T si el resultado primario del escenario base es menor que el que la estabilizaría en esa trayectoria,</w:t>
      </w:r>
    </w:p>
    <w:p>
      <w:pPr>
        <w:pStyle w:val="BodyText"/>
      </w:pPr>
      <w:r>
        <w:t xml:space="preserve">pb*</w:t>
      </w:r>
      <w:r>
        <w:rPr>
          <w:i/>
          <w:iCs/>
        </w:rPr>
        <w:t xml:space="preserve">T = d</w:t>
      </w:r>
      <w:r>
        <w:t xml:space="preserve">{T-1} (M_T − 1) + ri_T d_{T-1} / d^FMI_{T-1}.</w:t>
      </w:r>
    </w:p>
    <w:p>
      <w:pPr>
        <w:pStyle w:val="BodyText"/>
      </w:pPr>
      <w:r>
        <w:t xml:space="preserve">Se mide en 2031, que es el último año del abanico de mediano plazo del informe del FMI (t + 5 desde 2026), y en 2035, el último año de su abanico de diez años.</w:t>
      </w:r>
    </w:p>
    <w:p>
      <w:pPr>
        <w:pStyle w:val="BodyText"/>
      </w:pPr>
      <w:r>
        <w:rPr>
          <w:b/>
          <w:bCs/>
        </w:rPr>
        <w:t xml:space="preserve">Estimación e intervalos.</w:t>
      </w:r>
      <w:r>
        <w:t xml:space="preserve"> </w:t>
      </w:r>
      <w:r>
        <w:t xml:space="preserve">La estimación central usa los parámetros corregidos por sesgo y 20.000 trayectorias; se informa su error de Monte Carlo. Los intervalos de 90% salen de 200 réplicas de parámetros con 1.000 trayectorias cada una.</w:t>
      </w:r>
    </w:p>
    <w:p>
      <w:pPr>
        <w:pStyle w:val="BodyText"/>
      </w:pPr>
      <w:r>
        <w:rPr>
          <w:b/>
          <w:bCs/>
        </w:rPr>
        <w:t xml:space="preserve">Tamaño del</w:t>
      </w:r>
      <w:r>
        <w:rPr>
          <w:b/>
          <w:bCs/>
        </w:rPr>
        <w:t xml:space="preserve"> </w:t>
      </w:r>
      <w:r>
        <w:rPr>
          <w:b/>
          <w:bCs/>
          <w:i/>
          <w:iCs/>
        </w:rPr>
        <w:t xml:space="preserve">shock</w:t>
      </w:r>
      <w:r>
        <w:rPr>
          <w:b/>
          <w:bCs/>
        </w:rPr>
        <w:t xml:space="preserve"> </w:t>
      </w:r>
      <w:r>
        <w:rPr>
          <w:b/>
          <w:bCs/>
        </w:rPr>
        <w:t xml:space="preserve">de la FED.</w:t>
      </w:r>
      <w:r>
        <w:t xml:space="preserve"> </w:t>
      </w:r>
      <w:r>
        <w:t xml:space="preserve">Se usan dos escenarios. El primero es una suba de un desvío estándar de la variación trimestral de la tasa (0,50 puntos), la convención para medir respuestas en estos modelos. El segundo repite la senda trimestral efectiva de la tasa de fondos federales de 2022 a 2025: sube de 0,08% a 5,33% hasta fines de 2023 y baja a 3,90% en 2025.</w:t>
      </w:r>
    </w:p>
    <w:p>
      <w:pPr>
        <w:pStyle w:val="BodyText"/>
      </w:pPr>
      <w:r>
        <w:rPr>
          <w:b/>
          <w:bCs/>
        </w:rPr>
        <w:t xml:space="preserve">Variantes.</w:t>
      </w:r>
    </w:p>
    <w:p>
      <w:pPr>
        <w:pStyle w:val="Compact"/>
        <w:numPr>
          <w:ilvl w:val="0"/>
          <w:numId w:val="1006"/>
        </w:numPr>
      </w:pPr>
      <w:r>
        <w:rPr>
          <w:b/>
          <w:bCs/>
        </w:rPr>
        <w:t xml:space="preserve">Canal de tasas domésticas.</w:t>
      </w:r>
      <w:r>
        <w:t xml:space="preserve"> </w:t>
      </w:r>
      <w:r>
        <w:t xml:space="preserve">El mismo desvío del EMBI+ también reprecia la deuda en pesos, con la misma velocidad λ. El fundamento es la tasa de interés del país de Neumeyer y Perri (2005) y Uribe y Yue (2006): el costo del crédito para el soberano es la tasa internacional más la prima de riesgo, cualquiera sea la moneda. No se agrega una tasa en pesos como variable del VAR porque no hay una serie homogénea para 1996-2025.</w:t>
      </w:r>
    </w:p>
    <w:p>
      <w:pPr>
        <w:pStyle w:val="Compact"/>
        <w:numPr>
          <w:ilvl w:val="0"/>
          <w:numId w:val="1006"/>
        </w:numPr>
      </w:pPr>
      <w:r>
        <w:rPr>
          <w:b/>
          <w:bCs/>
          <w:i/>
          <w:iCs/>
        </w:rPr>
        <w:t xml:space="preserve">Shocks</w:t>
      </w:r>
      <w:r>
        <w:rPr>
          <w:b/>
          <w:bCs/>
        </w:rPr>
        <w:t xml:space="preserve"> </w:t>
      </w:r>
      <w:r>
        <w:rPr>
          <w:b/>
          <w:bCs/>
        </w:rPr>
        <w:t xml:space="preserve">como los del FMI.</w:t>
      </w:r>
      <w:r>
        <w:t xml:space="preserve"> </w:t>
      </w:r>
      <w:r>
        <w:t xml:space="preserve">Para saber cuánto del resultado depende de la forma de generar los</w:t>
      </w:r>
      <w:r>
        <w:t xml:space="preserve"> </w:t>
      </w:r>
      <w:r>
        <w:rPr>
          <w:i/>
          <w:iCs/>
        </w:rPr>
        <w:t xml:space="preserve">shocks</w:t>
      </w:r>
      <w:r>
        <w:t xml:space="preserve">, se repite la simulación con el procedimiento del abanico del FMI (FMI, 2021, anexo VI; FMI y Mecanismo Europeo de Estabilidad, 2023). Se calculan los desvíos respecto de la media histórica de los cuatro impulsores anuales de la deuda (tasa real efectiva, crecimiento real, depreciación real y resultado primario, 1997-2025) y se los remuestrea como vectores en bloques de dos años consecutivos. La identidad, el punto de partida y la métrica son los mismos.</w:t>
      </w:r>
    </w:p>
    <w:p>
      <w:pPr>
        <w:pStyle w:val="Compact"/>
        <w:numPr>
          <w:ilvl w:val="0"/>
          <w:numId w:val="1006"/>
        </w:numPr>
      </w:pPr>
      <w:r>
        <w:rPr>
          <w:b/>
          <w:bCs/>
        </w:rPr>
        <w:t xml:space="preserve">Otras.</w:t>
      </w:r>
      <w:r>
        <w:t xml:space="preserve"> </w:t>
      </w:r>
      <w:r>
        <w:t xml:space="preserve">Sin la retroalimentación de la deuda; deuda neta a valor libros, deuda bruta y deuda solo del Tesoro; sin los</w:t>
      </w:r>
      <w:r>
        <w:t xml:space="preserve"> </w:t>
      </w:r>
      <w:r>
        <w:rPr>
          <w:i/>
          <w:iCs/>
        </w:rPr>
        <w:t xml:space="preserve">shocks</w:t>
      </w:r>
      <w:r>
        <w:t xml:space="preserve"> </w:t>
      </w:r>
      <w:r>
        <w:t xml:space="preserve">del período de cesación de pagos y canje (2001T4-2005T3); ajuste stock-flujo en cero; resultado primario sin rentas de la propiedad (que incluyen las utilidades del BCRA, internas al perímetro consolidado); muestra desde 2004; punto de partida igual a la deuda consolidada neta del FMI (52,1% del PIB), que descuenta el FGS.</w:t>
      </w:r>
    </w:p>
    <w:p>
      <w:pPr>
        <w:pStyle w:val="FirstParagraph"/>
      </w:pPr>
      <w:r>
        <w:rPr>
          <w:b/>
          <w:bCs/>
        </w:rPr>
        <w:t xml:space="preserve">Por qué la especificación principal es el SVARX.</w:t>
      </w:r>
      <w:r>
        <w:t xml:space="preserve"> </w:t>
      </w:r>
      <w:r>
        <w:t xml:space="preserve">La elección se fijó antes de ver los resultados. El procedimiento del FMI genera</w:t>
      </w:r>
      <w:r>
        <w:t xml:space="preserve"> </w:t>
      </w:r>
      <w:r>
        <w:rPr>
          <w:i/>
          <w:iCs/>
        </w:rPr>
        <w:t xml:space="preserve">shocks</w:t>
      </w:r>
      <w:r>
        <w:t xml:space="preserve"> </w:t>
      </w:r>
      <w:r>
        <w:t xml:space="preserve">en forma reducida: no distingue un</w:t>
      </w:r>
      <w:r>
        <w:t xml:space="preserve"> </w:t>
      </w:r>
      <w:r>
        <w:rPr>
          <w:i/>
          <w:iCs/>
        </w:rPr>
        <w:t xml:space="preserve">shock</w:t>
      </w:r>
      <w:r>
        <w:t xml:space="preserve"> </w:t>
      </w:r>
      <w:r>
        <w:t xml:space="preserve">fiscal de uno cambiario ni aísla la tasa de la FED, de modo que no permite descomponer la incertidumbre por origen ni contrastar H2. La identificación, en cambio, no influye en la probabilidad de no estabilización: los</w:t>
      </w:r>
      <w:r>
        <w:t xml:space="preserve"> </w:t>
      </w:r>
      <w:r>
        <w:rPr>
          <w:i/>
          <w:iCs/>
        </w:rPr>
        <w:t xml:space="preserve">shocks</w:t>
      </w:r>
      <w:r>
        <w:t xml:space="preserve"> </w:t>
      </w:r>
      <w:r>
        <w:t xml:space="preserve">estructurales reconstruyen los mismos residuos históricos, cualquiera sea la matriz S.</w:t>
      </w:r>
    </w:p>
    <w:bookmarkEnd w:id="58"/>
    <w:bookmarkStart w:id="59" w:name="contraste-de-las-hipótesis"/>
    <w:p>
      <w:pPr>
        <w:pStyle w:val="Heading2"/>
      </w:pPr>
      <w:r>
        <w:t xml:space="preserve">4.7 Contraste de las hipótesis</w:t>
      </w:r>
    </w:p>
    <w:p>
      <w:pPr>
        <w:pStyle w:val="FirstParagraph"/>
      </w:pPr>
      <w:r>
        <w:rPr>
          <w:b/>
          <w:bCs/>
        </w:rPr>
        <w:t xml:space="preserve">Tabla 4.4. Medidas y criterios de contraste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(i) Resultado primario necesario en 2031 para que la probabilidad de no estabilización baje al nivel del FMI (1%), y (ii) contribución de cada bloque de</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a la varianza de la deuda simulada en 2035</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el necesario supera el máximo del Sector Público Nacional en 1996-2025 (3,6% del PIB en 2004). La descomposición de la varianza muestra de dónde viene el riesgo que el superávit no cubre.</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 en 2031 y en 2035</w:t>
            </w:r>
          </w:p>
        </w:tc>
        <w:tc>
          <w:tcPr/>
          <w:p>
            <w:pPr>
              <w:pStyle w:val="Compact"/>
            </w:pPr>
            <w:r>
              <w:rPr>
                <w:rFonts w:ascii="Calibri" w:hAnsi="Calibri"/>
                <w:sz w:val="20"/>
              </w:rPr>
              <w:t xml:space="preserve">El límite inferior del intervalo de 90% supera la probabilidad del FMI para el mismo horizonte (contraste unilateral al 5%): 1,0% a mediano plazo y menos de 3% en el abanico de diez años (FMI, 2026).</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cada escenario de la FED y el base</w:t>
            </w:r>
          </w:p>
        </w:tc>
        <w:tc>
          <w:tcPr/>
          <w:p>
            <w:pPr>
              <w:pStyle w:val="Compact"/>
            </w:pPr>
            <w:r>
              <w:rPr>
                <w:rFonts w:ascii="Calibri" w:hAnsi="Calibri"/>
                <w:sz w:val="20"/>
              </w:rPr>
              <w:t xml:space="preserve">El intervalo de 90% de la diferencia excluye el cero.</w:t>
            </w:r>
          </w:p>
        </w:tc>
      </w:tr>
    </w:tbl>
    <w:p>
      <w:pPr>
        <w:pStyle w:val="BodyText"/>
      </w:pPr>
      <w:r>
        <w:t xml:space="preserve">Fuente: elaboración propia.</w:t>
      </w:r>
    </w:p>
    <w:p>
      <w:pPr>
        <w:pStyle w:val="BodyText"/>
      </w:pPr>
      <w:r>
        <w:t xml:space="preserve">El criterio (i) de H1a mide directamente lo que afirma la hipótesis: si con un superávit de la magnitud que la Argentina alcanzó en su mejor año la deuda sigue teniendo una probabilidad de no estabilizarse mayor que la que el FMI considera baja, el superávit, por sí solo, no basta. Como H1b se contrasta en dos horizontes y H2 en dos escenarios, se informa además si las conclusiones se sostienen con la corrección de Bonferroni, es decir, con los límites de 2,5%.</w:t>
      </w:r>
    </w:p>
    <w:bookmarkEnd w:id="59"/>
    <w:bookmarkEnd w:id="60"/>
    <w:bookmarkStart w:id="77" w:name="datos"/>
    <w:p>
      <w:pPr>
        <w:pStyle w:val="Heading1"/>
      </w:pPr>
      <w:r>
        <w:t xml:space="preserve">5. Datos</w:t>
      </w:r>
    </w:p>
    <w:p>
      <w:pPr>
        <w:pStyle w:val="FirstParagraph"/>
      </w:pPr>
      <w:r>
        <w:t xml:space="preserve">Las series son trimestrales y cubren 1996T1-2025T4. Todas se construyeron desde fuentes primarias con procedimientos reproducibles, sin intervención manual sobre los datos. Este capítulo resume qué mide cada serie, de dónde sale y por qué se la construyó así, y la contrasta con las cifras del FMI. Los estadísticos descriptivos de la muestra de estimación están en el Apéndice.</w:t>
      </w:r>
    </w:p>
    <w:bookmarkStart w:id="61" w:name="series-y-fuentes"/>
    <w:p>
      <w:pPr>
        <w:pStyle w:val="Heading2"/>
      </w:pPr>
      <w:r>
        <w:t xml:space="preserve">5.1 Series y fuentes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 en el modelo</w:t>
            </w:r>
          </w:p>
        </w:tc>
        <w:tc>
          <w:tcPr/>
          <w:p>
            <w:pPr>
              <w:pStyle w:val="Compact"/>
            </w:pPr>
            <w:r>
              <w:rPr>
                <w:rFonts w:ascii="Calibri" w:hAnsi="Calibri"/>
                <w:sz w:val="20"/>
              </w:rPr>
              <w:t xml:space="preserve">Fuente</w:t>
            </w:r>
          </w:p>
        </w:tc>
        <w:tc>
          <w:tcPr/>
          <w:p>
            <w:pPr>
              <w:pStyle w:val="Compact"/>
            </w:pPr>
            <w:r>
              <w:rPr>
                <w:rFonts w:ascii="Calibri" w:hAnsi="Calibri"/>
                <w:sz w:val="20"/>
              </w:rPr>
              <w:t xml:space="preserve">Construcción</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Rezagada en las ecuaciones y acumulada en la simulación</w:t>
            </w:r>
          </w:p>
        </w:tc>
        <w:tc>
          <w:tcPr/>
          <w:p>
            <w:pPr>
              <w:pStyle w:val="Compact"/>
            </w:pPr>
            <w:r>
              <w:rPr>
                <w:rFonts w:ascii="Calibri" w:hAnsi="Calibri"/>
                <w:sz w:val="20"/>
              </w:rPr>
              <w:t xml:space="preserve">MECON (deuda de la Administración Central) y BCRA (balance y estadísticas monetarias)</w:t>
            </w:r>
          </w:p>
        </w:tc>
        <w:tc>
          <w:tcPr/>
          <w:p>
            <w:pPr>
              <w:pStyle w:val="Compact"/>
            </w:pPr>
            <w:r>
              <w:rPr>
                <w:rFonts w:ascii="Calibri" w:hAnsi="Calibri"/>
                <w:sz w:val="20"/>
              </w:rPr>
              <w:t xml:space="preserve">Sección 5.2</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MECON, esquema ahorro-inversión-financiamiento del Sector Público Nacional, base caja</w:t>
            </w:r>
          </w:p>
        </w:tc>
        <w:tc>
          <w:tcPr/>
          <w:p>
            <w:pPr>
              <w:pStyle w:val="Compact"/>
            </w:pPr>
            <w:r>
              <w:rPr>
                <w:rFonts w:ascii="Calibri" w:hAnsi="Calibri"/>
                <w:sz w:val="20"/>
              </w:rPr>
              <w:t xml:space="preserve">Suma mensual por trimestre, anualizada sobre el PIB de cuatro trimestres</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INDEC, PIB a precios constantes</w:t>
            </w:r>
          </w:p>
        </w:tc>
        <w:tc>
          <w:tcPr/>
          <w:p>
            <w:pPr>
              <w:pStyle w:val="Compact"/>
            </w:pPr>
            <w:r>
              <w:rPr>
                <w:rFonts w:ascii="Calibri" w:hAnsi="Calibri"/>
                <w:sz w:val="20"/>
              </w:rPr>
              <w:t xml:space="preserve">Variación logarítmica trimestral; 1996-2003 en base 1993 empalmada a base 2004</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Endógena</w:t>
            </w:r>
          </w:p>
        </w:tc>
        <w:tc>
          <w:tcPr/>
          <w:p>
            <w:pPr>
              <w:pStyle w:val="Compact"/>
            </w:pPr>
            <w:r>
              <w:rPr>
                <w:rFonts w:ascii="Calibri" w:hAnsi="Calibri"/>
                <w:sz w:val="20"/>
              </w:rPr>
              <w:t xml:space="preserve">J.P. Morgan desde 1999; 1996-1998,</w:t>
            </w:r>
            <w:r>
              <w:rPr>
                <w:rFonts w:ascii="Calibri" w:hAnsi="Calibri"/>
                <w:sz w:val="20"/>
              </w:rPr>
              <w:t xml:space="preserve"> </w:t>
            </w:r>
            <w:r>
              <w:rPr>
                <w:rFonts w:ascii="Calibri" w:hAnsi="Calibri"/>
                <w:i/>
                <w:iCs/>
                <w:sz w:val="20"/>
              </w:rPr>
              <w:t xml:space="preserve">stripped spread</w:t>
            </w:r>
            <w:r>
              <w:rPr>
                <w:rFonts w:ascii="Calibri" w:hAnsi="Calibri"/>
                <w:sz w:val="20"/>
              </w:rPr>
              <w:t xml:space="preserve"> </w:t>
            </w:r>
            <w:r>
              <w:rPr>
                <w:rFonts w:ascii="Calibri" w:hAnsi="Calibri"/>
                <w:sz w:val="20"/>
              </w:rPr>
              <w:t xml:space="preserve">de los bonos Brady</w:t>
            </w:r>
          </w:p>
        </w:tc>
        <w:tc>
          <w:tcPr/>
          <w:p>
            <w:pPr>
              <w:pStyle w:val="Compact"/>
            </w:pPr>
            <w:r>
              <w:rPr>
                <w:rFonts w:ascii="Calibri" w:hAnsi="Calibri"/>
                <w:sz w:val="20"/>
              </w:rPr>
              <w:t xml:space="preserve">Promedio trimestral, con empalme en 1999</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BCRA</w:t>
            </w:r>
          </w:p>
        </w:tc>
        <w:tc>
          <w:tcPr/>
          <w:p>
            <w:pPr>
              <w:pStyle w:val="Compact"/>
            </w:pPr>
            <w:r>
              <w:rPr>
                <w:rFonts w:ascii="Calibri" w:hAnsi="Calibri"/>
                <w:sz w:val="20"/>
              </w:rPr>
              <w:t xml:space="preserve">Promedio trimestral del índice</w:t>
            </w:r>
          </w:p>
        </w:tc>
      </w:tr>
      <w:tr>
        <w:tc>
          <w:tcPr/>
          <w:p>
            <w:pPr>
              <w:pStyle w:val="Compact"/>
            </w:pPr>
            <w:r>
              <w:rPr>
                <w:rFonts w:ascii="Calibri" w:hAnsi="Calibri"/>
                <w:sz w:val="20"/>
              </w:rPr>
              <w:t xml:space="preserve">Tasa de política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Tasa de fondos federales de la Junta de Gobernadores de la Reserva Federal, obtenida de FRED, la base de datos del Banco de la Reserva Federal de St. Louis (Board of Governors of the Federal Reserve System, s. f.); tasa sombra de Wu y Xia (2016), publicada por el Banco de la Reserva Federal de Atlanta (Federal Reserve Bank of Atlanta, s. f.)</w:t>
            </w:r>
          </w:p>
        </w:tc>
        <w:tc>
          <w:tcPr/>
          <w:p>
            <w:pPr>
              <w:pStyle w:val="Compact"/>
            </w:pPr>
            <w:r>
              <w:rPr>
                <w:rFonts w:ascii="Calibri" w:hAnsi="Calibri"/>
                <w:sz w:val="20"/>
              </w:rPr>
              <w:t xml:space="preserve">Promedio trimestral; tasa sombra en el límite cero</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i/>
                <w:iCs/>
                <w:sz w:val="20"/>
              </w:rPr>
              <w:t xml:space="preserve">Chicago Board Options Exchange</w:t>
            </w:r>
            <w:r>
              <w:rPr>
                <w:rFonts w:ascii="Calibri" w:hAnsi="Calibri"/>
                <w:sz w:val="20"/>
              </w:rPr>
              <w:t xml:space="preserve"> </w:t>
            </w:r>
            <w:r>
              <w:rPr>
                <w:rFonts w:ascii="Calibri" w:hAnsi="Calibri"/>
                <w:sz w:val="20"/>
              </w:rPr>
              <w:t xml:space="preserve">(CBOE)</w:t>
            </w:r>
          </w:p>
        </w:tc>
        <w:tc>
          <w:tcPr/>
          <w:p>
            <w:pPr>
              <w:pStyle w:val="Compact"/>
            </w:pPr>
            <w:r>
              <w:rPr>
                <w:rFonts w:ascii="Calibri" w:hAnsi="Calibri"/>
                <w:sz w:val="20"/>
              </w:rPr>
              <w:t xml:space="preserve">Promedio trimestral</w:t>
            </w:r>
          </w:p>
        </w:tc>
      </w:tr>
    </w:tbl>
    <w:p>
      <w:pPr>
        <w:pStyle w:val="BodyText"/>
      </w:pPr>
      <w:r>
        <w:rPr>
          <w:b/>
          <w:bCs/>
        </w:rPr>
        <w:t xml:space="preserve">Denominador.</w:t>
      </w:r>
      <w:r>
        <w:t xml:space="preserve"> </w:t>
      </w:r>
      <w:r>
        <w:t xml:space="preserve">Todos los cocientes usan el PIB nominal de los últimos cuatro trimestres. Dividir un</w:t>
      </w:r>
      <w:r>
        <w:t xml:space="preserve"> </w:t>
      </w:r>
      <w:r>
        <w:rPr>
          <w:i/>
          <w:iCs/>
        </w:rPr>
        <w:t xml:space="preserve">stock</w:t>
      </w:r>
      <w:r>
        <w:t xml:space="preserve"> </w:t>
      </w:r>
      <w:r>
        <w:t xml:space="preserve">por el PIB de un solo trimestre anualizado mezcla estacionalidad y, con inflación alta, distorsiona el cociente. En el cuarto trimestre, el denominador coincide con el PIB del año, de modo que los cocientes de diciembre son comparables con las cifras anuales del FMI. Con inflación de tres dígitos (2023-2024), este denominador rezaga al PIB de fin de período y sobreestima el cociente en la aceleración.</w:t>
      </w:r>
    </w:p>
    <w:bookmarkEnd w:id="61"/>
    <w:bookmarkStart w:id="66" w:name="deuda-consolidada-neta"/>
    <w:p>
      <w:pPr>
        <w:pStyle w:val="Heading2"/>
      </w:pPr>
      <w:r>
        <w:t xml:space="preserve">5.2 Deuda consolidada neta</w:t>
      </w:r>
    </w:p>
    <w:p>
      <w:pPr>
        <w:pStyle w:val="FirstParagraph"/>
      </w:pPr>
      <w:r>
        <w:t xml:space="preserve">La deuda bruta es la de la Administración Central (Tesoro nacional). El resultado primario, en cambio, es el del Sector Público Nacional (SPN), un perímetro más amplio (sección 5.3). Se sigue la consolidación con el banco central del FMI (2021, anexo II): se restan los créditos del banco central contra el gobierno y se suman los pasivos de deuda del banco central.</w:t>
      </w:r>
    </w:p>
    <w:p>
      <w:pPr>
        <w:pStyle w:val="BodyText"/>
      </w:pPr>
      <w:r>
        <w:t xml:space="preserve">D = B − T + L − DEP</w:t>
      </w:r>
    </w:p>
    <w:p>
      <w:pPr>
        <w:pStyle w:val="Compact"/>
        <w:numPr>
          <w:ilvl w:val="0"/>
          <w:numId w:val="1007"/>
        </w:numPr>
      </w:pPr>
      <w:r>
        <w:rPr>
          <w:b/>
          <w:bCs/>
        </w:rPr>
        <w:t xml:space="preserve">B, deuda bruta de la Administración Central.</w:t>
      </w:r>
      <w:r>
        <w:t xml:space="preserve"> </w:t>
      </w:r>
      <w:r>
        <w:t xml:space="preserve">Informe de Deuda Pública del MECON (Ministerio de Economía de la Nación, 2025), convertida a pesos con el tipo de cambio de fin de trimestre. En 1996-2001 el tipo de cambio es 1, por la convertibilidad. Los seis trimestres de 1996-1997 que no son cierre de año se interpolan en dólares.</w:t>
      </w:r>
    </w:p>
    <w:p>
      <w:pPr>
        <w:pStyle w:val="Compact"/>
        <w:numPr>
          <w:ilvl w:val="0"/>
          <w:numId w:val="1007"/>
        </w:numPr>
      </w:pPr>
      <w:r>
        <w:rPr>
          <w:b/>
          <w:bCs/>
        </w:rPr>
        <w:t xml:space="preserve">T, deuda del Tesoro en poder del BCRA.</w:t>
      </w:r>
      <w:r>
        <w:t xml:space="preserve"> </w:t>
      </w:r>
      <w:r>
        <w:t xml:space="preserve">Adelantos transitorios, títulos en pesos y Letras Intransferibles. Las Letras se valúan a su valor nominal, que publica el MECON, y no al valor contable del balance del BCRA (Banco Central de la República Argentina, s. f.). La razón es que la deuda bruta del MECON está a valor nominal, y restarle tenencias valuadas con otro criterio mezcla dos medidas. Cuando el valor contable supera al nominal, porque incluye otros créditos en dólares, se conserva el contable (variante</w:t>
      </w:r>
      <w:r>
        <w:t xml:space="preserve"> </w:t>
      </w:r>
      <w:r>
        <w:t xml:space="preserve">“piso”</w:t>
      </w:r>
      <w:r>
        <w:t xml:space="preserve">). Se la llama así porque el valor contable funciona como cota inferior: en cada trimestre se resta el mayor de los dos valores.</w:t>
      </w:r>
    </w:p>
    <w:p>
      <w:pPr>
        <w:pStyle w:val="Compact"/>
        <w:numPr>
          <w:ilvl w:val="0"/>
          <w:numId w:val="1007"/>
        </w:numPr>
      </w:pPr>
      <w:r>
        <w:rPr>
          <w:b/>
          <w:bCs/>
        </w:rPr>
        <w:t xml:space="preserve">L, pasivos remunerados del BCRA.</w:t>
      </w:r>
      <w:r>
        <w:t xml:space="preserve"> </w:t>
      </w:r>
      <w:r>
        <w:t xml:space="preserve">LEBAC y NOBAC, LELIQ y NOTALIQ, posición neta de pases y letras en moneda extranjera (BCRA, estadísticas monetarias). El</w:t>
      </w:r>
      <w:r>
        <w:t xml:space="preserve"> </w:t>
      </w:r>
      <w:r>
        <w:rPr>
          <w:i/>
          <w:iCs/>
        </w:rPr>
        <w:t xml:space="preserve">swap</w:t>
      </w:r>
      <w:r>
        <w:rPr>
          <w:rStyle w:val="FootnoteReference"/>
        </w:rPr>
        <w:footnoteReference w:id="62"/>
      </w:r>
      <w:r>
        <w:t xml:space="preserve"> </w:t>
      </w:r>
      <w:r>
        <w:t xml:space="preserve">con el Banco Popular de China no tiene serie pública y queda excluido.</w:t>
      </w:r>
    </w:p>
    <w:p>
      <w:pPr>
        <w:pStyle w:val="Compact"/>
        <w:numPr>
          <w:ilvl w:val="0"/>
          <w:numId w:val="1007"/>
        </w:numPr>
      </w:pPr>
      <w:r>
        <w:rPr>
          <w:b/>
          <w:bCs/>
        </w:rPr>
        <w:t xml:space="preserve">DEP, depósitos del Tesoro en el BCRA.</w:t>
      </w:r>
    </w:p>
    <w:p>
      <w:pPr>
        <w:pStyle w:val="FirstParagraph"/>
      </w:pPr>
      <w:r>
        <w:t xml:space="preserve">La Figura 5.1 muestra la serie principal, la variante con las Letras a valor contable y la deuda consolidada bruta (B + L).</w:t>
      </w:r>
    </w:p>
    <w:p>
      <w:pPr>
        <w:pStyle w:val="CaptionedFigure"/>
      </w:pPr>
      <w:r>
        <w:drawing>
          <wp:inline>
            <wp:extent cx="5334000" cy="2743200"/>
            <wp:effectExtent b="0" l="0" r="0" t="0"/>
            <wp:docPr descr="Figura 5.1. Deuda pública consolidada, 1996-2025 (% del PIB de los últimos cuatro trimestres). Los puntos son la deuda consolidada neta del FMI (2025, anexo II, cuadro 2) a diciembre de 2023 y de 2024." title="" id="64" name="Picture"/>
            <a:graphic>
              <a:graphicData uri="http://schemas.openxmlformats.org/drawingml/2006/picture">
                <pic:pic>
                  <pic:nvPicPr>
                    <pic:cNvPr descr="../tesis/figuras/fig5_1_deuda_consolidada_1996_2025.png" id="65" name="Picture"/>
                    <pic:cNvPicPr>
                      <a:picLocks noChangeArrowheads="1" noChangeAspect="1"/>
                    </pic:cNvPicPr>
                  </pic:nvPicPr>
                  <pic:blipFill>
                    <a:blip r:embed="rId6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pública consolidada, 1996-2025 (% del PIB de los últimos cuatro trimestres). Los puntos son la deuda consolidada neta del FMI (2025, anexo II, cuadro 2) a diciembre de 2023 y de 2024.</w:t>
      </w:r>
    </w:p>
    <w:bookmarkEnd w:id="66"/>
    <w:bookmarkStart w:id="67" w:name="resultado-primario-y-crecimiento"/>
    <w:p>
      <w:pPr>
        <w:pStyle w:val="Heading2"/>
      </w:pPr>
      <w:r>
        <w:t xml:space="preserve">5.3 Resultado primario y crecimiento</w:t>
      </w:r>
    </w:p>
    <w:p>
      <w:pPr>
        <w:pStyle w:val="FirstParagraph"/>
      </w:pPr>
      <w:r>
        <w:rPr>
          <w:b/>
          <w:bCs/>
        </w:rPr>
        <w:t xml:space="preserve">Resultado primario.</w:t>
      </w:r>
      <w:r>
        <w:t xml:space="preserve"> </w:t>
      </w:r>
      <w:r>
        <w:t xml:space="preserve">La serie del MECON es mensual desde 1993 y se publica en tres tramos metodológicos (1993-2006, 2007-2014 y desde 2015). Cada trimestre es la suma de sus tres meses, sin interpolar. La medida que entra al modelo es el flujo trimestral anualizado, no la suma móvil de cuatro trimestres: la suma móvil superpone trimestres y crea una autocorrelación artificial (0,97 de orden 1, contra 0,65 del flujo trimestral). La estacionalidad que conserva el flujo trimestral la absorben las variables binarias del modelo. La serie incluye las rentas de la propiedad, entre ellas las utilidades del BCRA, porque la fuente no permite separarlas.</w:t>
      </w:r>
    </w:p>
    <w:p>
      <w:pPr>
        <w:pStyle w:val="BodyText"/>
      </w:pPr>
      <w:r>
        <w:rPr>
          <w:b/>
          <w:bCs/>
        </w:rPr>
        <w:t xml:space="preserve">Crecimiento.</w:t>
      </w:r>
      <w:r>
        <w:t xml:space="preserve"> </w:t>
      </w:r>
      <w:r>
        <w:t xml:space="preserve">El PIB real de 2004-2025 es la serie del INDEC en base 2004. El de 1996-2003 es la serie en base 1993, empalmada con un coeficiente de enlace de 1,751 (la razón media entre las dos bases en 2004). El coeficiente afecta el nivel anterior a 2004, pero no las tasas de crecimiento, que es lo que entra al modelo. Se usa la serie original y no la desestacionalizada del INDEC, porque esta empieza en 2004; la estacionalidad la absorben las variables binarias trimestrales.</w:t>
      </w:r>
    </w:p>
    <w:bookmarkEnd w:id="67"/>
    <w:bookmarkStart w:id="74" w:name="variables-financieras-y-externas"/>
    <w:p>
      <w:pPr>
        <w:pStyle w:val="Heading2"/>
      </w:pPr>
      <w:r>
        <w:t xml:space="preserve">5.4 Variables financieras y externas</w:t>
      </w:r>
    </w:p>
    <w:p>
      <w:pPr>
        <w:pStyle w:val="Compact"/>
        <w:numPr>
          <w:ilvl w:val="0"/>
          <w:numId w:val="1008"/>
        </w:numPr>
      </w:pPr>
      <w:r>
        <w:rPr>
          <w:b/>
          <w:bCs/>
        </w:rPr>
        <w:t xml:space="preserve">EMBI+.</w:t>
      </w:r>
      <w:r>
        <w:t xml:space="preserve"> </w:t>
      </w:r>
      <w:r>
        <w:t xml:space="preserve">Desde 1999 es el EMBI+ de J.P. Morgan, promedio trimestral de datos diarios. Para 1996-1998 se usa el</w:t>
      </w:r>
      <w:r>
        <w:t xml:space="preserve"> </w:t>
      </w:r>
      <w:r>
        <w:rPr>
          <w:i/>
          <w:iCs/>
        </w:rPr>
        <w:t xml:space="preserve">stripped spread</w:t>
      </w:r>
      <w:r>
        <w:t xml:space="preserve"> </w:t>
      </w:r>
      <w:r>
        <w:t xml:space="preserve">de los bonos Brady, ajustado con una corrección proporcional en el punto de unión para que el empalme no introduzca un salto de nivel. Son 12 de los 120 trimestres.</w:t>
      </w:r>
    </w:p>
    <w:p>
      <w:pPr>
        <w:pStyle w:val="Compact"/>
        <w:numPr>
          <w:ilvl w:val="0"/>
          <w:numId w:val="1008"/>
        </w:numPr>
      </w:pPr>
      <w:r>
        <w:rPr>
          <w:b/>
          <w:bCs/>
        </w:rPr>
        <w:t xml:space="preserve">Tipo de cambio real multilateral.</w:t>
      </w:r>
      <w:r>
        <w:t xml:space="preserve"> </w:t>
      </w:r>
      <w:r>
        <w:t xml:space="preserve">Índice del BCRA, disponible desde 1997. Los cuatro trimestres de 1996 se retropolan con la tendencia de 1997-1999.</w:t>
      </w:r>
    </w:p>
    <w:p>
      <w:pPr>
        <w:pStyle w:val="Compact"/>
        <w:numPr>
          <w:ilvl w:val="0"/>
          <w:numId w:val="1008"/>
        </w:numPr>
      </w:pPr>
      <w:r>
        <w:rPr>
          <w:b/>
          <w:bCs/>
        </w:rPr>
        <w:t xml:space="preserve">Tasa de la FED.</w:t>
      </w:r>
      <w:r>
        <w:t xml:space="preserve"> </w:t>
      </w:r>
      <w:r>
        <w:t xml:space="preserve">Tasa de fondos federales, salvo en los trimestres en que está en el límite cero (2009-2015 y 2020-2021), donde se usa la tasa sombra de Wu y Xia (2016). En el límite cero la tasa efectiva deja de reflejar la orientación de la política, y la tasa sombra la recupera. En el modelo entra la variación trimestral, cuyo desvío estándar (0,50 puntos) es el tamaño del</w:t>
      </w:r>
      <w:r>
        <w:t xml:space="preserve"> </w:t>
      </w:r>
      <w:r>
        <w:rPr>
          <w:i/>
          <w:iCs/>
        </w:rPr>
        <w:t xml:space="preserve">shock</w:t>
      </w:r>
      <w:r>
        <w:t xml:space="preserve"> </w:t>
      </w:r>
      <w:r>
        <w:t xml:space="preserve">de la sección 4.6.</w:t>
      </w:r>
    </w:p>
    <w:p>
      <w:pPr>
        <w:pStyle w:val="Compact"/>
        <w:numPr>
          <w:ilvl w:val="0"/>
          <w:numId w:val="1008"/>
        </w:numPr>
      </w:pPr>
      <w:r>
        <w:rPr>
          <w:b/>
          <w:bCs/>
        </w:rPr>
        <w:t xml:space="preserve">VIX.</w:t>
      </w:r>
      <w:r>
        <w:t xml:space="preserve"> </w:t>
      </w:r>
      <w:r>
        <w:t xml:space="preserve">Volatilidad implícita del índice S&amp;P 500, promedio trimestral.</w:t>
      </w:r>
    </w:p>
    <w:p>
      <w:pPr>
        <w:pStyle w:val="FirstParagraph"/>
      </w:pPr>
      <w:r>
        <w:t xml:space="preserve">La Figura 5.2 muestra las variables endógenas y la Figura 5.3, las exógenas.</w:t>
      </w:r>
    </w:p>
    <w:p>
      <w:pPr>
        <w:pStyle w:val="CaptionedFigure"/>
      </w:pPr>
      <w:r>
        <w:drawing>
          <wp:inline>
            <wp:extent cx="5334000" cy="3657600"/>
            <wp:effectExtent b="0" l="0" r="0" t="0"/>
            <wp:docPr descr="Figura 5.2. Variables endógenas del SVARX, 1996-2025. El crecimiento es la variación trimestral del PIB real sin desestacionalizar; la estacionalidad la absorben las variables binarias del modelo. Las líneas punteadas marcan los quiebres de Bai y Perron." title="" id="69" name="Picture"/>
            <a:graphic>
              <a:graphicData uri="http://schemas.openxmlformats.org/drawingml/2006/picture">
                <pic:pic>
                  <pic:nvPicPr>
                    <pic:cNvPr descr="../tesis/figuras/fig5_2_variables_endogenas.png" id="70" name="Picture"/>
                    <pic:cNvPicPr>
                      <a:picLocks noChangeArrowheads="1" noChangeAspect="1"/>
                    </pic:cNvPicPr>
                  </pic:nvPicPr>
                  <pic:blipFill>
                    <a:blip r:embed="rId68"/>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Figura 5.2. Variables endógenas del SVARX, 1996-2025. El crecimiento es la variación trimestral del PIB real sin desestacionalizar; la estacionalidad la absorben las variables binarias del modelo. Las líneas punteadas marcan los quiebres de Bai y Perron.</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title="" id="72" name="Picture"/>
            <a:graphic>
              <a:graphicData uri="http://schemas.openxmlformats.org/drawingml/2006/picture">
                <pic:pic>
                  <pic:nvPicPr>
                    <pic:cNvPr descr="../tesis/figuras/fig5_3_fed_y_vix.png" id="73" name="Picture"/>
                    <pic:cNvPicPr>
                      <a:picLocks noChangeArrowheads="1" noChangeAspect="1"/>
                    </pic:cNvPicPr>
                  </pic:nvPicPr>
                  <pic:blipFill>
                    <a:blip r:embed="rId7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w:t>
      </w:r>
    </w:p>
    <w:bookmarkEnd w:id="74"/>
    <w:bookmarkStart w:id="75" w:name="contraste-con-el-fmi"/>
    <w:p>
      <w:pPr>
        <w:pStyle w:val="Heading2"/>
      </w:pPr>
      <w:r>
        <w:t xml:space="preserve">5.5 Contraste con el FMI</w:t>
      </w:r>
    </w:p>
    <w:p>
      <w:pPr>
        <w:pStyle w:val="FirstParagraph"/>
      </w:pPr>
      <w:r>
        <w:t xml:space="preserve">El FMI (2025, anexo II, cuadro 2) publica la deuda consolidada para 2023 y 2024. La Tabla 5.1 la compara con la de esta tesis.</w:t>
      </w:r>
    </w:p>
    <w:p>
      <w:pPr>
        <w:pStyle w:val="BodyText"/>
      </w:pPr>
      <w:r>
        <w:rPr>
          <w:b/>
          <w:bCs/>
        </w:rPr>
        <w:t xml:space="preserve">Tabla 5.1. Deuda consolidada: esta tesis y FMI (% del PIB,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tesis</w:t>
            </w:r>
          </w:p>
        </w:tc>
        <w:tc>
          <w:tcPr/>
          <w:p>
            <w:pPr>
              <w:pStyle w:val="Compact"/>
            </w:pPr>
            <w:r>
              <w:rPr>
                <w:rFonts w:ascii="Calibri" w:hAnsi="Calibri"/>
                <w:sz w:val="20"/>
              </w:rPr>
              <w:t xml:space="preserve">2023, FMI</w:t>
            </w:r>
          </w:p>
        </w:tc>
        <w:tc>
          <w:tcPr/>
          <w:p>
            <w:pPr>
              <w:pStyle w:val="Compact"/>
            </w:pPr>
            <w:r>
              <w:rPr>
                <w:rFonts w:ascii="Calibri" w:hAnsi="Calibri"/>
                <w:sz w:val="20"/>
              </w:rPr>
              <w:t xml:space="preserve">2024, tesis</w:t>
            </w:r>
          </w:p>
        </w:tc>
        <w:tc>
          <w:tcPr/>
          <w:p>
            <w:pPr>
              <w:pStyle w:val="Compact"/>
            </w:pPr>
            <w:r>
              <w:rPr>
                <w:rFonts w:ascii="Calibri" w:hAnsi="Calibri"/>
                <w:sz w:val="20"/>
              </w:rPr>
              <w:t xml:space="preserve">2024, FMI</w:t>
            </w:r>
          </w:p>
        </w:tc>
      </w:tr>
      <w:tr>
        <w:tc>
          <w:tcPr/>
          <w:p>
            <w:pPr>
              <w:pStyle w:val="Compact"/>
            </w:pPr>
            <w:r>
              <w:rPr>
                <w:rFonts w:ascii="Calibri" w:hAnsi="Calibri"/>
                <w:sz w:val="20"/>
              </w:rPr>
              <w:t xml:space="preserve">Deuda bruta de la Administración Central</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r>
      <w:tr>
        <w:tc>
          <w:tcPr/>
          <w:p>
            <w:pPr>
              <w:pStyle w:val="Compact"/>
            </w:pPr>
            <w:r>
              <w:rPr>
                <w:rFonts w:ascii="Calibri" w:hAnsi="Calibri"/>
                <w:sz w:val="20"/>
              </w:rPr>
              <w:t xml:space="preserve">Deuda del Tesoro en poder del sector público</w:t>
            </w:r>
          </w:p>
        </w:tc>
        <w:tc>
          <w:tcPr/>
          <w:p>
            <w:pPr>
              <w:pStyle w:val="Compact"/>
            </w:pPr>
            <w:r>
              <w:rPr>
                <w:rFonts w:ascii="Calibri" w:hAnsi="Calibri"/>
                <w:sz w:val="20"/>
              </w:rPr>
              <w:t xml:space="preserve">48,6 (solo BCRA)</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20,4 (solo BCRA)</w:t>
            </w:r>
          </w:p>
        </w:tc>
        <w:tc>
          <w:tcPr/>
          <w:p>
            <w:pPr>
              <w:pStyle w:val="Compact"/>
            </w:pPr>
            <w:r>
              <w:rPr>
                <w:rFonts w:ascii="Calibri" w:hAnsi="Calibri"/>
                <w:sz w:val="20"/>
              </w:rPr>
              <w:t xml:space="preserve">33,9 (BCRA y FGS)</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0,5</w:t>
            </w:r>
          </w:p>
        </w:tc>
        <w:tc>
          <w:tcPr/>
          <w:p>
            <w:pPr>
              <w:pStyle w:val="Compact"/>
            </w:pPr>
            <w:r>
              <w:rPr>
                <w:rFonts w:ascii="Calibri" w:hAnsi="Calibri"/>
                <w:sz w:val="20"/>
              </w:rPr>
              <w:t xml:space="preserve">0,5</w:t>
            </w:r>
          </w:p>
        </w:tc>
        <w:tc>
          <w:tcPr/>
          <w:p>
            <w:pPr>
              <w:pStyle w:val="Compact"/>
            </w:pPr>
            <w:r>
              <w:rPr>
                <w:rFonts w:ascii="Calibri" w:hAnsi="Calibri"/>
                <w:sz w:val="20"/>
              </w:rPr>
              <w:t xml:space="preserve">2,1</w:t>
            </w:r>
          </w:p>
        </w:tc>
        <w:tc>
          <w:tcPr/>
          <w:p>
            <w:pPr>
              <w:pStyle w:val="Compact"/>
            </w:pPr>
            <w:r>
              <w:rPr>
                <w:rFonts w:ascii="Calibri" w:hAnsi="Calibri"/>
                <w:sz w:val="20"/>
              </w:rPr>
              <w:t xml:space="preserve">2,1</w:t>
            </w:r>
          </w:p>
        </w:tc>
      </w:tr>
      <w:tr>
        <w:tc>
          <w:tcPr/>
          <w:p>
            <w:pPr>
              <w:pStyle w:val="Compact"/>
            </w:pPr>
            <w:r>
              <w:rPr>
                <w:rFonts w:ascii="Calibri" w:hAnsi="Calibri"/>
                <w:b/>
                <w:bCs/>
                <w:sz w:val="20"/>
              </w:rPr>
              <w:t xml:space="preserve">Deuda consolidada neta</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61,1</w:t>
            </w:r>
          </w:p>
        </w:tc>
        <w:tc>
          <w:tcPr/>
          <w:p>
            <w:pPr>
              <w:pStyle w:val="Compact"/>
            </w:pPr>
            <w:r>
              <w:rPr>
                <w:rFonts w:ascii="Calibri" w:hAnsi="Calibri"/>
                <w:b/>
                <w:bCs/>
                <w:sz w:val="20"/>
              </w:rPr>
              <w:t xml:space="preserve">51,5</w:t>
            </w:r>
          </w:p>
        </w:tc>
      </w:tr>
    </w:tbl>
    <w:p>
      <w:pPr>
        <w:pStyle w:val="BodyText"/>
      </w:pPr>
      <w:r>
        <w:t xml:space="preserve">La deuda bruta y los depósitos coinciden con el FMI dentro de 3,2 puntos. La deuda bruta del FMI es algo mayor porque suma intereses capitalizados, deuda con acreedores que no entraron a los canjes (</w:t>
      </w:r>
      <w:r>
        <w:rPr>
          <w:i/>
          <w:iCs/>
        </w:rPr>
        <w:t xml:space="preserve">holdouts</w:t>
      </w:r>
      <w:r>
        <w:t xml:space="preserve">) y reclamos por el cupón PIB, que no figuran en el informe del MECON. Los pasivos del BCRA son algo menores porque falta el</w:t>
      </w:r>
      <w:r>
        <w:t xml:space="preserve"> </w:t>
      </w:r>
      <w:r>
        <w:rPr>
          <w:i/>
          <w:iCs/>
        </w:rPr>
        <w:t xml:space="preserve">swap</w:t>
      </w:r>
      <w:r>
        <w:t xml:space="preserve"> </w:t>
      </w:r>
      <w:r>
        <w:t xml:space="preserve">con China. La diferencia principal está en la segunda línea: el FMI resta también la deuda del Tesoro en poder del Fondo de Garantía de Sustentabilidad (FGS) de la ANSES, que esta tesis no resta. La Administración Nacional de la Seguridad Social (ANSES) no publica una serie histórica de la cartera del FGS por tipo de activo; los datos están dispersos en informes en PDF que no cubren todo el período. Por eso, la deuda neta de esta tesis queda 8,2 puntos por encima de la del FMI en 2023 y 9,6 puntos en 2024. Es esperable que la brecha aparezca desde 2007, cuando se creó el FGS (Poder Ejecutivo Nacional, 2007), aunque la tesis solo puede medirla en los años que publica el FMI.</w:t>
      </w:r>
    </w:p>
    <w:p>
      <w:pPr>
        <w:pStyle w:val="BodyText"/>
      </w:pPr>
      <w:r>
        <w:t xml:space="preserve">El informe más reciente del FMI (2026, cuadro 2) actualiza esas cifras y agrega 2025: 111,1% en 2023, 53,6% en 2024 y 52,1% en 2025, frente a 119,0%, 61,1% y 61,0% de esta tesis. La diferencia, de 7,5 a 8,9 puntos, se mantiene estable, lo que es compatible con una brecha que viene sobre todo del FGS.</w:t>
      </w:r>
    </w:p>
    <w:p>
      <w:pPr>
        <w:pStyle w:val="BodyText"/>
      </w:pPr>
      <w:r>
        <w:t xml:space="preserve">El resultado primario de esta tesis da −2,7% del PIB en 2023 y 1,8% en 2024, frente a −2,8% y 1,8% del FMI (2025, cuadro 3b). El crecimiento real da −1,9% y −1,4%, frente a −1,6% y −1,7% del FMI.</w:t>
      </w:r>
    </w:p>
    <w:bookmarkEnd w:id="75"/>
    <w:bookmarkStart w:id="76" w:name="limitaciones-de-los-datos"/>
    <w:p>
      <w:pPr>
        <w:pStyle w:val="Heading2"/>
      </w:pPr>
      <w:r>
        <w:t xml:space="preserve">5.6 Limitaciones de los datos</w:t>
      </w:r>
    </w:p>
    <w:p>
      <w:pPr>
        <w:pStyle w:val="Compact"/>
        <w:numPr>
          <w:ilvl w:val="0"/>
          <w:numId w:val="1009"/>
        </w:numPr>
      </w:pPr>
      <w:r>
        <w:rPr>
          <w:b/>
          <w:bCs/>
        </w:rPr>
        <w:t xml:space="preserve">FGS.</w:t>
      </w:r>
      <w:r>
        <w:t xml:space="preserve"> </w:t>
      </w:r>
      <w:r>
        <w:t xml:space="preserve">La deuda neta no descuenta la deuda del Tesoro en poder del FGS, y por eso queda por encima de la del FMI (8,2 puntos del PIB en 2023 y 9,6 en 2024). La ANSES no publica una serie histórica de la cartera del FGS por tipo de activo; los datos están dispersos en informes en PDF que no cubren todo el período. Como en el modelo la deuda entra rezagada y la diferencia es estable, su efecto sobre la dinámica estimada debería ser acotado. El modelo se estima también con la deuda bruta. Para acotar el efecto sobre la proyección, la simulación se repite partiendo de la deuda consolidada neta del FMI (52,1% del PIB en 2025), que sí descuenta el FGS (Capítulo 6).</w:t>
      </w:r>
    </w:p>
    <w:p>
      <w:pPr>
        <w:pStyle w:val="Compact"/>
        <w:numPr>
          <w:ilvl w:val="0"/>
          <w:numId w:val="1009"/>
        </w:numPr>
      </w:pPr>
      <w:r>
        <w:rPr>
          <w:b/>
          <w:bCs/>
        </w:rPr>
        <w:t xml:space="preserve">Valuación de las Letras Intransferibles.</w:t>
      </w:r>
      <w:r>
        <w:t xml:space="preserve"> </w:t>
      </w:r>
      <w:r>
        <w:t xml:space="preserve">El valor nominal está disponible en 80 de los 120 trimestres. En el resto se interpola entre fechas con dato o, antes de 2006, cuando las Letras no existían, se usa el valor contable. La serie con valor contable se usa como robustez.</w:t>
      </w:r>
    </w:p>
    <w:p>
      <w:pPr>
        <w:pStyle w:val="Compact"/>
        <w:numPr>
          <w:ilvl w:val="0"/>
          <w:numId w:val="1009"/>
        </w:numPr>
      </w:pPr>
      <w:r>
        <w:rPr>
          <w:b/>
          <w:bCs/>
        </w:rPr>
        <w:t xml:space="preserve">Empalmes.</w:t>
      </w:r>
      <w:r>
        <w:t xml:space="preserve"> </w:t>
      </w:r>
      <w:r>
        <w:t xml:space="preserve">El PIB de 1996-2003 (cambio de base) tiene incertidumbre de nivel, pero el empalme no afecta las tasas de crecimiento que entran al modelo. El EMBI+, en cambio, entra en niveles, y el empalme afecta el nivel de 12 trimestres (1996-1998). De ellos, solo 1998T2-1998T4 caen dentro de la muestra efectiva de estimación (1998T2-2025T4); los anteriores entran únicamente como rezagos iniciales.</w:t>
      </w:r>
    </w:p>
    <w:p>
      <w:pPr>
        <w:pStyle w:val="Compact"/>
        <w:numPr>
          <w:ilvl w:val="0"/>
          <w:numId w:val="1009"/>
        </w:numPr>
      </w:pPr>
      <w:r>
        <w:rPr>
          <w:b/>
          <w:bCs/>
        </w:rPr>
        <w:t xml:space="preserve">Resultado primario.</w:t>
      </w:r>
      <w:r>
        <w:t xml:space="preserve"> </w:t>
      </w:r>
      <w:r>
        <w:t xml:space="preserve">Incluye las utilidades del BCRA, cubre el Sector Público Nacional, que es un perímetro más amplio que el del gobierno federal del FMI, y tiene dos cambios de metodología (2007 y 2015) sin período de superposición.</w:t>
      </w:r>
    </w:p>
    <w:p>
      <w:pPr>
        <w:pStyle w:val="Compact"/>
        <w:numPr>
          <w:ilvl w:val="0"/>
          <w:numId w:val="1009"/>
        </w:numPr>
      </w:pPr>
      <w:r>
        <w:rPr>
          <w:b/>
          <w:bCs/>
        </w:rPr>
        <w:t xml:space="preserve">Pasivos del BCRA.</w:t>
      </w:r>
      <w:r>
        <w:t xml:space="preserve"> </w:t>
      </w:r>
      <w:r>
        <w:t xml:space="preserve">Falta el</w:t>
      </w:r>
      <w:r>
        <w:t xml:space="preserve"> </w:t>
      </w:r>
      <w:r>
        <w:rPr>
          <w:i/>
          <w:iCs/>
        </w:rPr>
        <w:t xml:space="preserve">swap</w:t>
      </w:r>
      <w:r>
        <w:t xml:space="preserve"> </w:t>
      </w:r>
      <w:r>
        <w:t xml:space="preserve">con China, y la posición de pases es neta, de modo que en algunos trimestres resta.</w:t>
      </w:r>
    </w:p>
    <w:p>
      <w:pPr>
        <w:pStyle w:val="FirstParagraph"/>
      </w:pPr>
      <w:r>
        <w:t xml:space="preserve">El detalle de cada construcción, con sus controles, está en el informe de datos del repositorio de la tesis.</w:t>
      </w:r>
    </w:p>
    <w:bookmarkEnd w:id="76"/>
    <w:bookmarkEnd w:id="77"/>
    <w:bookmarkStart w:id="99" w:name="resultados"/>
    <w:p>
      <w:pPr>
        <w:pStyle w:val="Heading1"/>
      </w:pPr>
      <w:r>
        <w:t xml:space="preserve">6. Resultados</w:t>
      </w:r>
    </w:p>
    <w:p>
      <w:pPr>
        <w:pStyle w:val="FirstParagraph"/>
      </w:pPr>
      <w:r>
        <w:t xml:space="preserve">Todos los resultados de este capítulo provienen de la misma muestra efectiva, 1998T2-2025T4 (111 trimestres), y del escenario base del análisis de sostenibilidad más reciente del FMI (2026). La especificación principal usa la deuda consolidada neta con las Letras Intransferibles a valor nominal, que parte de 61,0% del PIB en diciembre de 2025. Los intervalos son de 90% y salen del</w:t>
      </w:r>
      <w:r>
        <w:t xml:space="preserve"> </w:t>
      </w:r>
      <w:r>
        <w:rPr>
          <w:i/>
          <w:iCs/>
        </w:rPr>
        <w:t xml:space="preserve">bootstrap</w:t>
      </w:r>
      <w:r>
        <w:t xml:space="preserve"> </w:t>
      </w:r>
      <w:r>
        <w:t xml:space="preserve">descripto en la sección 4.5.</w:t>
      </w:r>
    </w:p>
    <w:bookmarkStart w:id="81" w:name="el-svarx-estimado"/>
    <w:p>
      <w:pPr>
        <w:pStyle w:val="Heading2"/>
      </w:pPr>
      <w:r>
        <w:t xml:space="preserve">6.1 El SVARX estimado</w:t>
      </w:r>
    </w:p>
    <w:p>
      <w:pPr>
        <w:pStyle w:val="FirstParagraph"/>
      </w:pPr>
      <w:r>
        <w:rPr>
          <w:b/>
          <w:bCs/>
        </w:rPr>
        <w:t xml:space="preserve">Propiedades de las series.</w:t>
      </w:r>
      <w:r>
        <w:t xml:space="preserve"> </w:t>
      </w:r>
      <w:r>
        <w:t xml:space="preserve">Las pruebas de raíz unitaria no clasifican con claridad la mayoría de las series: el resultado primario se comporta como una serie con raíz unitaria, el VIX como estacionaria, y en el resto ADF y KPSS no coinciden (Apéndice, sección A.2). Es lo esperable en series cortas con cambios de régimen (Perron, 1989), y es la razón por la que el VAR se estima en niveles. La prueba de Zivot y Andrews (1992) rechaza la raíz unitaria del TCRM cuando admite un quiebre, que ubica en 2001T4, el mismo trimestre que el primero de los tres quiebres que el procedimiento de Bai y Perron (2003) encuentra en la deuda (2001T4, 2006T2 y 2018T1). Para la propia deuda, en cambio, Zivot y Andrews ubican el quiebre en 2005T1 sin rechazar la raíz unitaria. La prueba de Johansen no rechaza la ausencia de cointegración entre las variables en niveles.</w:t>
      </w:r>
    </w:p>
    <w:p>
      <w:pPr>
        <w:pStyle w:val="BodyText"/>
      </w:pPr>
      <w:r>
        <w:rPr>
          <w:b/>
          <w:bCs/>
        </w:rPr>
        <w:t xml:space="preserve">Rezagos y diagnósticos.</w:t>
      </w:r>
      <w:r>
        <w:t xml:space="preserve"> </w:t>
      </w:r>
      <w:r>
        <w:t xml:space="preserve">El modelo usa tres rezagos (sección 4.5); el autovalor de mayor módulo de la matriz compañera es 0,96, de modo que el sistema es estable. La prueba de Portmanteau con 12 rezagos rechaza la ausencia de autocorrelación al 5% (p = 0,036). Los residuos no son normales (p &lt; 0,001), lo que justifica remuestrear</w:t>
      </w:r>
      <w:r>
        <w:t xml:space="preserve"> </w:t>
      </w:r>
      <w:r>
        <w:rPr>
          <w:i/>
          <w:iCs/>
        </w:rPr>
        <w:t xml:space="preserve">shocks</w:t>
      </w:r>
      <w:r>
        <w:t xml:space="preserve"> </w:t>
      </w:r>
      <w:r>
        <w:t xml:space="preserve">históricos en lugar de suponer normalidad. La prueba ARCH-LM (Engle, 1982) con cuatro rezagos no detecta heterocedasticidad condicional en ninguna ecuación (p entre 0,87 y 0,99).</w:t>
      </w:r>
    </w:p>
    <w:p>
      <w:pPr>
        <w:pStyle w:val="BodyText"/>
      </w:pPr>
      <w:r>
        <w:rPr>
          <w:b/>
          <w:bCs/>
        </w:rPr>
        <w:t xml:space="preserve">Reacción fiscal.</w:t>
      </w:r>
      <w:r>
        <w:t xml:space="preserve"> </w:t>
      </w:r>
      <w:r>
        <w:t xml:space="preserve">El coeficiente de la deuda rezagada en la ecuación del resultado primario es 0,051, con un intervalo de [0,010; 0,103]. Diez puntos más de deuda en relación con el PIB se asocian, en promedio, con medio punto más de superávit primario. El resultado no depende del perímetro de la deuda (Tabla 6.1).</w:t>
      </w:r>
    </w:p>
    <w:p>
      <w:pPr>
        <w:pStyle w:val="BodyText"/>
      </w:pPr>
      <w:r>
        <w:rPr>
          <w:b/>
          <w:bCs/>
        </w:rPr>
        <w:t xml:space="preserve">Tabla 6.1. Reacción fiscal según la serie de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 de deuda</w:t>
            </w:r>
          </w:p>
        </w:tc>
        <w:tc>
          <w:tcPr/>
          <w:p>
            <w:pPr>
              <w:pStyle w:val="Compact"/>
            </w:pPr>
            <w:r>
              <w:rPr>
                <w:rFonts w:ascii="Calibri" w:hAnsi="Calibri"/>
                <w:sz w:val="20"/>
              </w:rPr>
              <w:t xml:space="preserve">Rezagos</w:t>
            </w:r>
          </w:p>
        </w:tc>
        <w:tc>
          <w:tcPr/>
          <w:p>
            <w:pPr>
              <w:pStyle w:val="Compact"/>
            </w:pPr>
            <w:r>
              <w:rPr>
                <w:rFonts w:ascii="Calibri" w:hAnsi="Calibri"/>
                <w:sz w:val="20"/>
              </w:rPr>
              <w:t xml:space="preserve">Reacción fiscal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Consolidada neta, Letras a valor nominal (principal)</w:t>
            </w:r>
          </w:p>
        </w:tc>
        <w:tc>
          <w:tcPr/>
          <w:p>
            <w:pPr>
              <w:pStyle w:val="Compact"/>
            </w:pPr>
            <w:r>
              <w:rPr>
                <w:rFonts w:ascii="Calibri" w:hAnsi="Calibri"/>
                <w:sz w:val="20"/>
              </w:rPr>
              <w:t xml:space="preserve">3</w:t>
            </w:r>
          </w:p>
        </w:tc>
        <w:tc>
          <w:tcPr/>
          <w:p>
            <w:pPr>
              <w:pStyle w:val="Compact"/>
            </w:pPr>
            <w:r>
              <w:rPr>
                <w:rFonts w:ascii="Calibri" w:hAnsi="Calibri"/>
                <w:sz w:val="20"/>
              </w:rPr>
              <w:t xml:space="preserve">0,051</w:t>
            </w:r>
          </w:p>
        </w:tc>
        <w:tc>
          <w:tcPr/>
          <w:p>
            <w:pPr>
              <w:pStyle w:val="Compact"/>
            </w:pPr>
            <w:r>
              <w:rPr>
                <w:rFonts w:ascii="Calibri" w:hAnsi="Calibri"/>
                <w:sz w:val="20"/>
              </w:rPr>
              <w:t xml:space="preserve">[0,010; 0,103]</w:t>
            </w:r>
          </w:p>
        </w:tc>
      </w:tr>
      <w:tr>
        <w:tc>
          <w:tcPr/>
          <w:p>
            <w:pPr>
              <w:pStyle w:val="Compact"/>
            </w:pPr>
            <w:r>
              <w:rPr>
                <w:rFonts w:ascii="Calibri" w:hAnsi="Calibri"/>
                <w:sz w:val="20"/>
              </w:rPr>
              <w:t xml:space="preserve">Consolidada neta, Letras a valor libros</w:t>
            </w:r>
          </w:p>
        </w:tc>
        <w:tc>
          <w:tcPr/>
          <w:p>
            <w:pPr>
              <w:pStyle w:val="Compact"/>
            </w:pPr>
            <w:r>
              <w:rPr>
                <w:rFonts w:ascii="Calibri" w:hAnsi="Calibri"/>
                <w:sz w:val="20"/>
              </w:rPr>
              <w:t xml:space="preserve">3</w:t>
            </w:r>
          </w:p>
        </w:tc>
        <w:tc>
          <w:tcPr/>
          <w:p>
            <w:pPr>
              <w:pStyle w:val="Compact"/>
            </w:pPr>
            <w:r>
              <w:rPr>
                <w:rFonts w:ascii="Calibri" w:hAnsi="Calibri"/>
                <w:sz w:val="20"/>
              </w:rPr>
              <w:t xml:space="preserve">0,053</w:t>
            </w:r>
          </w:p>
        </w:tc>
        <w:tc>
          <w:tcPr/>
          <w:p>
            <w:pPr>
              <w:pStyle w:val="Compact"/>
            </w:pPr>
            <w:r>
              <w:rPr>
                <w:rFonts w:ascii="Calibri" w:hAnsi="Calibri"/>
                <w:sz w:val="20"/>
              </w:rPr>
              <w:t xml:space="preserve">[0,012; 0,105]</w:t>
            </w:r>
          </w:p>
        </w:tc>
      </w:tr>
      <w:tr>
        <w:tc>
          <w:tcPr/>
          <w:p>
            <w:pPr>
              <w:pStyle w:val="Compact"/>
            </w:pPr>
            <w:r>
              <w:rPr>
                <w:rFonts w:ascii="Calibri" w:hAnsi="Calibri"/>
                <w:sz w:val="20"/>
              </w:rPr>
              <w:t xml:space="preserve">Consolidada bruta (Tesoro y BCRA)</w:t>
            </w:r>
          </w:p>
        </w:tc>
        <w:tc>
          <w:tcPr/>
          <w:p>
            <w:pPr>
              <w:pStyle w:val="Compact"/>
            </w:pPr>
            <w:r>
              <w:rPr>
                <w:rFonts w:ascii="Calibri" w:hAnsi="Calibri"/>
                <w:sz w:val="20"/>
              </w:rPr>
              <w:t xml:space="preserve">4</w:t>
            </w:r>
          </w:p>
        </w:tc>
        <w:tc>
          <w:tcPr/>
          <w:p>
            <w:pPr>
              <w:pStyle w:val="Compact"/>
            </w:pPr>
            <w:r>
              <w:rPr>
                <w:rFonts w:ascii="Calibri" w:hAnsi="Calibri"/>
                <w:sz w:val="20"/>
              </w:rPr>
              <w:t xml:space="preserve">0,054</w:t>
            </w:r>
          </w:p>
        </w:tc>
        <w:tc>
          <w:tcPr/>
          <w:p>
            <w:pPr>
              <w:pStyle w:val="Compact"/>
            </w:pPr>
            <w:r>
              <w:rPr>
                <w:rFonts w:ascii="Calibri" w:hAnsi="Calibri"/>
                <w:sz w:val="20"/>
              </w:rPr>
              <w:t xml:space="preserve">[0,023; 0,099]</w:t>
            </w:r>
          </w:p>
        </w:tc>
      </w:tr>
      <w:tr>
        <w:tc>
          <w:tcPr/>
          <w:p>
            <w:pPr>
              <w:pStyle w:val="Compact"/>
            </w:pPr>
            <w:r>
              <w:rPr>
                <w:rFonts w:ascii="Calibri" w:hAnsi="Calibri"/>
                <w:sz w:val="20"/>
              </w:rPr>
              <w:t xml:space="preserve">Bruta del Tesoro, sin el BCRA</w:t>
            </w:r>
          </w:p>
        </w:tc>
        <w:tc>
          <w:tcPr/>
          <w:p>
            <w:pPr>
              <w:pStyle w:val="Compact"/>
            </w:pPr>
            <w:r>
              <w:rPr>
                <w:rFonts w:ascii="Calibri" w:hAnsi="Calibri"/>
                <w:sz w:val="20"/>
              </w:rPr>
              <w:t xml:space="preserve">4</w:t>
            </w:r>
          </w:p>
        </w:tc>
        <w:tc>
          <w:tcPr/>
          <w:p>
            <w:pPr>
              <w:pStyle w:val="Compact"/>
            </w:pPr>
            <w:r>
              <w:rPr>
                <w:rFonts w:ascii="Calibri" w:hAnsi="Calibri"/>
                <w:sz w:val="20"/>
              </w:rPr>
              <w:t xml:space="preserve">0,057</w:t>
            </w:r>
          </w:p>
        </w:tc>
        <w:tc>
          <w:tcPr/>
          <w:p>
            <w:pPr>
              <w:pStyle w:val="Compact"/>
            </w:pPr>
            <w:r>
              <w:rPr>
                <w:rFonts w:ascii="Calibri" w:hAnsi="Calibri"/>
                <w:sz w:val="20"/>
              </w:rPr>
              <w:t xml:space="preserve">[0,024; 0,098]</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(2007), pero no dice si alcanza para estabilizar la deuda frente a los</w:t>
      </w:r>
      <w:r>
        <w:t xml:space="preserve"> </w:t>
      </w:r>
      <w:r>
        <w:rPr>
          <w:i/>
          <w:iCs/>
        </w:rPr>
        <w:t xml:space="preserve">shocks</w:t>
      </w:r>
      <w:r>
        <w:t xml:space="preserve"> </w:t>
      </w:r>
      <w:r>
        <w:t xml:space="preserve">que enfrenta; eso es lo que contrasta H1a.</w:t>
      </w:r>
    </w:p>
    <w:p>
      <w:pPr>
        <w:pStyle w:val="BodyText"/>
      </w:pPr>
      <w:r>
        <w:rPr>
          <w:b/>
          <w:bCs/>
        </w:rPr>
        <w:t xml:space="preserve">Retroalimentación de la deuda.</w:t>
      </w:r>
      <w:r>
        <w:t xml:space="preserve"> </w:t>
      </w:r>
      <w:r>
        <w:t xml:space="preserve">La deuda rezagada entra en las cuatro ecuaciones del sistema (Favero y Giavazzi, 2007). Además del superávit primario, la deuda se asocia con el crecimiento del trimestre siguiente, con un intervalo de [0,010; 0,141]. Con el riesgo país, la estimación puntual es de 22 puntos básicos por punto de deuda, pero el intervalo, [-0,1; 48,6], incluye el cero: con 111 trimestres no se puede afirmar que una deuda mayor eleve el EMBI+. Con el tipo de cambio real no hay relación.</w:t>
      </w:r>
    </w:p>
    <w:p>
      <w:pPr>
        <w:pStyle w:val="BodyText"/>
      </w:pPr>
      <w:r>
        <w:rPr>
          <w:b/>
          <w:bCs/>
        </w:rPr>
        <w:t xml:space="preserve">Respuesta a la tasa de la FED.</w:t>
      </w:r>
      <w:r>
        <w:t xml:space="preserve"> </w:t>
      </w:r>
      <w:r>
        <w:t xml:space="preserve">Un aumento de un desvío estándar en la tasa de política de la FED (0,50 puntos) no produce respuestas sistemáticas de las variables domésticas (Figura 6.1). El EMBI+ sube 6 puntos básicos en el trimestre del</w:t>
      </w:r>
      <w:r>
        <w:t xml:space="preserve"> </w:t>
      </w:r>
      <w:r>
        <w:rPr>
          <w:i/>
          <w:iCs/>
        </w:rPr>
        <w:t xml:space="preserve">shock</w:t>
      </w:r>
      <w:r>
        <w:t xml:space="preserve">, con un intervalo de [-110; 98], y 28 puntos básicos a los dos años, con un intervalo de [-32; 55]. De las 84 respuestas estimadas (cuatro variables en 21 horizontes), cinco tienen una banda que excluye el cero: el crecimiento en el trimestre del</w:t>
      </w:r>
      <w:r>
        <w:t xml:space="preserve"> </w:t>
      </w:r>
      <w:r>
        <w:rPr>
          <w:i/>
          <w:iCs/>
        </w:rPr>
        <w:t xml:space="preserve">shock</w:t>
      </w:r>
      <w:r>
        <w:t xml:space="preserve">, el resultado primario un trimestre después y el tipo de cambio real entre uno y tres trimestres después, que se aprecia levemente. Con bandas de 90%, el azar ya produciría unas ocho exclusiones aunque la FED no tuviera ningún efecto, y los signos del crecimiento y del tipo de cambio real son los contrarios a los que predice la teoría. Con 111 trimestres y un</w:t>
      </w:r>
      <w:r>
        <w:t xml:space="preserve"> </w:t>
      </w:r>
      <w:r>
        <w:rPr>
          <w:i/>
          <w:iCs/>
        </w:rPr>
        <w:t xml:space="preserve">shock</w:t>
      </w:r>
      <w:r>
        <w:t xml:space="preserve"> </w:t>
      </w:r>
      <w:r>
        <w:t xml:space="preserve">de magnitud acotada, el modelo no distingue los efectos indirectos de la FED del ruido.</w:t>
      </w:r>
    </w:p>
    <w:p>
      <w:pPr>
        <w:pStyle w:val="CaptionedFigure"/>
      </w:pPr>
      <w:r>
        <w:drawing>
          <wp:inline>
            <wp:extent cx="5334000" cy="3501390"/>
            <wp:effectExtent b="0" l="0" r="0" t="0"/>
            <wp:docPr descr="Figura 6.1. Respuestas al impulso ante una suba de la tasa de la FED. Aumento de un desvío estándar (0,50 puntos porcentuales) de la tasa de política; deuda consolidada neta, tres rezagos; coeficientes corregidos por sesgo; bandas de 90% del bootstrap (1.000 réplicas)." title="" id="79" name="Picture"/>
            <a:graphic>
              <a:graphicData uri="http://schemas.openxmlformats.org/drawingml/2006/picture">
                <pic:pic>
                  <pic:nvPicPr>
                    <pic:cNvPr descr="../tesis/figuras/fig6_1_respuesta_fed.png" id="80" name="Picture"/>
                    <pic:cNvPicPr>
                      <a:picLocks noChangeArrowheads="1" noChangeAspect="1"/>
                    </pic:cNvPicPr>
                  </pic:nvPicPr>
                  <pic:blipFill>
                    <a:blip r:embed="rId78"/>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 puntos porcentuales) de la tasa de política; deuda consolidada neta, tres rezagos; coeficientes corregidos por sesgo; bandas de 90% del</w:t>
      </w:r>
      <w:r>
        <w:t xml:space="preserve"> </w:t>
      </w:r>
      <w:r>
        <w:rPr>
          <w:i/>
          <w:iCs/>
        </w:rPr>
        <w:t xml:space="preserve">bootstrap</w:t>
      </w:r>
      <w:r>
        <w:t xml:space="preserve"> </w:t>
      </w:r>
      <w:r>
        <w:t xml:space="preserve">(1.000 réplicas).</w:t>
      </w:r>
    </w:p>
    <w:bookmarkEnd w:id="81"/>
    <w:bookmarkStart w:id="85" w:name="el-gráfico-de-abanico"/>
    <w:p>
      <w:pPr>
        <w:pStyle w:val="Heading2"/>
      </w:pPr>
      <w:r>
        <w:t xml:space="preserve">6.2 El gráfico de abanico</w:t>
      </w:r>
    </w:p>
    <w:p>
      <w:pPr>
        <w:pStyle w:val="FirstParagraph"/>
      </w:pPr>
      <w:r>
        <w:t xml:space="preserve">La Tabla 6.2 resume la distribución de la deuda simulada (Figura 6.2). La mediana baja de 61,0% del PIB en 2025 a 39,5% en 2031 y a 29,9% en 2035, prácticamente la senda determinista del escenario base aplicada al punto de partida de esta tesis (40,2% y 30,3%). La caída la determina el escenario del FMI (2026, cuadro 6): un superávit primario que sube de 1,4% del PIB en 2026 a 2,3% desde 2029 y una tasa de interés efectiva de entre 2,6% y 5,1%, mientras el deflactor del PIB pasa de 30,2% en 2026 a 7,5% desde 2029. La inflación relativa, es decir, la valuación de la deuda en moneda extranjera por la depreciación nominal del escenario, suma en sentido contrario, sobre todo en 2026 y 2027.</w:t>
      </w:r>
    </w:p>
    <w:p>
      <w:pPr>
        <w:pStyle w:val="BodyText"/>
      </w:pPr>
      <w:r>
        <w:rPr>
          <w:b/>
          <w:bCs/>
        </w:rPr>
        <w:t xml:space="preserve">Tabla 6.2. Deuda consolidada neta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49,7</w:t>
            </w:r>
          </w:p>
        </w:tc>
        <w:tc>
          <w:tcPr/>
          <w:p>
            <w:pPr>
              <w:pStyle w:val="Compact"/>
            </w:pPr>
            <w:r>
              <w:rPr>
                <w:rFonts w:ascii="Calibri" w:hAnsi="Calibri"/>
                <w:sz w:val="20"/>
              </w:rPr>
              <w:t xml:space="preserve">53,3</w:t>
            </w:r>
          </w:p>
        </w:tc>
        <w:tc>
          <w:tcPr/>
          <w:p>
            <w:pPr>
              <w:pStyle w:val="Compact"/>
            </w:pPr>
            <w:r>
              <w:rPr>
                <w:rFonts w:ascii="Calibri" w:hAnsi="Calibri"/>
                <w:sz w:val="20"/>
              </w:rPr>
              <w:t xml:space="preserve">55,9</w:t>
            </w:r>
          </w:p>
        </w:tc>
        <w:tc>
          <w:tcPr/>
          <w:p>
            <w:pPr>
              <w:pStyle w:val="Compact"/>
            </w:pPr>
            <w:r>
              <w:rPr>
                <w:rFonts w:ascii="Calibri" w:hAnsi="Calibri"/>
                <w:sz w:val="20"/>
              </w:rPr>
              <w:t xml:space="preserve">59,0</w:t>
            </w:r>
          </w:p>
        </w:tc>
        <w:tc>
          <w:tcPr/>
          <w:p>
            <w:pPr>
              <w:pStyle w:val="Compact"/>
            </w:pPr>
            <w:r>
              <w:rPr>
                <w:rFonts w:ascii="Calibri" w:hAnsi="Calibri"/>
                <w:sz w:val="20"/>
              </w:rPr>
              <w:t xml:space="preserve">65,2</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39,6</w:t>
            </w:r>
          </w:p>
        </w:tc>
        <w:tc>
          <w:tcPr/>
          <w:p>
            <w:pPr>
              <w:pStyle w:val="Compact"/>
            </w:pPr>
            <w:r>
              <w:rPr>
                <w:rFonts w:ascii="Calibri" w:hAnsi="Calibri"/>
                <w:sz w:val="20"/>
              </w:rPr>
              <w:t xml:space="preserve">45,4</w:t>
            </w:r>
          </w:p>
        </w:tc>
        <w:tc>
          <w:tcPr/>
          <w:p>
            <w:pPr>
              <w:pStyle w:val="Compact"/>
            </w:pPr>
            <w:r>
              <w:rPr>
                <w:rFonts w:ascii="Calibri" w:hAnsi="Calibri"/>
                <w:sz w:val="20"/>
              </w:rPr>
              <w:t xml:space="preserve">49,7</w:t>
            </w:r>
          </w:p>
        </w:tc>
        <w:tc>
          <w:tcPr/>
          <w:p>
            <w:pPr>
              <w:pStyle w:val="Compact"/>
            </w:pPr>
            <w:r>
              <w:rPr>
                <w:rFonts w:ascii="Calibri" w:hAnsi="Calibri"/>
                <w:sz w:val="20"/>
              </w:rPr>
              <w:t xml:space="preserve">54,7</w:t>
            </w:r>
          </w:p>
        </w:tc>
        <w:tc>
          <w:tcPr/>
          <w:p>
            <w:pPr>
              <w:pStyle w:val="Compact"/>
            </w:pPr>
            <w:r>
              <w:rPr>
                <w:rFonts w:ascii="Calibri" w:hAnsi="Calibri"/>
                <w:sz w:val="20"/>
              </w:rPr>
              <w:t xml:space="preserve">63,3</w:t>
            </w:r>
          </w:p>
        </w:tc>
      </w:tr>
      <w:tr>
        <w:tc>
          <w:tcPr/>
          <w:p>
            <w:pPr>
              <w:pStyle w:val="Compact"/>
            </w:pPr>
            <w:r>
              <w:rPr>
                <w:rFonts w:ascii="Calibri" w:hAnsi="Calibri"/>
                <w:sz w:val="20"/>
              </w:rPr>
              <w:t xml:space="preserve">2031</w:t>
            </w:r>
          </w:p>
        </w:tc>
        <w:tc>
          <w:tcPr/>
          <w:p>
            <w:pPr>
              <w:pStyle w:val="Compact"/>
            </w:pPr>
            <w:r>
              <w:rPr>
                <w:rFonts w:ascii="Calibri" w:hAnsi="Calibri"/>
                <w:sz w:val="20"/>
              </w:rPr>
              <w:t xml:space="preserve">23,4</w:t>
            </w:r>
          </w:p>
        </w:tc>
        <w:tc>
          <w:tcPr/>
          <w:p>
            <w:pPr>
              <w:pStyle w:val="Compact"/>
            </w:pPr>
            <w:r>
              <w:rPr>
                <w:rFonts w:ascii="Calibri" w:hAnsi="Calibri"/>
                <w:sz w:val="20"/>
              </w:rPr>
              <w:t xml:space="preserve">32,7</w:t>
            </w:r>
          </w:p>
        </w:tc>
        <w:tc>
          <w:tcPr/>
          <w:p>
            <w:pPr>
              <w:pStyle w:val="Compact"/>
            </w:pPr>
            <w:r>
              <w:rPr>
                <w:rFonts w:ascii="Calibri" w:hAnsi="Calibri"/>
                <w:sz w:val="20"/>
              </w:rPr>
              <w:t xml:space="preserve">39,5</w:t>
            </w:r>
          </w:p>
        </w:tc>
        <w:tc>
          <w:tcPr/>
          <w:p>
            <w:pPr>
              <w:pStyle w:val="Compact"/>
            </w:pPr>
            <w:r>
              <w:rPr>
                <w:rFonts w:ascii="Calibri" w:hAnsi="Calibri"/>
                <w:sz w:val="20"/>
              </w:rPr>
              <w:t xml:space="preserve">46,8</w:t>
            </w:r>
          </w:p>
        </w:tc>
        <w:tc>
          <w:tcPr/>
          <w:p>
            <w:pPr>
              <w:pStyle w:val="Compact"/>
            </w:pPr>
            <w:r>
              <w:rPr>
                <w:rFonts w:ascii="Calibri" w:hAnsi="Calibri"/>
                <w:sz w:val="20"/>
              </w:rPr>
              <w:t xml:space="preserve">58,7</w:t>
            </w:r>
          </w:p>
        </w:tc>
      </w:tr>
      <w:tr>
        <w:tc>
          <w:tcPr/>
          <w:p>
            <w:pPr>
              <w:pStyle w:val="Compact"/>
            </w:pPr>
            <w:r>
              <w:rPr>
                <w:rFonts w:ascii="Calibri" w:hAnsi="Calibri"/>
                <w:sz w:val="20"/>
              </w:rPr>
              <w:t xml:space="preserve">2033</w:t>
            </w:r>
          </w:p>
        </w:tc>
        <w:tc>
          <w:tcPr/>
          <w:p>
            <w:pPr>
              <w:pStyle w:val="Compact"/>
            </w:pPr>
            <w:r>
              <w:rPr>
                <w:rFonts w:ascii="Calibri" w:hAnsi="Calibri"/>
                <w:sz w:val="20"/>
              </w:rPr>
              <w:t xml:space="preserve">15,0</w:t>
            </w:r>
          </w:p>
        </w:tc>
        <w:tc>
          <w:tcPr/>
          <w:p>
            <w:pPr>
              <w:pStyle w:val="Compact"/>
            </w:pPr>
            <w:r>
              <w:rPr>
                <w:rFonts w:ascii="Calibri" w:hAnsi="Calibri"/>
                <w:sz w:val="20"/>
              </w:rPr>
              <w:t xml:space="preserve">26,2</w:t>
            </w:r>
          </w:p>
        </w:tc>
        <w:tc>
          <w:tcPr/>
          <w:p>
            <w:pPr>
              <w:pStyle w:val="Compact"/>
            </w:pPr>
            <w:r>
              <w:rPr>
                <w:rFonts w:ascii="Calibri" w:hAnsi="Calibri"/>
                <w:sz w:val="20"/>
              </w:rPr>
              <w:t xml:space="preserve">34,7</w:t>
            </w:r>
          </w:p>
        </w:tc>
        <w:tc>
          <w:tcPr/>
          <w:p>
            <w:pPr>
              <w:pStyle w:val="Compact"/>
            </w:pPr>
            <w:r>
              <w:rPr>
                <w:rFonts w:ascii="Calibri" w:hAnsi="Calibri"/>
                <w:sz w:val="20"/>
              </w:rPr>
              <w:t xml:space="preserve">43,9</w:t>
            </w:r>
          </w:p>
        </w:tc>
        <w:tc>
          <w:tcPr/>
          <w:p>
            <w:pPr>
              <w:pStyle w:val="Compact"/>
            </w:pPr>
            <w:r>
              <w:rPr>
                <w:rFonts w:ascii="Calibri" w:hAnsi="Calibri"/>
                <w:sz w:val="20"/>
              </w:rPr>
              <w:t xml:space="preserve">58,5</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6,2</w:t>
            </w:r>
          </w:p>
        </w:tc>
        <w:tc>
          <w:tcPr/>
          <w:p>
            <w:pPr>
              <w:pStyle w:val="Compact"/>
            </w:pPr>
            <w:r>
              <w:rPr>
                <w:rFonts w:ascii="Calibri" w:hAnsi="Calibri"/>
                <w:sz w:val="20"/>
              </w:rPr>
              <w:t xml:space="preserve">19,5</w:t>
            </w:r>
          </w:p>
        </w:tc>
        <w:tc>
          <w:tcPr/>
          <w:p>
            <w:pPr>
              <w:pStyle w:val="Compact"/>
            </w:pPr>
            <w:r>
              <w:rPr>
                <w:rFonts w:ascii="Calibri" w:hAnsi="Calibri"/>
                <w:sz w:val="20"/>
              </w:rPr>
              <w:t xml:space="preserve">29,9</w:t>
            </w:r>
          </w:p>
        </w:tc>
        <w:tc>
          <w:tcPr/>
          <w:p>
            <w:pPr>
              <w:pStyle w:val="Compact"/>
            </w:pPr>
            <w:r>
              <w:rPr>
                <w:rFonts w:ascii="Calibri" w:hAnsi="Calibri"/>
                <w:sz w:val="20"/>
              </w:rPr>
              <w:t xml:space="preserve">41,5</w:t>
            </w:r>
          </w:p>
        </w:tc>
        <w:tc>
          <w:tcPr/>
          <w:p>
            <w:pPr>
              <w:pStyle w:val="Compact"/>
            </w:pPr>
            <w:r>
              <w:rPr>
                <w:rFonts w:ascii="Calibri" w:hAnsi="Calibri"/>
                <w:sz w:val="20"/>
              </w:rPr>
              <w:t xml:space="preserve">61,4</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consolidada neta simulada, 2025-2035 (% del PIB). Escenario base del FMI (2026) con shocks estructurales del SVARX; estimación central con parámetros corregidos por sesgo y 20.000 trayectorias." title="" id="83" name="Picture"/>
            <a:graphic>
              <a:graphicData uri="http://schemas.openxmlformats.org/drawingml/2006/picture">
                <pic:pic>
                  <pic:nvPicPr>
                    <pic:cNvPr descr="../tesis/figuras/fig6_2_abanico_deuda_neta.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consolidada neta simulada, 2025-2035 (% del PIB). Escenario base del FMI (2026) con</w:t>
      </w:r>
      <w:r>
        <w:t xml:space="preserve"> </w:t>
      </w:r>
      <w:r>
        <w:rPr>
          <w:i/>
          <w:iCs/>
        </w:rPr>
        <w:t xml:space="preserve">shocks</w:t>
      </w:r>
      <w:r>
        <w:t xml:space="preserve"> </w:t>
      </w:r>
      <w:r>
        <w:t xml:space="preserve">estructurales del SVARX; estimación central con parámetros corregidos por sesgo y 20.000 trayectorias.</w:t>
      </w:r>
    </w:p>
    <w:p>
      <w:pPr>
        <w:pStyle w:val="BodyText"/>
      </w:pPr>
      <w:r>
        <w:t xml:space="preserve">El ancho del abanico entre los percentiles 5 y 95 es de 35,3 puntos en 2031, con un intervalo de [19,1; 37,6]. El del FMI para la deuda federal bruta es 71,5 (FMI, 2026, cuadro 7). El Capítulo 7 analiza esta diferencia.</w:t>
      </w:r>
    </w:p>
    <w:bookmarkEnd w:id="85"/>
    <w:bookmarkStart w:id="92"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tipo de cambio real y el riesgo país.</w:t>
      </w:r>
    </w:p>
    <w:p>
      <w:pPr>
        <w:pStyle w:val="BodyText"/>
      </w:pPr>
      <w:r>
        <w:rPr>
          <w:b/>
          <w:bCs/>
        </w:rPr>
        <w:t xml:space="preserve">Suficiencia del superávit.</w:t>
      </w:r>
      <w:r>
        <w:t xml:space="preserve"> </w:t>
      </w:r>
      <w:r>
        <w:t xml:space="preserve">Con el superávit del escenario base (2,3% del PIB desde 2029), la probabilidad de que la deuda no se estabilice en 2031 es de 25,2%. La Figura 6.5 muestra cómo baja esa probabilidad a medida que se eleva el superávit primario de todos los años del escenario. Para llevarla al 1% que estima el FMI, el superávit de 2031 tendría que ser de 7,0% del PIB, el doble del máximo que alcanzó el Sector Público Nacional en 1996-2025 (3,6% en 2004). Aun con un superávit igual a ese máximo, la probabilidad de no estabilización sería de alrededor de 15%.</w:t>
      </w:r>
      <w:r>
        <w:t xml:space="preserve"> </w:t>
      </w:r>
      <w:r>
        <w:rPr>
          <w:b/>
          <w:bCs/>
        </w:rPr>
        <w:t xml:space="preserve">H1a queda respaldada:</w:t>
      </w:r>
      <w:r>
        <w:t xml:space="preserve"> </w:t>
      </w:r>
      <w:r>
        <w:t xml:space="preserve">ningún superávit dentro del rango observado en tres décadas lleva el riesgo al nivel que el FMI considera bajo.</w:t>
      </w:r>
    </w:p>
    <w:p>
      <w:pPr>
        <w:pStyle w:val="CaptionedFigure"/>
      </w:pPr>
      <w:r>
        <w:drawing>
          <wp:inline>
            <wp:extent cx="5334000" cy="2790092"/>
            <wp:effectExtent b="0" l="0" r="0" t="0"/>
            <wp:docPr descr="Figura 6.5. Contraste de suficiencia del superávit. Probabilidad de no estabilización en 2031 según el resultado primario de 2031, con el escenario base del FMI (2026) desplazado en paralelo. Estimación central, 10.000 trayectorias." title="" id="87" name="Picture"/>
            <a:graphic>
              <a:graphicData uri="http://schemas.openxmlformats.org/drawingml/2006/picture">
                <pic:pic>
                  <pic:nvPicPr>
                    <pic:cNvPr descr="../tesis/figuras/fig6_5_suficiencia_superavit.png" id="88" name="Picture"/>
                    <pic:cNvPicPr>
                      <a:picLocks noChangeArrowheads="1" noChangeAspect="1"/>
                    </pic:cNvPicPr>
                  </pic:nvPicPr>
                  <pic:blipFill>
                    <a:blip r:embed="rId86"/>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6.5. Contraste de suficiencia del superávit. Probabilidad de no estabilización en 2031 según el resultado primario de 2031, con el escenario base del FMI (2026) desplazado en paralelo. Estimación central, 10.000 trayectorias.</w:t>
      </w:r>
    </w:p>
    <w:p>
      <w:pPr>
        <w:pStyle w:val="BodyText"/>
      </w:pPr>
      <w:r>
        <w:rPr>
          <w:b/>
          <w:bCs/>
        </w:rPr>
        <w:t xml:space="preserve">De dónde viene el riesgo.</w:t>
      </w:r>
      <w:r>
        <w:t xml:space="preserve"> </w:t>
      </w:r>
      <w:r>
        <w:t xml:space="preserve">La Tabla 6.3 descompone la varianza de la deuda simulada en 2035 según el bloque de</w:t>
      </w:r>
      <w:r>
        <w:t xml:space="preserve"> </w:t>
      </w:r>
      <w:r>
        <w:rPr>
          <w:i/>
          <w:iCs/>
        </w:rPr>
        <w:t xml:space="preserve">shocks</w:t>
      </w:r>
      <w:r>
        <w:t xml:space="preserve"> </w:t>
      </w:r>
      <w:r>
        <w:t xml:space="preserve">(Figura 6.3). En la estimación central, el bloque cambiario y de riesgo explica 58,7%, el fiscal 32,1% y el de actividad 9,3%. Los intervalos son amplios y se superponen: la diferencia entre los</w:t>
      </w:r>
      <w:r>
        <w:t xml:space="preserve"> </w:t>
      </w:r>
      <w:r>
        <w:rPr>
          <w:i/>
          <w:iCs/>
        </w:rPr>
        <w:t xml:space="preserve">shocks</w:t>
      </w:r>
      <w:r>
        <w:t xml:space="preserve"> </w:t>
      </w:r>
      <w:r>
        <w:t xml:space="preserve">no fiscales y el fiscal es de 35,9 puntos, pero su intervalo, [-4,8; 91,2], incluye el cero. La descomposición indica que el riesgo cambiario y de riesgo país es el componente más grande en la estimación central, pero no permite afirmar con el nivel de confianza fijado que domine al fiscal.</w:t>
      </w:r>
    </w:p>
    <w:p>
      <w:pPr>
        <w:pStyle w:val="BodyText"/>
      </w:pPr>
      <w:r>
        <w:rPr>
          <w:b/>
          <w:bCs/>
        </w:rPr>
        <w:t xml:space="preserve">Tabla 6.3. Participación de cada bloque de</w:t>
      </w:r>
      <w:r>
        <w:rPr>
          <w:b/>
          <w:bCs/>
        </w:rPr>
        <w:t xml:space="preserve"> </w:t>
      </w:r>
      <w:r>
        <w:rPr>
          <w:b/>
          <w:bCs/>
          <w:i/>
          <w:iCs/>
        </w:rPr>
        <w:t xml:space="preserve">shocks</w:t>
      </w:r>
      <w:r>
        <w:rPr>
          <w:b/>
          <w:bCs/>
        </w:rPr>
        <w:t xml:space="preserve"> </w:t>
      </w:r>
      <w:r>
        <w:rPr>
          <w:b/>
          <w:bCs/>
        </w:rPr>
        <w:t xml:space="preserve">en la varianza de la deuda en 2035</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w:t>
            </w:r>
            <w:r>
              <w:rPr>
                <w:rFonts w:ascii="Calibri" w:hAnsi="Calibri"/>
                <w:sz w:val="20"/>
              </w:rPr>
              <w:t xml:space="preserve"> </w:t>
            </w:r>
            <w:r>
              <w:rPr>
                <w:rFonts w:ascii="Calibri" w:hAnsi="Calibri"/>
                <w:i/>
                <w:iCs/>
                <w:sz w:val="20"/>
              </w:rPr>
              <w:t xml:space="preserve">shocks</w:t>
            </w:r>
          </w:p>
        </w:tc>
        <w:tc>
          <w:tcPr/>
          <w:p>
            <w:pPr>
              <w:pStyle w:val="Compact"/>
            </w:pPr>
            <w:r>
              <w:rPr>
                <w:rFonts w:ascii="Calibri" w:hAnsi="Calibri"/>
                <w:sz w:val="20"/>
              </w:rPr>
              <w:t xml:space="preserve">Participación</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32,1%</w:t>
            </w:r>
          </w:p>
        </w:tc>
        <w:tc>
          <w:tcPr/>
          <w:p>
            <w:pPr>
              <w:pStyle w:val="Compact"/>
            </w:pPr>
            <w:r>
              <w:rPr>
                <w:rFonts w:ascii="Calibri" w:hAnsi="Calibri"/>
                <w:sz w:val="20"/>
              </w:rPr>
              <w:t xml:space="preserve">[4,4; 52,4]</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9,3%</w:t>
            </w:r>
          </w:p>
        </w:tc>
        <w:tc>
          <w:tcPr/>
          <w:p>
            <w:pPr>
              <w:pStyle w:val="Compact"/>
            </w:pPr>
            <w:r>
              <w:rPr>
                <w:rFonts w:ascii="Calibri" w:hAnsi="Calibri"/>
                <w:sz w:val="20"/>
              </w:rPr>
              <w:t xml:space="preserve">[3,8; 43,1]</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58,7%</w:t>
            </w:r>
          </w:p>
        </w:tc>
        <w:tc>
          <w:tcPr/>
          <w:p>
            <w:pPr>
              <w:pStyle w:val="Compact"/>
            </w:pPr>
            <w:r>
              <w:rPr>
                <w:rFonts w:ascii="Calibri" w:hAnsi="Calibri"/>
                <w:sz w:val="20"/>
              </w:rPr>
              <w:t xml:space="preserve">[17,2; 86,0]</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35,9 puntos</w:t>
            </w:r>
          </w:p>
        </w:tc>
        <w:tc>
          <w:tcPr/>
          <w:p>
            <w:pPr>
              <w:pStyle w:val="Compact"/>
            </w:pPr>
            <w:r>
              <w:rPr>
                <w:rFonts w:ascii="Calibri" w:hAnsi="Calibri"/>
                <w:sz w:val="20"/>
              </w:rPr>
              <w:t xml:space="preserve">[-4,8; 91,2]</w:t>
            </w:r>
          </w:p>
        </w:tc>
      </w:tr>
    </w:tbl>
    <w:p>
      <w:pPr>
        <w:pStyle w:val="BodyText"/>
      </w:pPr>
      <w:r>
        <w:t xml:space="preserve">Fuente: elaboración propia.</w:t>
      </w:r>
    </w:p>
    <w:p>
      <w:pPr>
        <w:pStyle w:val="CaptionedFigure"/>
      </w:pPr>
      <w:r>
        <w:drawing>
          <wp:inline>
            <wp:extent cx="5334000" cy="2667000"/>
            <wp:effectExtent b="0" l="0" r="0" t="0"/>
            <wp:docPr descr="Figura 6.3. Varianza de la deuda en 2035 por bloque de shocks. Participación de cada bloque de shocks estructurales en la varianza de la deuda simulada en 2035; estimación central y barras de error hasta los percentiles 5 y 95 entre réplicas." title="" id="90" name="Picture"/>
            <a:graphic>
              <a:graphicData uri="http://schemas.openxmlformats.org/drawingml/2006/picture">
                <pic:pic>
                  <pic:nvPicPr>
                    <pic:cNvPr descr="../tesis/figuras/fig6_3_varianza_por_bloque.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6.3. Varianza de la deuda en 2035 por bloque de</w:t>
      </w:r>
      <w:r>
        <w:t xml:space="preserve"> </w:t>
      </w:r>
      <w:r>
        <w:rPr>
          <w:i/>
          <w:iCs/>
        </w:rPr>
        <w:t xml:space="preserve">shocks</w:t>
      </w:r>
      <w:r>
        <w:t xml:space="preserve">. Participación de cada bloque de</w:t>
      </w:r>
      <w:r>
        <w:t xml:space="preserve"> </w:t>
      </w:r>
      <w:r>
        <w:rPr>
          <w:i/>
          <w:iCs/>
        </w:rPr>
        <w:t xml:space="preserve">shocks</w:t>
      </w:r>
      <w:r>
        <w:t xml:space="preserve"> </w:t>
      </w:r>
      <w:r>
        <w:t xml:space="preserve">estructurales en la varianza de la deuda simulada en 2035; estimación central y barras de error hasta los percentiles 5 y 95 entre réplicas.</w:t>
      </w:r>
    </w:p>
    <w:bookmarkEnd w:id="92"/>
    <w:bookmarkStart w:id="93" w:name="contraste-de-h1b"/>
    <w:p>
      <w:pPr>
        <w:pStyle w:val="Heading2"/>
      </w:pPr>
      <w:r>
        <w:t xml:space="preserve">6.4 Contraste de H1b</w:t>
      </w:r>
    </w:p>
    <w:p>
      <w:pPr>
        <w:pStyle w:val="FirstParagraph"/>
      </w:pPr>
      <w:r>
        <w:t xml:space="preserve">El FMI (2026) estima una probabilidad de estabilización de alrededor de 99% en su abanico de mediano plazo (no estabilización de 1,0%, cuadro 7) y superior a 97% en su abanico de diez años, que termina en 2035. Cada horizonte se contrasta contra la cifra del FMI correspondiente (Tabla 6.4).</w:t>
      </w:r>
    </w:p>
    <w:p>
      <w:pPr>
        <w:pStyle w:val="BodyText"/>
      </w:pPr>
      <w:r>
        <w:rPr>
          <w:b/>
          <w:bCs/>
        </w:rPr>
        <w:t xml:space="preserve">Tabla 6.4. Contraste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Umbral del FMI</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2031 (mediano plazo)</w:t>
            </w:r>
          </w:p>
        </w:tc>
        <w:tc>
          <w:tcPr/>
          <w:p>
            <w:pPr>
              <w:pStyle w:val="Compact"/>
            </w:pPr>
            <w:r>
              <w:rPr>
                <w:rFonts w:ascii="Calibri" w:hAnsi="Calibri"/>
                <w:sz w:val="20"/>
              </w:rPr>
              <w:t xml:space="preserve">25,2%</w:t>
            </w:r>
          </w:p>
        </w:tc>
        <w:tc>
          <w:tcPr/>
          <w:p>
            <w:pPr>
              <w:pStyle w:val="Compact"/>
            </w:pPr>
            <w:r>
              <w:rPr>
                <w:rFonts w:ascii="Calibri" w:hAnsi="Calibri"/>
                <w:sz w:val="20"/>
              </w:rPr>
              <w:t xml:space="preserve">[19,0; 27,7]</w:t>
            </w:r>
          </w:p>
        </w:tc>
        <w:tc>
          <w:tcPr/>
          <w:p>
            <w:pPr>
              <w:pStyle w:val="Compact"/>
            </w:pPr>
            <w:r>
              <w:rPr>
                <w:rFonts w:ascii="Calibri" w:hAnsi="Calibri"/>
                <w:sz w:val="20"/>
              </w:rPr>
              <w:t xml:space="preserve">1,0%</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22,3%</w:t>
            </w:r>
          </w:p>
        </w:tc>
        <w:tc>
          <w:tcPr/>
          <w:p>
            <w:pPr>
              <w:pStyle w:val="Compact"/>
            </w:pPr>
            <w:r>
              <w:rPr>
                <w:rFonts w:ascii="Calibri" w:hAnsi="Calibri"/>
                <w:sz w:val="20"/>
              </w:rPr>
              <w:t xml:space="preserve">[15,6; 24,9]</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Se cumple</w:t>
            </w:r>
          </w:p>
        </w:tc>
      </w:tr>
    </w:tbl>
    <w:p>
      <w:pPr>
        <w:pStyle w:val="BodyText"/>
      </w:pPr>
      <w:r>
        <w:t xml:space="preserve">Fuente: elaboración propia. Error de Monte Carlo de la estimación central: 0,3 puntos en los dos horizontes.</w:t>
      </w:r>
    </w:p>
    <w:p>
      <w:pPr>
        <w:pStyle w:val="BodyText"/>
      </w:pPr>
      <w:r>
        <w:t xml:space="preserve">En los dos horizontes, el intervalo queda entero muy por encima del umbral del FMI, y la conclusión se mantiene con la corrección de Bonferroni (límites inferiores de 2,5%: 18,0% y 14,6%). Con dos medidas alternativas el resultado es el mismo: si se usa el resultado primario simulado en lugar del previsto, la probabilidad en 2031 es de 29,2%, y la probabilidad de que la deuda de 2031 supere a la de 2029 es de 22,0%.</w:t>
      </w:r>
      <w:r>
        <w:t xml:space="preserve"> </w:t>
      </w:r>
      <w:r>
        <w:rPr>
          <w:b/>
          <w:bCs/>
        </w:rPr>
        <w:t xml:space="preserve">H1b queda respaldada en los dos horizontes.</w:t>
      </w:r>
    </w:p>
    <w:bookmarkEnd w:id="93"/>
    <w:bookmarkStart w:id="94" w:name="contraste-de-h2"/>
    <w:p>
      <w:pPr>
        <w:pStyle w:val="Heading2"/>
      </w:pPr>
      <w:r>
        <w:t xml:space="preserve">6.5 Contraste de H2</w:t>
      </w:r>
    </w:p>
    <w:p>
      <w:pPr>
        <w:pStyle w:val="FirstParagraph"/>
      </w:pPr>
      <w:r>
        <w:rPr>
          <w:b/>
          <w:bCs/>
        </w:rPr>
        <w:t xml:space="preserve">Tabla 6.5. Efecto de la FED sobre la deuda en 2035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Diferencia en la probabilidad de no estabilización</w:t>
            </w:r>
          </w:p>
        </w:tc>
        <w:tc>
          <w:tcPr/>
          <w:p>
            <w:pPr>
              <w:pStyle w:val="Compact"/>
            </w:pPr>
            <w:r>
              <w:rPr>
                <w:rFonts w:ascii="Calibri" w:hAnsi="Calibri"/>
                <w:sz w:val="20"/>
              </w:rPr>
              <w:t xml:space="preserve">Diferencia en la deuda media</w:t>
            </w:r>
          </w:p>
        </w:tc>
      </w:tr>
      <w:tr>
        <w:tc>
          <w:tcPr/>
          <w:p>
            <w:pPr>
              <w:pStyle w:val="Compact"/>
            </w:pPr>
            <w:r>
              <w:rPr>
                <w:rFonts w:ascii="Calibri" w:hAnsi="Calibri"/>
                <w:sz w:val="20"/>
              </w:rPr>
              <w:t xml:space="preserve">Suba de un desvío estándar (0,50 pp)</w:t>
            </w:r>
          </w:p>
        </w:tc>
        <w:tc>
          <w:tcPr/>
          <w:p>
            <w:pPr>
              <w:pStyle w:val="Compact"/>
            </w:pPr>
            <w:r>
              <w:rPr>
                <w:rFonts w:ascii="Calibri" w:hAnsi="Calibri"/>
                <w:sz w:val="20"/>
              </w:rPr>
              <w:t xml:space="preserve">+1,5 pp [0,1; 3,1]</w:t>
            </w:r>
          </w:p>
        </w:tc>
        <w:tc>
          <w:tcPr/>
          <w:p>
            <w:pPr>
              <w:pStyle w:val="Compact"/>
            </w:pPr>
            <w:r>
              <w:rPr>
                <w:rFonts w:ascii="Calibri" w:hAnsi="Calibri"/>
                <w:sz w:val="20"/>
              </w:rPr>
              <w:t xml:space="preserve">+1,0 pp del PIB [-0,1; 2,4]</w:t>
            </w:r>
          </w:p>
        </w:tc>
      </w:tr>
      <w:tr>
        <w:tc>
          <w:tcPr/>
          <w:p>
            <w:pPr>
              <w:pStyle w:val="Compact"/>
            </w:pPr>
            <w:r>
              <w:rPr>
                <w:rFonts w:ascii="Calibri" w:hAnsi="Calibri"/>
                <w:sz w:val="20"/>
              </w:rPr>
              <w:t xml:space="preserve">Repetición de la senda de 2022-2025</w:t>
            </w:r>
          </w:p>
        </w:tc>
        <w:tc>
          <w:tcPr/>
          <w:p>
            <w:pPr>
              <w:pStyle w:val="Compact"/>
            </w:pPr>
            <w:r>
              <w:rPr>
                <w:rFonts w:ascii="Calibri" w:hAnsi="Calibri"/>
                <w:sz w:val="20"/>
              </w:rPr>
              <w:t xml:space="preserve">+13,0 pp [1,0; 24,8]</w:t>
            </w:r>
          </w:p>
        </w:tc>
        <w:tc>
          <w:tcPr/>
          <w:p>
            <w:pPr>
              <w:pStyle w:val="Compact"/>
            </w:pPr>
            <w:r>
              <w:rPr>
                <w:rFonts w:ascii="Calibri" w:hAnsi="Calibri"/>
                <w:sz w:val="20"/>
              </w:rPr>
              <w:t xml:space="preserve">+7,8 pp del PIB [-1,4; 20,4]</w:t>
            </w:r>
          </w:p>
        </w:tc>
      </w:tr>
    </w:tbl>
    <w:p>
      <w:pPr>
        <w:pStyle w:val="BodyText"/>
      </w:pPr>
      <w:r>
        <w:t xml:space="preserve">Fuente: elaboración propia.</w:t>
      </w:r>
    </w:p>
    <w:p>
      <w:pPr>
        <w:pStyle w:val="BodyText"/>
      </w:pPr>
      <w:r>
        <w:t xml:space="preserve">En los dos escenarios, la suba de la tasa de la FED eleva la probabilidad de no estabilización en 2035 con un intervalo de 90% que excluye el cero, aunque por poco. El efecto sobre la deuda esperada tiene el signo previsto en los dos casos, pero sus intervalos incluyen el cero. Con la corrección de Bonferroni, ninguno de los efectos sobre la probabilidad se sostiene (límites inferiores de 2,5% de -0,1 y -0,2 puntos).</w:t>
      </w:r>
      <w:r>
        <w:t xml:space="preserve"> </w:t>
      </w:r>
      <w:r>
        <w:rPr>
          <w:b/>
          <w:bCs/>
        </w:rPr>
        <w:t xml:space="preserve">H2 queda respaldada de manera débil:</w:t>
      </w:r>
      <w:r>
        <w:t xml:space="preserve"> </w:t>
      </w:r>
      <w:r>
        <w:t xml:space="preserve">la dirección del efecto es la que plantea la hipótesis, pero su magnitud no se puede estimar con precisión.</w:t>
      </w:r>
    </w:p>
    <w:p>
      <w:pPr>
        <w:pStyle w:val="BodyText"/>
      </w:pPr>
      <w:r>
        <w:t xml:space="preserve">Para saber por qué canal pasa el efecto, se repitió el escenario de 2022-2025 anulando la respuesta de las variables domésticas a la FED, de modo que solo actúa el mayor costo de refinanciar la deuda en dólares. Ese costo directo explica 4,7 de los 7,8 puntos de aumento de la deuda en 2035 (60%). El resto corresponde a la respuesta del riesgo país, el tipo de cambio real y el crecimiento, ninguna de ellas significativa por separado (sección 6.1). El efecto que la tesis puede atribuir a la FED pasa, entonces, sobre todo por el costo de la deuda en dólares, y no por los canales de riesgo, tipo de cambio y crecimiento que la hipótesis destaca.</w:t>
      </w:r>
    </w:p>
    <w:bookmarkEnd w:id="94"/>
    <w:bookmarkStart w:id="98" w:name="robustez"/>
    <w:p>
      <w:pPr>
        <w:pStyle w:val="Heading2"/>
      </w:pPr>
      <w:r>
        <w:t xml:space="preserve">6.6 Robustez</w:t>
      </w:r>
    </w:p>
    <w:p>
      <w:pPr>
        <w:pStyle w:val="FirstParagraph"/>
      </w:pPr>
      <w:r>
        <w:t xml:space="preserve">La Tabla 6.6 resume las 18 especificaciones alternativas.</w:t>
      </w:r>
    </w:p>
    <w:p>
      <w:pPr>
        <w:pStyle w:val="BodyText"/>
      </w:pPr>
      <w:r>
        <w:rPr>
          <w:b/>
          <w:bCs/>
        </w:rPr>
        <w:t xml:space="preserve">Tabla 6.6. Robustez</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2031</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2031</w:t>
            </w:r>
          </w:p>
        </w:tc>
        <w:tc>
          <w:tcPr/>
          <w:p>
            <w:pPr>
              <w:pStyle w:val="Compact"/>
            </w:pPr>
            <w:r>
              <w:rPr>
                <w:rFonts w:ascii="Calibri" w:hAnsi="Calibri"/>
                <w:sz w:val="20"/>
              </w:rPr>
              <w:t xml:space="preserve">No fiscal menos fiscal (varianza)</w:t>
            </w:r>
          </w:p>
        </w:tc>
      </w:tr>
      <w:tr>
        <w:tc>
          <w:tcPr/>
          <w:p>
            <w:pPr>
              <w:pStyle w:val="Compact"/>
            </w:pPr>
            <w:r>
              <w:rPr>
                <w:rFonts w:ascii="Calibri" w:hAnsi="Calibri"/>
                <w:sz w:val="20"/>
              </w:rPr>
              <w:t xml:space="preserve">Principal</w:t>
            </w:r>
          </w:p>
        </w:tc>
        <w:tc>
          <w:tcPr/>
          <w:p>
            <w:pPr>
              <w:pStyle w:val="Compact"/>
            </w:pPr>
            <w:r>
              <w:rPr>
                <w:rFonts w:ascii="Calibri" w:hAnsi="Calibri"/>
                <w:sz w:val="20"/>
              </w:rPr>
              <w:t xml:space="preserve">25,2% [19,0; 27,7]</w:t>
            </w:r>
          </w:p>
        </w:tc>
        <w:tc>
          <w:tcPr/>
          <w:p>
            <w:pPr>
              <w:pStyle w:val="Compact"/>
            </w:pPr>
            <w:r>
              <w:rPr>
                <w:rFonts w:ascii="Calibri" w:hAnsi="Calibri"/>
                <w:sz w:val="20"/>
              </w:rPr>
              <w:t xml:space="preserve">22,3% [15,6; 24,9]</w:t>
            </w:r>
          </w:p>
        </w:tc>
        <w:tc>
          <w:tcPr/>
          <w:p>
            <w:pPr>
              <w:pStyle w:val="Compact"/>
            </w:pPr>
            <w:r>
              <w:rPr>
                <w:rFonts w:ascii="Calibri" w:hAnsi="Calibri"/>
                <w:sz w:val="20"/>
              </w:rPr>
              <w:t xml:space="preserve">35,3</w:t>
            </w:r>
          </w:p>
        </w:tc>
        <w:tc>
          <w:tcPr/>
          <w:p>
            <w:pPr>
              <w:pStyle w:val="Compact"/>
            </w:pPr>
            <w:r>
              <w:rPr>
                <w:rFonts w:ascii="Calibri" w:hAnsi="Calibri"/>
                <w:sz w:val="20"/>
              </w:rPr>
              <w:t xml:space="preserve">35,9 [-4,8; 91,2]</w:t>
            </w:r>
          </w:p>
        </w:tc>
      </w:tr>
      <w:tr>
        <w:tc>
          <w:tcPr/>
          <w:p>
            <w:pPr>
              <w:pStyle w:val="Compact"/>
            </w:pPr>
            <w:r>
              <w:rPr>
                <w:rFonts w:ascii="Calibri" w:hAnsi="Calibri"/>
                <w:sz w:val="20"/>
              </w:rPr>
              <w:t xml:space="preserve">Deuda neta a valor libros</w:t>
            </w:r>
          </w:p>
        </w:tc>
        <w:tc>
          <w:tcPr/>
          <w:p>
            <w:pPr>
              <w:pStyle w:val="Compact"/>
            </w:pPr>
            <w:r>
              <w:rPr>
                <w:rFonts w:ascii="Calibri" w:hAnsi="Calibri"/>
                <w:sz w:val="20"/>
              </w:rPr>
              <w:t xml:space="preserve">26,5% [20,7; 28,8]</w:t>
            </w:r>
          </w:p>
        </w:tc>
        <w:tc>
          <w:tcPr/>
          <w:p>
            <w:pPr>
              <w:pStyle w:val="Compact"/>
            </w:pPr>
            <w:r>
              <w:rPr>
                <w:rFonts w:ascii="Calibri" w:hAnsi="Calibri"/>
                <w:sz w:val="20"/>
              </w:rPr>
              <w:t xml:space="preserve">23,9% [16,7; 25,6]</w:t>
            </w:r>
          </w:p>
        </w:tc>
        <w:tc>
          <w:tcPr/>
          <w:p>
            <w:pPr>
              <w:pStyle w:val="Compact"/>
            </w:pPr>
            <w:r>
              <w:rPr>
                <w:rFonts w:ascii="Calibri" w:hAnsi="Calibri"/>
                <w:sz w:val="20"/>
              </w:rPr>
              <w:t xml:space="preserve">37,5</w:t>
            </w:r>
          </w:p>
        </w:tc>
        <w:tc>
          <w:tcPr/>
          <w:p>
            <w:pPr>
              <w:pStyle w:val="Compact"/>
            </w:pPr>
            <w:r>
              <w:rPr>
                <w:rFonts w:ascii="Calibri" w:hAnsi="Calibri"/>
                <w:sz w:val="20"/>
              </w:rPr>
              <w:t xml:space="preserve">23,0 [-11,5; 92,6]</w:t>
            </w:r>
          </w:p>
        </w:tc>
      </w:tr>
      <w:tr>
        <w:tc>
          <w:tcPr/>
          <w:p>
            <w:pPr>
              <w:pStyle w:val="Compact"/>
            </w:pPr>
            <w:r>
              <w:rPr>
                <w:rFonts w:ascii="Calibri" w:hAnsi="Calibri"/>
                <w:sz w:val="20"/>
              </w:rPr>
              <w:t xml:space="preserve">Deuda bruta (Tesoro y BCRA)</w:t>
            </w:r>
          </w:p>
        </w:tc>
        <w:tc>
          <w:tcPr/>
          <w:p>
            <w:pPr>
              <w:pStyle w:val="Compact"/>
            </w:pPr>
            <w:r>
              <w:rPr>
                <w:rFonts w:ascii="Calibri" w:hAnsi="Calibri"/>
                <w:sz w:val="20"/>
              </w:rPr>
              <w:t xml:space="preserve">27,6% [22,0; 29,7]</w:t>
            </w:r>
          </w:p>
        </w:tc>
        <w:tc>
          <w:tcPr/>
          <w:p>
            <w:pPr>
              <w:pStyle w:val="Compact"/>
            </w:pPr>
            <w:r>
              <w:rPr>
                <w:rFonts w:ascii="Calibri" w:hAnsi="Calibri"/>
                <w:sz w:val="20"/>
              </w:rPr>
              <w:t xml:space="preserve">22,9% [16,7; 28,0]</w:t>
            </w:r>
          </w:p>
        </w:tc>
        <w:tc>
          <w:tcPr/>
          <w:p>
            <w:pPr>
              <w:pStyle w:val="Compact"/>
            </w:pPr>
            <w:r>
              <w:rPr>
                <w:rFonts w:ascii="Calibri" w:hAnsi="Calibri"/>
                <w:sz w:val="20"/>
              </w:rPr>
              <w:t xml:space="preserve">34,4</w:t>
            </w:r>
          </w:p>
        </w:tc>
        <w:tc>
          <w:tcPr/>
          <w:p>
            <w:pPr>
              <w:pStyle w:val="Compact"/>
            </w:pPr>
            <w:r>
              <w:rPr>
                <w:rFonts w:ascii="Calibri" w:hAnsi="Calibri"/>
                <w:sz w:val="20"/>
              </w:rPr>
              <w:t xml:space="preserve">36,0 [-16,4; 89,3]</w:t>
            </w:r>
          </w:p>
        </w:tc>
      </w:tr>
      <w:tr>
        <w:tc>
          <w:tcPr/>
          <w:p>
            <w:pPr>
              <w:pStyle w:val="Compact"/>
            </w:pPr>
            <w:r>
              <w:rPr>
                <w:rFonts w:ascii="Calibri" w:hAnsi="Calibri"/>
                <w:sz w:val="20"/>
              </w:rPr>
              <w:t xml:space="preserve">Deuda bruta del Tesoro, sin el BCRA</w:t>
            </w:r>
          </w:p>
        </w:tc>
        <w:tc>
          <w:tcPr/>
          <w:p>
            <w:pPr>
              <w:pStyle w:val="Compact"/>
            </w:pPr>
            <w:r>
              <w:rPr>
                <w:rFonts w:ascii="Calibri" w:hAnsi="Calibri"/>
                <w:sz w:val="20"/>
              </w:rPr>
              <w:t xml:space="preserve">27,3% [22,7; 30,1]</w:t>
            </w:r>
          </w:p>
        </w:tc>
        <w:tc>
          <w:tcPr/>
          <w:p>
            <w:pPr>
              <w:pStyle w:val="Compact"/>
            </w:pPr>
            <w:r>
              <w:rPr>
                <w:rFonts w:ascii="Calibri" w:hAnsi="Calibri"/>
                <w:sz w:val="20"/>
              </w:rPr>
              <w:t xml:space="preserve">23,5% [17,9; 27,6]</w:t>
            </w:r>
          </w:p>
        </w:tc>
        <w:tc>
          <w:tcPr/>
          <w:p>
            <w:pPr>
              <w:pStyle w:val="Compact"/>
            </w:pPr>
            <w:r>
              <w:rPr>
                <w:rFonts w:ascii="Calibri" w:hAnsi="Calibri"/>
                <w:sz w:val="20"/>
              </w:rPr>
              <w:t xml:space="preserve">33,5</w:t>
            </w:r>
          </w:p>
        </w:tc>
        <w:tc>
          <w:tcPr/>
          <w:p>
            <w:pPr>
              <w:pStyle w:val="Compact"/>
            </w:pPr>
            <w:r>
              <w:rPr>
                <w:rFonts w:ascii="Calibri" w:hAnsi="Calibri"/>
                <w:sz w:val="20"/>
              </w:rPr>
              <w:t xml:space="preserve">31,5 [-17,1; 90,8]</w:t>
            </w:r>
          </w:p>
        </w:tc>
      </w:tr>
      <w:tr>
        <w:tc>
          <w:tcPr/>
          <w:p>
            <w:pPr>
              <w:pStyle w:val="Compact"/>
            </w:pPr>
            <w:r>
              <w:rPr>
                <w:rFonts w:ascii="Calibri" w:hAnsi="Calibri"/>
                <w:sz w:val="20"/>
              </w:rPr>
              <w:t xml:space="preserve">Canal de tasas en pesos</w:t>
            </w:r>
          </w:p>
        </w:tc>
        <w:tc>
          <w:tcPr/>
          <w:p>
            <w:pPr>
              <w:pStyle w:val="Compact"/>
            </w:pPr>
            <w:r>
              <w:rPr>
                <w:rFonts w:ascii="Calibri" w:hAnsi="Calibri"/>
                <w:sz w:val="20"/>
              </w:rPr>
              <w:t xml:space="preserve">26,9% [20,1; 28,4]</w:t>
            </w:r>
          </w:p>
        </w:tc>
        <w:tc>
          <w:tcPr/>
          <w:p>
            <w:pPr>
              <w:pStyle w:val="Compact"/>
            </w:pPr>
            <w:r>
              <w:rPr>
                <w:rFonts w:ascii="Calibri" w:hAnsi="Calibri"/>
                <w:sz w:val="20"/>
              </w:rPr>
              <w:t xml:space="preserve">30,8% [17,2; 31,9]</w:t>
            </w:r>
          </w:p>
        </w:tc>
        <w:tc>
          <w:tcPr/>
          <w:p>
            <w:pPr>
              <w:pStyle w:val="Compact"/>
            </w:pPr>
            <w:r>
              <w:rPr>
                <w:rFonts w:ascii="Calibri" w:hAnsi="Calibri"/>
                <w:sz w:val="20"/>
              </w:rPr>
              <w:t xml:space="preserve">43,2</w:t>
            </w:r>
          </w:p>
        </w:tc>
        <w:tc>
          <w:tcPr/>
          <w:p>
            <w:pPr>
              <w:pStyle w:val="Compact"/>
            </w:pPr>
            <w:r>
              <w:rPr>
                <w:rFonts w:ascii="Calibri" w:hAnsi="Calibri"/>
                <w:sz w:val="20"/>
              </w:rPr>
              <w:t xml:space="preserve">45,5 [-4,6; 93,5]</w:t>
            </w:r>
          </w:p>
        </w:tc>
      </w:tr>
      <w:tr>
        <w:tc>
          <w:tcPr/>
          <w:p>
            <w:pPr>
              <w:pStyle w:val="Compact"/>
            </w:pPr>
            <w:r>
              <w:rPr>
                <w:rFonts w:ascii="Calibri" w:hAnsi="Calibri"/>
                <w:sz w:val="20"/>
              </w:rPr>
              <w:t xml:space="preserve">Sin retroalimentación de la deuda</w:t>
            </w:r>
          </w:p>
        </w:tc>
        <w:tc>
          <w:tcPr/>
          <w:p>
            <w:pPr>
              <w:pStyle w:val="Compact"/>
            </w:pPr>
            <w:r>
              <w:rPr>
                <w:rFonts w:ascii="Calibri" w:hAnsi="Calibri"/>
                <w:sz w:val="20"/>
              </w:rPr>
              <w:t xml:space="preserve">25,6% [19,1; 27,3]</w:t>
            </w:r>
          </w:p>
        </w:tc>
        <w:tc>
          <w:tcPr/>
          <w:p>
            <w:pPr>
              <w:pStyle w:val="Compact"/>
            </w:pPr>
            <w:r>
              <w:rPr>
                <w:rFonts w:ascii="Calibri" w:hAnsi="Calibri"/>
                <w:sz w:val="20"/>
              </w:rPr>
              <w:t xml:space="preserve">22,9% [14,1; 23,9]</w:t>
            </w:r>
          </w:p>
        </w:tc>
        <w:tc>
          <w:tcPr/>
          <w:p>
            <w:pPr>
              <w:pStyle w:val="Compact"/>
            </w:pPr>
            <w:r>
              <w:rPr>
                <w:rFonts w:ascii="Calibri" w:hAnsi="Calibri"/>
                <w:sz w:val="20"/>
              </w:rPr>
              <w:t xml:space="preserve">46,7</w:t>
            </w:r>
          </w:p>
        </w:tc>
        <w:tc>
          <w:tcPr/>
          <w:p>
            <w:pPr>
              <w:pStyle w:val="Compact"/>
            </w:pPr>
            <w:r>
              <w:rPr>
                <w:rFonts w:ascii="Calibri" w:hAnsi="Calibri"/>
                <w:sz w:val="20"/>
              </w:rPr>
              <w:t xml:space="preserve">41,4 [-13,3; 90,7]</w:t>
            </w:r>
          </w:p>
        </w:tc>
      </w:tr>
      <w:tr>
        <w:tc>
          <w:tcPr/>
          <w:p>
            <w:pPr>
              <w:pStyle w:val="Compact"/>
            </w:pPr>
            <w:r>
              <w:rPr>
                <w:rFonts w:ascii="Calibri" w:hAnsi="Calibri"/>
                <w:sz w:val="20"/>
              </w:rPr>
              <w:t xml:space="preserve">Dos rezagos</w:t>
            </w:r>
          </w:p>
        </w:tc>
        <w:tc>
          <w:tcPr/>
          <w:p>
            <w:pPr>
              <w:pStyle w:val="Compact"/>
            </w:pPr>
            <w:r>
              <w:rPr>
                <w:rFonts w:ascii="Calibri" w:hAnsi="Calibri"/>
                <w:sz w:val="20"/>
              </w:rPr>
              <w:t xml:space="preserve">27,4% [22,6; 31,1]</w:t>
            </w:r>
          </w:p>
        </w:tc>
        <w:tc>
          <w:tcPr/>
          <w:p>
            <w:pPr>
              <w:pStyle w:val="Compact"/>
            </w:pPr>
            <w:r>
              <w:rPr>
                <w:rFonts w:ascii="Calibri" w:hAnsi="Calibri"/>
                <w:sz w:val="20"/>
              </w:rPr>
              <w:t xml:space="preserve">27,9% [17,6; 31,2]</w:t>
            </w:r>
          </w:p>
        </w:tc>
        <w:tc>
          <w:tcPr/>
          <w:p>
            <w:pPr>
              <w:pStyle w:val="Compact"/>
            </w:pPr>
            <w:r>
              <w:rPr>
                <w:rFonts w:ascii="Calibri" w:hAnsi="Calibri"/>
                <w:sz w:val="20"/>
              </w:rPr>
              <w:t xml:space="preserve">45,5</w:t>
            </w:r>
          </w:p>
        </w:tc>
        <w:tc>
          <w:tcPr/>
          <w:p>
            <w:pPr>
              <w:pStyle w:val="Compact"/>
            </w:pPr>
            <w:r>
              <w:rPr>
                <w:rFonts w:ascii="Calibri" w:hAnsi="Calibri"/>
                <w:sz w:val="20"/>
              </w:rPr>
              <w:t xml:space="preserve">49,6 [10,4; 89,9]</w:t>
            </w:r>
          </w:p>
        </w:tc>
      </w:tr>
      <w:tr>
        <w:tc>
          <w:tcPr/>
          <w:p>
            <w:pPr>
              <w:pStyle w:val="Compact"/>
            </w:pPr>
            <w:r>
              <w:rPr>
                <w:rFonts w:ascii="Calibri" w:hAnsi="Calibri"/>
                <w:sz w:val="20"/>
              </w:rPr>
              <w:t xml:space="preserve">Cholesky, resultado primario primero (equivale a elasticidad cíclica 0)</w:t>
            </w:r>
          </w:p>
        </w:tc>
        <w:tc>
          <w:tcPr/>
          <w:p>
            <w:pPr>
              <w:pStyle w:val="Compact"/>
            </w:pPr>
            <w:r>
              <w:rPr>
                <w:rFonts w:ascii="Calibri" w:hAnsi="Calibri"/>
                <w:sz w:val="20"/>
              </w:rPr>
              <w:t xml:space="preserve">25,7% [19,2; 27,6]</w:t>
            </w:r>
          </w:p>
        </w:tc>
        <w:tc>
          <w:tcPr/>
          <w:p>
            <w:pPr>
              <w:pStyle w:val="Compact"/>
            </w:pPr>
            <w:r>
              <w:rPr>
                <w:rFonts w:ascii="Calibri" w:hAnsi="Calibri"/>
                <w:sz w:val="20"/>
              </w:rPr>
              <w:t xml:space="preserve">23,1% [15,0; 24,0]</w:t>
            </w:r>
          </w:p>
        </w:tc>
        <w:tc>
          <w:tcPr/>
          <w:p>
            <w:pPr>
              <w:pStyle w:val="Compact"/>
            </w:pPr>
            <w:r>
              <w:rPr>
                <w:rFonts w:ascii="Calibri" w:hAnsi="Calibri"/>
                <w:sz w:val="20"/>
              </w:rPr>
              <w:t xml:space="preserve">35,5</w:t>
            </w:r>
          </w:p>
        </w:tc>
        <w:tc>
          <w:tcPr/>
          <w:p>
            <w:pPr>
              <w:pStyle w:val="Compact"/>
            </w:pPr>
            <w:r>
              <w:rPr>
                <w:rFonts w:ascii="Calibri" w:hAnsi="Calibri"/>
                <w:sz w:val="20"/>
              </w:rPr>
              <w:t xml:space="preserve">23,0 [-41,8; 82,3]</w:t>
            </w:r>
          </w:p>
        </w:tc>
      </w:tr>
      <w:tr>
        <w:tc>
          <w:tcPr/>
          <w:p>
            <w:pPr>
              <w:pStyle w:val="Compact"/>
            </w:pPr>
            <w:r>
              <w:rPr>
                <w:rFonts w:ascii="Calibri" w:hAnsi="Calibri"/>
                <w:sz w:val="20"/>
              </w:rPr>
              <w:t xml:space="preserve">Cholesky, resultado primario último</w:t>
            </w:r>
          </w:p>
        </w:tc>
        <w:tc>
          <w:tcPr/>
          <w:p>
            <w:pPr>
              <w:pStyle w:val="Compact"/>
            </w:pPr>
            <w:r>
              <w:rPr>
                <w:rFonts w:ascii="Calibri" w:hAnsi="Calibri"/>
                <w:sz w:val="20"/>
              </w:rPr>
              <w:t xml:space="preserve">25,7% [19,1; 27,6]</w:t>
            </w:r>
          </w:p>
        </w:tc>
        <w:tc>
          <w:tcPr/>
          <w:p>
            <w:pPr>
              <w:pStyle w:val="Compact"/>
            </w:pPr>
            <w:r>
              <w:rPr>
                <w:rFonts w:ascii="Calibri" w:hAnsi="Calibri"/>
                <w:sz w:val="20"/>
              </w:rPr>
              <w:t xml:space="preserve">23,1% [14,8; 23,9]</w:t>
            </w:r>
          </w:p>
        </w:tc>
        <w:tc>
          <w:tcPr/>
          <w:p>
            <w:pPr>
              <w:pStyle w:val="Compact"/>
            </w:pPr>
            <w:r>
              <w:rPr>
                <w:rFonts w:ascii="Calibri" w:hAnsi="Calibri"/>
                <w:sz w:val="20"/>
              </w:rPr>
              <w:t xml:space="preserve">35,5</w:t>
            </w:r>
          </w:p>
        </w:tc>
        <w:tc>
          <w:tcPr/>
          <w:p>
            <w:pPr>
              <w:pStyle w:val="Compact"/>
            </w:pPr>
            <w:r>
              <w:rPr>
                <w:rFonts w:ascii="Calibri" w:hAnsi="Calibri"/>
                <w:sz w:val="20"/>
              </w:rPr>
              <w:t xml:space="preserve">77,9 [20,6; 96,0]</w:t>
            </w:r>
          </w:p>
        </w:tc>
      </w:tr>
      <w:tr>
        <w:tc>
          <w:tcPr/>
          <w:p>
            <w:pPr>
              <w:pStyle w:val="Compact"/>
            </w:pPr>
            <w:r>
              <w:rPr>
                <w:rFonts w:ascii="Calibri" w:hAnsi="Calibri"/>
                <w:sz w:val="20"/>
              </w:rPr>
              <w:t xml:space="preserve">Elasticidad cíclica 0,5</w:t>
            </w:r>
          </w:p>
        </w:tc>
        <w:tc>
          <w:tcPr/>
          <w:p>
            <w:pPr>
              <w:pStyle w:val="Compact"/>
            </w:pPr>
            <w:r>
              <w:rPr>
                <w:rFonts w:ascii="Calibri" w:hAnsi="Calibri"/>
                <w:sz w:val="20"/>
              </w:rPr>
              <w:t xml:space="preserve">25,7% [19,4; 27,5]</w:t>
            </w:r>
          </w:p>
        </w:tc>
        <w:tc>
          <w:tcPr/>
          <w:p>
            <w:pPr>
              <w:pStyle w:val="Compact"/>
            </w:pPr>
            <w:r>
              <w:rPr>
                <w:rFonts w:ascii="Calibri" w:hAnsi="Calibri"/>
                <w:sz w:val="20"/>
              </w:rPr>
              <w:t xml:space="preserve">23,1% [15,4; 23,9]</w:t>
            </w:r>
          </w:p>
        </w:tc>
        <w:tc>
          <w:tcPr/>
          <w:p>
            <w:pPr>
              <w:pStyle w:val="Compact"/>
            </w:pPr>
            <w:r>
              <w:rPr>
                <w:rFonts w:ascii="Calibri" w:hAnsi="Calibri"/>
                <w:sz w:val="20"/>
              </w:rPr>
              <w:t xml:space="preserve">35,5</w:t>
            </w:r>
          </w:p>
        </w:tc>
        <w:tc>
          <w:tcPr/>
          <w:p>
            <w:pPr>
              <w:pStyle w:val="Compact"/>
            </w:pPr>
            <w:r>
              <w:rPr>
                <w:rFonts w:ascii="Calibri" w:hAnsi="Calibri"/>
                <w:sz w:val="20"/>
              </w:rPr>
              <w:t xml:space="preserve">61,8 [38,2; 97,2]</w:t>
            </w:r>
          </w:p>
        </w:tc>
      </w:tr>
      <w:tr>
        <w:tc>
          <w:tcPr/>
          <w:p>
            <w:pPr>
              <w:pStyle w:val="Compact"/>
            </w:pPr>
            <w:r>
              <w:rPr>
                <w:rFonts w:ascii="Calibri" w:hAnsi="Calibri"/>
                <w:sz w:val="20"/>
              </w:rPr>
              <w:t xml:space="preserve">Sin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pPr>
            <w:r>
              <w:rPr>
                <w:rFonts w:ascii="Calibri" w:hAnsi="Calibri"/>
                <w:sz w:val="20"/>
              </w:rPr>
              <w:t xml:space="preserve">23,7% [16,8; 26,6]</w:t>
            </w:r>
          </w:p>
        </w:tc>
        <w:tc>
          <w:tcPr/>
          <w:p>
            <w:pPr>
              <w:pStyle w:val="Compact"/>
            </w:pPr>
            <w:r>
              <w:rPr>
                <w:rFonts w:ascii="Calibri" w:hAnsi="Calibri"/>
                <w:sz w:val="20"/>
              </w:rPr>
              <w:t xml:space="preserve">19,2% [12,8; 22,7]</w:t>
            </w:r>
          </w:p>
        </w:tc>
        <w:tc>
          <w:tcPr/>
          <w:p>
            <w:pPr>
              <w:pStyle w:val="Compact"/>
            </w:pPr>
            <w:r>
              <w:rPr>
                <w:rFonts w:ascii="Calibri" w:hAnsi="Calibri"/>
                <w:sz w:val="20"/>
              </w:rPr>
              <w:t xml:space="preserve">32,5</w:t>
            </w:r>
          </w:p>
        </w:tc>
        <w:tc>
          <w:tcPr/>
          <w:p>
            <w:pPr>
              <w:pStyle w:val="Compact"/>
            </w:pPr>
            <w:r>
              <w:rPr>
                <w:rFonts w:ascii="Calibri" w:hAnsi="Calibri"/>
                <w:sz w:val="20"/>
              </w:rPr>
              <w:t xml:space="preserve">20,1 [-16,2; 87,5]</w:t>
            </w:r>
          </w:p>
        </w:tc>
      </w:tr>
      <w:tr>
        <w:tc>
          <w:tcPr/>
          <w:p>
            <w:pPr>
              <w:pStyle w:val="Compact"/>
            </w:pPr>
            <w:r>
              <w:rPr>
                <w:rFonts w:ascii="Calibri" w:hAnsi="Calibri"/>
                <w:sz w:val="20"/>
              </w:rPr>
              <w:t xml:space="preserve">Muestra desde 2004</w:t>
            </w:r>
          </w:p>
        </w:tc>
        <w:tc>
          <w:tcPr/>
          <w:p>
            <w:pPr>
              <w:pStyle w:val="Compact"/>
            </w:pPr>
            <w:r>
              <w:rPr>
                <w:rFonts w:ascii="Calibri" w:hAnsi="Calibri"/>
                <w:sz w:val="20"/>
              </w:rPr>
              <w:t xml:space="preserve">24,8% [14,4; 25,8]</w:t>
            </w:r>
          </w:p>
        </w:tc>
        <w:tc>
          <w:tcPr/>
          <w:p>
            <w:pPr>
              <w:pStyle w:val="Compact"/>
            </w:pPr>
            <w:r>
              <w:rPr>
                <w:rFonts w:ascii="Calibri" w:hAnsi="Calibri"/>
                <w:sz w:val="20"/>
              </w:rPr>
              <w:t xml:space="preserve">27,5% [10,4; 26,8]</w:t>
            </w:r>
          </w:p>
        </w:tc>
        <w:tc>
          <w:tcPr/>
          <w:p>
            <w:pPr>
              <w:pStyle w:val="Compact"/>
            </w:pPr>
            <w:r>
              <w:rPr>
                <w:rFonts w:ascii="Calibri" w:hAnsi="Calibri"/>
                <w:sz w:val="20"/>
              </w:rPr>
              <w:t xml:space="preserve">35,8</w:t>
            </w:r>
          </w:p>
        </w:tc>
        <w:tc>
          <w:tcPr/>
          <w:p>
            <w:pPr>
              <w:pStyle w:val="Compact"/>
            </w:pPr>
            <w:r>
              <w:rPr>
                <w:rFonts w:ascii="Calibri" w:hAnsi="Calibri"/>
                <w:sz w:val="20"/>
              </w:rPr>
              <w:t xml:space="preserve">-18,9 [-43,1; 91,9]</w:t>
            </w:r>
          </w:p>
        </w:tc>
      </w:tr>
      <w:tr>
        <w:tc>
          <w:tcPr/>
          <w:p>
            <w:pPr>
              <w:pStyle w:val="Compact"/>
            </w:pPr>
            <w:r>
              <w:rPr>
                <w:rFonts w:ascii="Calibri" w:hAnsi="Calibri"/>
                <w:sz w:val="20"/>
              </w:rPr>
              <w:t xml:space="preserve">Resultado primario sin rentas de la propiedad</w:t>
            </w:r>
          </w:p>
        </w:tc>
        <w:tc>
          <w:tcPr/>
          <w:p>
            <w:pPr>
              <w:pStyle w:val="Compact"/>
            </w:pPr>
            <w:r>
              <w:rPr>
                <w:rFonts w:ascii="Calibri" w:hAnsi="Calibri"/>
                <w:sz w:val="20"/>
              </w:rPr>
              <w:t xml:space="preserve">23,4% [18,9; 27,8]</w:t>
            </w:r>
          </w:p>
        </w:tc>
        <w:tc>
          <w:tcPr/>
          <w:p>
            <w:pPr>
              <w:pStyle w:val="Compact"/>
            </w:pPr>
            <w:r>
              <w:rPr>
                <w:rFonts w:ascii="Calibri" w:hAnsi="Calibri"/>
                <w:sz w:val="20"/>
              </w:rPr>
              <w:t xml:space="preserve">19,6% [13,4; 22,2]</w:t>
            </w:r>
          </w:p>
        </w:tc>
        <w:tc>
          <w:tcPr/>
          <w:p>
            <w:pPr>
              <w:pStyle w:val="Compact"/>
            </w:pPr>
            <w:r>
              <w:rPr>
                <w:rFonts w:ascii="Calibri" w:hAnsi="Calibri"/>
                <w:sz w:val="20"/>
              </w:rPr>
              <w:t xml:space="preserve">22,9</w:t>
            </w:r>
          </w:p>
        </w:tc>
        <w:tc>
          <w:tcPr/>
          <w:p>
            <w:pPr>
              <w:pStyle w:val="Compact"/>
            </w:pPr>
            <w:r>
              <w:rPr>
                <w:rFonts w:ascii="Calibri" w:hAnsi="Calibri"/>
                <w:sz w:val="20"/>
              </w:rPr>
              <w:t xml:space="preserve">-12,2 [-50,7; 57,3]</w:t>
            </w:r>
          </w:p>
        </w:tc>
      </w:tr>
      <w:tr>
        <w:tc>
          <w:tcPr/>
          <w:p>
            <w:pPr>
              <w:pStyle w:val="Compact"/>
            </w:pPr>
            <w:r>
              <w:rPr>
                <w:rFonts w:ascii="Calibri" w:hAnsi="Calibri"/>
                <w:sz w:val="20"/>
              </w:rPr>
              <w:t xml:space="preserve">Ajuste stock-flujo en cero</w:t>
            </w:r>
          </w:p>
        </w:tc>
        <w:tc>
          <w:tcPr/>
          <w:p>
            <w:pPr>
              <w:pStyle w:val="Compact"/>
            </w:pPr>
            <w:r>
              <w:rPr>
                <w:rFonts w:ascii="Calibri" w:hAnsi="Calibri"/>
                <w:sz w:val="20"/>
              </w:rPr>
              <w:t xml:space="preserve">22,0% [15,9; 24,1]</w:t>
            </w:r>
          </w:p>
        </w:tc>
        <w:tc>
          <w:tcPr/>
          <w:p>
            <w:pPr>
              <w:pStyle w:val="Compact"/>
            </w:pPr>
            <w:r>
              <w:rPr>
                <w:rFonts w:ascii="Calibri" w:hAnsi="Calibri"/>
                <w:sz w:val="20"/>
              </w:rPr>
              <w:t xml:space="preserve">18,9% [9,4; 20,6]</w:t>
            </w:r>
          </w:p>
        </w:tc>
        <w:tc>
          <w:tcPr/>
          <w:p>
            <w:pPr>
              <w:pStyle w:val="Compact"/>
            </w:pPr>
            <w:r>
              <w:rPr>
                <w:rFonts w:ascii="Calibri" w:hAnsi="Calibri"/>
                <w:sz w:val="20"/>
              </w:rPr>
              <w:t xml:space="preserve">33,4</w:t>
            </w:r>
          </w:p>
        </w:tc>
        <w:tc>
          <w:tcPr/>
          <w:p>
            <w:pPr>
              <w:pStyle w:val="Compact"/>
            </w:pPr>
            <w:r>
              <w:rPr>
                <w:rFonts w:ascii="Calibri" w:hAnsi="Calibri"/>
                <w:sz w:val="20"/>
              </w:rPr>
              <w:t xml:space="preserve">27,8 [-15,0; 88,1]</w:t>
            </w:r>
          </w:p>
        </w:tc>
      </w:tr>
      <w:tr>
        <w:tc>
          <w:tcPr/>
          <w:p>
            <w:pPr>
              <w:pStyle w:val="Compact"/>
            </w:pPr>
            <w:r>
              <w:rPr>
                <w:rFonts w:ascii="Calibri" w:hAnsi="Calibri"/>
                <w:sz w:val="20"/>
              </w:rPr>
              <w:t xml:space="preserve">λ = 0,15</w:t>
            </w:r>
          </w:p>
        </w:tc>
        <w:tc>
          <w:tcPr/>
          <w:p>
            <w:pPr>
              <w:pStyle w:val="Compact"/>
            </w:pPr>
            <w:r>
              <w:rPr>
                <w:rFonts w:ascii="Calibri" w:hAnsi="Calibri"/>
                <w:sz w:val="20"/>
              </w:rPr>
              <w:t xml:space="preserve">25,6% [19,0; 27,5]</w:t>
            </w:r>
          </w:p>
        </w:tc>
        <w:tc>
          <w:tcPr/>
          <w:p>
            <w:pPr>
              <w:pStyle w:val="Compact"/>
            </w:pPr>
            <w:r>
              <w:rPr>
                <w:rFonts w:ascii="Calibri" w:hAnsi="Calibri"/>
                <w:sz w:val="20"/>
              </w:rPr>
              <w:t xml:space="preserve">20,7% [14,5; 23,4]</w:t>
            </w:r>
          </w:p>
        </w:tc>
        <w:tc>
          <w:tcPr/>
          <w:p>
            <w:pPr>
              <w:pStyle w:val="Compact"/>
            </w:pPr>
            <w:r>
              <w:rPr>
                <w:rFonts w:ascii="Calibri" w:hAnsi="Calibri"/>
                <w:sz w:val="20"/>
              </w:rPr>
              <w:t xml:space="preserve">32,4</w:t>
            </w:r>
          </w:p>
        </w:tc>
        <w:tc>
          <w:tcPr/>
          <w:p>
            <w:pPr>
              <w:pStyle w:val="Compact"/>
            </w:pPr>
            <w:r>
              <w:rPr>
                <w:rFonts w:ascii="Calibri" w:hAnsi="Calibri"/>
                <w:sz w:val="20"/>
              </w:rPr>
              <w:t xml:space="preserve">31,6 [-6,9; 89,2]</w:t>
            </w:r>
          </w:p>
        </w:tc>
      </w:tr>
      <w:tr>
        <w:tc>
          <w:tcPr/>
          <w:p>
            <w:pPr>
              <w:pStyle w:val="Compact"/>
            </w:pPr>
            <w:r>
              <w:rPr>
                <w:rFonts w:ascii="Calibri" w:hAnsi="Calibri"/>
                <w:sz w:val="20"/>
              </w:rPr>
              <w:t xml:space="preserve">λ = 0,40</w:t>
            </w:r>
          </w:p>
        </w:tc>
        <w:tc>
          <w:tcPr/>
          <w:p>
            <w:pPr>
              <w:pStyle w:val="Compact"/>
            </w:pPr>
            <w:r>
              <w:rPr>
                <w:rFonts w:ascii="Calibri" w:hAnsi="Calibri"/>
                <w:sz w:val="20"/>
              </w:rPr>
              <w:t xml:space="preserve">25,8% [19,3; 27,5]</w:t>
            </w:r>
          </w:p>
        </w:tc>
        <w:tc>
          <w:tcPr/>
          <w:p>
            <w:pPr>
              <w:pStyle w:val="Compact"/>
            </w:pPr>
            <w:r>
              <w:rPr>
                <w:rFonts w:ascii="Calibri" w:hAnsi="Calibri"/>
                <w:sz w:val="20"/>
              </w:rPr>
              <w:t xml:space="preserve">24,9% [15,6; 25,6]</w:t>
            </w:r>
          </w:p>
        </w:tc>
        <w:tc>
          <w:tcPr/>
          <w:p>
            <w:pPr>
              <w:pStyle w:val="Compact"/>
            </w:pPr>
            <w:r>
              <w:rPr>
                <w:rFonts w:ascii="Calibri" w:hAnsi="Calibri"/>
                <w:sz w:val="20"/>
              </w:rPr>
              <w:t xml:space="preserve">37,8</w:t>
            </w:r>
          </w:p>
        </w:tc>
        <w:tc>
          <w:tcPr/>
          <w:p>
            <w:pPr>
              <w:pStyle w:val="Compact"/>
            </w:pPr>
            <w:r>
              <w:rPr>
                <w:rFonts w:ascii="Calibri" w:hAnsi="Calibri"/>
                <w:sz w:val="20"/>
              </w:rPr>
              <w:t xml:space="preserve">38,0 [-3,4; 92,3]</w:t>
            </w:r>
          </w:p>
        </w:tc>
      </w:tr>
      <w:tr>
        <w:tc>
          <w:tcPr/>
          <w:p>
            <w:pPr>
              <w:pStyle w:val="Compact"/>
            </w:pPr>
            <w:r>
              <w:rPr>
                <w:rFonts w:ascii="Calibri" w:hAnsi="Calibri"/>
                <w:sz w:val="20"/>
              </w:rPr>
              <w:t xml:space="preserve">Punto de partida 52,1% (deuda del FMI)</w:t>
            </w:r>
          </w:p>
        </w:tc>
        <w:tc>
          <w:tcPr/>
          <w:p>
            <w:pPr>
              <w:pStyle w:val="Compact"/>
            </w:pPr>
            <w:r>
              <w:rPr>
                <w:rFonts w:ascii="Calibri" w:hAnsi="Calibri"/>
                <w:sz w:val="20"/>
              </w:rPr>
              <w:t xml:space="preserve">22,8% [16,9; 24,7]</w:t>
            </w:r>
          </w:p>
        </w:tc>
        <w:tc>
          <w:tcPr/>
          <w:p>
            <w:pPr>
              <w:pStyle w:val="Compact"/>
            </w:pPr>
            <w:r>
              <w:rPr>
                <w:rFonts w:ascii="Calibri" w:hAnsi="Calibri"/>
                <w:sz w:val="20"/>
              </w:rPr>
              <w:t xml:space="preserve">20,9% [12,0; 21,9]</w:t>
            </w:r>
          </w:p>
        </w:tc>
        <w:tc>
          <w:tcPr/>
          <w:p>
            <w:pPr>
              <w:pStyle w:val="Compact"/>
            </w:pPr>
            <w:r>
              <w:rPr>
                <w:rFonts w:ascii="Calibri" w:hAnsi="Calibri"/>
                <w:sz w:val="20"/>
              </w:rPr>
              <w:t xml:space="preserve">34,0</w:t>
            </w:r>
          </w:p>
        </w:tc>
        <w:tc>
          <w:tcPr/>
          <w:p>
            <w:pPr>
              <w:pStyle w:val="Compact"/>
            </w:pPr>
            <w:r>
              <w:rPr>
                <w:rFonts w:ascii="Calibri" w:hAnsi="Calibri"/>
                <w:sz w:val="20"/>
              </w:rPr>
              <w:t xml:space="preserve">30,2 [-12,1; 88,9]</w:t>
            </w:r>
          </w:p>
        </w:tc>
      </w:tr>
      <w:tr>
        <w:tc>
          <w:tcPr/>
          <w:p>
            <w:pPr>
              <w:pStyle w:val="Compact"/>
            </w:pPr>
            <w:r>
              <w:rPr>
                <w:rFonts w:ascii="Calibri" w:hAnsi="Calibri"/>
                <w:sz w:val="20"/>
              </w:rPr>
              <w:t xml:space="preserve">Escenario del FMI de 2025</w:t>
            </w:r>
          </w:p>
        </w:tc>
        <w:tc>
          <w:tcPr/>
          <w:p>
            <w:pPr>
              <w:pStyle w:val="Compact"/>
            </w:pPr>
            <w:r>
              <w:rPr>
                <w:rFonts w:ascii="Calibri" w:hAnsi="Calibri"/>
                <w:sz w:val="20"/>
              </w:rPr>
              <w:t xml:space="preserve">23,4% [17,1; 25,5]</w:t>
            </w:r>
          </w:p>
        </w:tc>
        <w:tc>
          <w:tcPr/>
          <w:p>
            <w:pPr>
              <w:pStyle w:val="Compact"/>
            </w:pPr>
            <w:r>
              <w:rPr>
                <w:rFonts w:ascii="Calibri" w:hAnsi="Calibri"/>
                <w:sz w:val="20"/>
              </w:rPr>
              <w:t xml:space="preserve">20,4% [13,1; 22,0]</w:t>
            </w:r>
          </w:p>
        </w:tc>
        <w:tc>
          <w:tcPr/>
          <w:p>
            <w:pPr>
              <w:pStyle w:val="Compact"/>
            </w:pPr>
            <w:r>
              <w:rPr>
                <w:rFonts w:ascii="Calibri" w:hAnsi="Calibri"/>
                <w:sz w:val="20"/>
              </w:rPr>
              <w:t xml:space="preserve">34,1</w:t>
            </w:r>
          </w:p>
        </w:tc>
        <w:tc>
          <w:tcPr/>
          <w:p>
            <w:pPr>
              <w:pStyle w:val="Compact"/>
            </w:pPr>
            <w:r>
              <w:rPr>
                <w:rFonts w:ascii="Calibri" w:hAnsi="Calibri"/>
                <w:sz w:val="20"/>
              </w:rPr>
              <w:t xml:space="preserve">34,8 [-5,1; 89,9]</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neta</w:t>
            </w:r>
          </w:p>
        </w:tc>
        <w:tc>
          <w:tcPr/>
          <w:p>
            <w:pPr>
              <w:pStyle w:val="Compact"/>
            </w:pPr>
            <w:r>
              <w:rPr>
                <w:rFonts w:ascii="Calibri" w:hAnsi="Calibri"/>
                <w:sz w:val="20"/>
              </w:rPr>
              <w:t xml:space="preserve">23,7%</w:t>
            </w:r>
          </w:p>
        </w:tc>
        <w:tc>
          <w:tcPr/>
          <w:p>
            <w:pPr>
              <w:pStyle w:val="Compact"/>
            </w:pPr>
            <w:r>
              <w:rPr>
                <w:rFonts w:ascii="Calibri" w:hAnsi="Calibri"/>
                <w:sz w:val="20"/>
              </w:rPr>
              <w:t xml:space="preserve">19,7%</w:t>
            </w:r>
          </w:p>
        </w:tc>
        <w:tc>
          <w:tcPr/>
          <w:p>
            <w:pPr>
              <w:pStyle w:val="Compact"/>
            </w:pPr>
            <w:r>
              <w:rPr>
                <w:rFonts w:ascii="Calibri" w:hAnsi="Calibri"/>
                <w:sz w:val="20"/>
              </w:rPr>
              <w:t xml:space="preserve">114,0</w:t>
            </w:r>
          </w:p>
        </w:tc>
        <w:tc>
          <w:tcPr/>
          <w:p>
            <w:pPr>
              <w:pStyle w:val="Compact"/>
            </w:pPr>
            <w:r>
              <w:rPr>
                <w:rFonts w:ascii="Calibri" w:hAnsi="Calibri"/>
                <w:sz w:val="20"/>
              </w:rPr>
              <w:t xml:space="preserve">no aplica</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bruta</w:t>
            </w:r>
          </w:p>
        </w:tc>
        <w:tc>
          <w:tcPr/>
          <w:p>
            <w:pPr>
              <w:pStyle w:val="Compact"/>
            </w:pPr>
            <w:r>
              <w:rPr>
                <w:rFonts w:ascii="Calibri" w:hAnsi="Calibri"/>
                <w:sz w:val="20"/>
              </w:rPr>
              <w:t xml:space="preserve">24,6%</w:t>
            </w:r>
          </w:p>
        </w:tc>
        <w:tc>
          <w:tcPr/>
          <w:p>
            <w:pPr>
              <w:pStyle w:val="Compact"/>
            </w:pPr>
            <w:r>
              <w:rPr>
                <w:rFonts w:ascii="Calibri" w:hAnsi="Calibri"/>
                <w:sz w:val="20"/>
              </w:rPr>
              <w:t xml:space="preserve">21,3%</w:t>
            </w:r>
          </w:p>
        </w:tc>
        <w:tc>
          <w:tcPr/>
          <w:p>
            <w:pPr>
              <w:pStyle w:val="Compact"/>
            </w:pPr>
            <w:r>
              <w:rPr>
                <w:rFonts w:ascii="Calibri" w:hAnsi="Calibri"/>
                <w:sz w:val="20"/>
              </w:rPr>
              <w:t xml:space="preserve">143,2</w:t>
            </w:r>
          </w:p>
        </w:tc>
        <w:tc>
          <w:tcPr/>
          <w:p>
            <w:pPr>
              <w:pStyle w:val="Compact"/>
            </w:pPr>
            <w:r>
              <w:rPr>
                <w:rFonts w:ascii="Calibri" w:hAnsi="Calibri"/>
                <w:sz w:val="20"/>
              </w:rPr>
              <w:t xml:space="preserve">no aplica</w:t>
            </w:r>
          </w:p>
        </w:tc>
      </w:tr>
      <w:tr>
        <w:tc>
          <w:tcPr/>
          <w:p>
            <w:pPr>
              <w:pStyle w:val="Compact"/>
            </w:pPr>
            <w:r>
              <w:rPr>
                <w:rFonts w:ascii="Calibri" w:hAnsi="Calibri"/>
                <w:sz w:val="20"/>
              </w:rPr>
              <w:t xml:space="preserve">FMI (2026), deuda federal bruta</w:t>
            </w:r>
          </w:p>
        </w:tc>
        <w:tc>
          <w:tcPr/>
          <w:p>
            <w:pPr>
              <w:pStyle w:val="Compact"/>
            </w:pPr>
            <w:r>
              <w:rPr>
                <w:rFonts w:ascii="Calibri" w:hAnsi="Calibri"/>
                <w:sz w:val="20"/>
              </w:rPr>
              <w:t xml:space="preserve">1,0%</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71,5</w:t>
            </w:r>
          </w:p>
        </w:tc>
        <w:tc>
          <w:tcPr/>
          <w:p>
            <w:pPr>
              <w:pStyle w:val="Compact"/>
            </w:pPr>
            <w:r>
              <w:rPr>
                <w:rFonts w:ascii="Calibri" w:hAnsi="Calibri"/>
                <w:sz w:val="20"/>
              </w:rPr>
              <w:t xml:space="preserve">no aplica</w:t>
            </w:r>
          </w:p>
        </w:tc>
      </w:tr>
    </w:tbl>
    <w:p>
      <w:pPr>
        <w:pStyle w:val="BodyText"/>
      </w:pPr>
      <w:r>
        <w:t xml:space="preserve">Fuente: elaboración propia. Entre corchetes, intervalos de 90%. Las filas a la manera del FMI no tienen intervalo porque ese procedimiento no estima parámetros.</w:t>
      </w:r>
    </w:p>
    <w:p>
      <w:pPr>
        <w:pStyle w:val="BodyText"/>
      </w:pPr>
      <w:r>
        <w:rPr>
          <w:b/>
          <w:bCs/>
        </w:rPr>
        <w:t xml:space="preserve">H1b es robusta.</w:t>
      </w:r>
      <w:r>
        <w:t xml:space="preserve"> </w:t>
      </w:r>
      <w:r>
        <w:t xml:space="preserve">En todas las especificaciones, la probabilidad de no estabilización supera con holgura los umbrales del FMI en los dos horizontes. El valor más bajo, con el ajuste stock-flujo en cero, tiene un límite inferior de 9,4% en 2035. Partir de la deuda consolidada neta del FMI (52,1% del PIB), que descuenta las tenencias del FGS, apenas reduce la probabilidad (22,8% en 2031). Tampoco cambia el resultado restar del remuestreo los</w:t>
      </w:r>
      <w:r>
        <w:t xml:space="preserve"> </w:t>
      </w:r>
      <w:r>
        <w:rPr>
          <w:i/>
          <w:iCs/>
        </w:rPr>
        <w:t xml:space="preserve">shocks</w:t>
      </w:r>
      <w:r>
        <w:t xml:space="preserve"> </w:t>
      </w:r>
      <w:r>
        <w:t xml:space="preserve">del período de cesación de pagos y canje, usar el escenario del FMI de 2025 o medir solo la deuda del Tesoro.</w:t>
      </w:r>
    </w:p>
    <w:p>
      <w:pPr>
        <w:pStyle w:val="BodyText"/>
      </w:pPr>
      <w:r>
        <w:rPr>
          <w:b/>
          <w:bCs/>
        </w:rPr>
        <w:t xml:space="preserve">El perímetro no cambia los resultados.</w:t>
      </w:r>
      <w:r>
        <w:t xml:space="preserve"> </w:t>
      </w:r>
      <w:r>
        <w:t xml:space="preserve">Con la deuda bruta del Tesoro, sin el BCRA, las probabilidades (27,3% y 23,5%) son casi iguales a las de la deuda consolidada. El argumento de la sección 2.9, según el cual omitir al BCRA podía subestimar la sensibilidad de la deuda, no encuentra respaldo en la simulación: el aporte de la consolidación es de medición del nivel, no de la dinámica.</w:t>
      </w:r>
    </w:p>
    <w:p>
      <w:pPr>
        <w:pStyle w:val="BodyText"/>
      </w:pPr>
      <w:r>
        <w:rPr>
          <w:b/>
          <w:bCs/>
        </w:rPr>
        <w:t xml:space="preserve">La descomposición de la varianza no es robusta.</w:t>
      </w:r>
      <w:r>
        <w:t xml:space="preserve"> </w:t>
      </w:r>
      <w:r>
        <w:t xml:space="preserve">La diferencia entre los</w:t>
      </w:r>
      <w:r>
        <w:t xml:space="preserve"> </w:t>
      </w:r>
      <w:r>
        <w:rPr>
          <w:i/>
          <w:iCs/>
        </w:rPr>
        <w:t xml:space="preserve">shocks</w:t>
      </w:r>
      <w:r>
        <w:t xml:space="preserve"> </w:t>
      </w:r>
      <w:r>
        <w:t xml:space="preserve">no fiscales y el fiscal es positiva en la mayoría de las especificaciones, pero su intervalo solo excluye el cero con dos rezagos, con una elasticidad cíclica de 0,5 y con el ordenamiento de Cholesky que pone último al resultado primario. Se vuelve negativa con la muestra desde 2004 y con el resultado primario sin rentas de la propiedad. La identificación del</w:t>
      </w:r>
      <w:r>
        <w:t xml:space="preserve"> </w:t>
      </w:r>
      <w:r>
        <w:rPr>
          <w:i/>
          <w:iCs/>
        </w:rPr>
        <w:t xml:space="preserve">shock</w:t>
      </w:r>
      <w:r>
        <w:t xml:space="preserve"> </w:t>
      </w:r>
      <w:r>
        <w:t xml:space="preserve">fiscal determina cuánto de la varianza se le atribuye. Por eso el contraste de H1a descansa en la suficiencia del superávit (sección 6.3), que no depende de la identificación, y no en la descomposición.</w:t>
      </w:r>
    </w:p>
    <w:p>
      <w:pPr>
        <w:pStyle w:val="BodyText"/>
      </w:pPr>
      <w:r>
        <w:rPr>
          <w:b/>
          <w:bCs/>
        </w:rPr>
        <w:t xml:space="preserve">H2 es frágil.</w:t>
      </w:r>
      <w:r>
        <w:t xml:space="preserve"> </w:t>
      </w:r>
      <w:r>
        <w:t xml:space="preserve">El efecto de la senda de 2022-2025 sobre la probabilidad en 2035 excluye el cero en la mayoría de las especificaciones, pero no con el canal de tasas en pesos ni con el resultado primario sin rentas. El efecto sobre la deuda esperada no excluye el cero en ninguna.</w:t>
      </w:r>
    </w:p>
    <w:p>
      <w:pPr>
        <w:pStyle w:val="BodyText"/>
      </w:pPr>
      <w:r>
        <w:t xml:space="preserve">La Figura 6.4 resume la tabla para H1b.</w:t>
      </w:r>
    </w:p>
    <w:p>
      <w:pPr>
        <w:pStyle w:val="CaptionedFigure"/>
      </w:pPr>
      <w:r>
        <w:drawing>
          <wp:inline>
            <wp:extent cx="5334000" cy="2667000"/>
            <wp:effectExtent b="0" l="0" r="0" t="0"/>
            <wp:docPr descr="Figura 6.4. Probabilidad de no estabilización por especificación. Estimaciones centrales en 2031 y 2035, con intervalos de 90%, y los umbrales del FMI (2026): 1% a mediano plazo y menos de 3% a diez años. La variante a la manera del FMI no tiene intervalo porque no estima parámetros." title="" id="96" name="Picture"/>
            <a:graphic>
              <a:graphicData uri="http://schemas.openxmlformats.org/drawingml/2006/picture">
                <pic:pic>
                  <pic:nvPicPr>
                    <pic:cNvPr descr="../tesis/figuras/fig6_4_probabilidad_no_estabilizacion.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6.4. Probabilidad de no estabilización por especificación. Estimaciones centrales en 2031 y 2035, con intervalos de 90%, y los umbrales del FMI (2026): 1% a mediano plazo y menos de 3% a diez años. La variante a la manera del FMI no tiene intervalo porque no estima parámetros.</w:t>
      </w:r>
    </w:p>
    <w:bookmarkEnd w:id="98"/>
    <w:bookmarkEnd w:id="99"/>
    <w:bookmarkStart w:id="112" w:name="discusión"/>
    <w:p>
      <w:pPr>
        <w:pStyle w:val="Heading1"/>
      </w:pPr>
      <w:r>
        <w:t xml:space="preserve">7. Discusión</w:t>
      </w:r>
    </w:p>
    <w:bookmarkStart w:id="100" w:name="Xd2bfaf14c1e57bc7fc44159cc760bdc22586e66"/>
    <w:p>
      <w:pPr>
        <w:pStyle w:val="Heading2"/>
      </w:pPr>
      <w:r>
        <w:t xml:space="preserve">7.1 Qué cambia respecto del diagnóstico del FMI</w:t>
      </w:r>
    </w:p>
    <w:p>
      <w:pPr>
        <w:pStyle w:val="FirstParagraph"/>
      </w:pPr>
      <w:r>
        <w:t xml:space="preserve">El FMI (2026) concluye que la deuda argentina es sostenible pero no con alta probabilidad, y estima en alrededor de 99% la probabilidad de que se estabilice en el mediano plazo. Con el mismo escenario base, esta tesis estima una probabilidad de no estabilización de 25,2% en 2031, con un intervalo de 19,0% a 27,7%. La diferencia no viene de supuestos más pesimistas sobre crecimiento, superávit o tasas, porque el escenario es el mismo. Tampoco se la puede atribuir a una causa única. Las robusteces del Capítulo 6 descartan algunas: no la explican el perímetro (con la deuda del Tesoro sola la probabilidad es casi igual), ni el punto de partida (partiendo de la deuda consolidada neta del FMI baja a 22,8%), ni la identificación de los</w:t>
      </w:r>
      <w:r>
        <w:t xml:space="preserve"> </w:t>
      </w:r>
      <w:r>
        <w:rPr>
          <w:i/>
          <w:iCs/>
        </w:rPr>
        <w:t xml:space="preserve">shocks</w:t>
      </w:r>
      <w:r>
        <w:t xml:space="preserve">, que no altera la probabilidad. Con el procedimiento de</w:t>
      </w:r>
      <w:r>
        <w:t xml:space="preserve"> </w:t>
      </w:r>
      <w:r>
        <w:rPr>
          <w:i/>
          <w:iCs/>
        </w:rPr>
        <w:t xml:space="preserve">shocks</w:t>
      </w:r>
      <w:r>
        <w:t xml:space="preserve"> </w:t>
      </w:r>
      <w:r>
        <w:t xml:space="preserve">del propio FMI aplicado a los mismos datos, la probabilidad es de 23,7%, del mismo orden que la del SVARX. La diferencia con el 1% del FMI, entonces, no depende del método de esta tesis. Proviene de los datos históricos con los que se generan los</w:t>
      </w:r>
      <w:r>
        <w:t xml:space="preserve"> </w:t>
      </w:r>
      <w:r>
        <w:rPr>
          <w:i/>
          <w:iCs/>
        </w:rPr>
        <w:t xml:space="preserve">shocks</w:t>
      </w:r>
      <w:r>
        <w:t xml:space="preserve">, que el FMI no publica para Argentina, y de cómo esa historia se proyecta sobre el escenario base. Lo que la tesis puede afirmar es que, con las series argentinas de 1996-2025 y con cualquiera de los dos procedimientos, la probabilidad de no estabilización es un orden de magnitud mayor que la que informa el FMI.</w:t>
      </w:r>
    </w:p>
    <w:p>
      <w:pPr>
        <w:pStyle w:val="BodyText"/>
      </w:pPr>
      <w:r>
        <w:t xml:space="preserve">A diez años, la probabilidad es algo menor (22,3%) pero sigue muy por encima del umbral. La métrica del FMI pregunta si el ajuste del escenario base alcanza para poner la deuda en una senda descendente (FMI, 2021, anexo VI, nota 9). En una de cada cuatro o cinco trayectorias, ese ajuste no alcanza, incluso diez años después.</w:t>
      </w:r>
    </w:p>
    <w:bookmarkEnd w:id="100"/>
    <w:bookmarkStart w:id="107" w:name="X296fb36fe1945ef431d31692b730d7f1c364e24"/>
    <w:p>
      <w:pPr>
        <w:pStyle w:val="Heading2"/>
      </w:pPr>
      <w:r>
        <w:t xml:space="preserve">7.2 Por qué el abanico es más angosto y, aun así, la probabilidad es mayor</w:t>
      </w:r>
    </w:p>
    <w:p>
      <w:pPr>
        <w:pStyle w:val="FirstParagraph"/>
      </w:pPr>
      <w:r>
        <w:t xml:space="preserve">El ancho del abanico de esta tesis en 2031 es de 35,3 puntos del PIB, contra 71,5 del FMI. Parte de la diferencia es de escala: la deuda de partida es 61,0% en un caso y 80,3% en el otro, y en proporción a ella los anchos son de 0,58 y 0,89. La variante con</w:t>
      </w:r>
      <w:r>
        <w:t xml:space="preserve"> </w:t>
      </w:r>
      <w:r>
        <w:rPr>
          <w:i/>
          <w:iCs/>
        </w:rPr>
        <w:t xml:space="preserve">shocks</w:t>
      </w:r>
      <w:r>
        <w:t xml:space="preserve"> </w:t>
      </w:r>
      <w:r>
        <w:t xml:space="preserve">a la manera del FMI (sección 6.6) permite separar el resto, porque usa los mismos datos, la misma identidad y la misma métrica, y cambia solo la forma de generar los</w:t>
      </w:r>
      <w:r>
        <w:t xml:space="preserve"> </w:t>
      </w:r>
      <w:r>
        <w:rPr>
          <w:i/>
          <w:iCs/>
        </w:rPr>
        <w:t xml:space="preserve">shocks</w:t>
      </w:r>
      <w:r>
        <w:t xml:space="preserve">. Con ella, el ancho es de 114 puntos (Figura 7.1). El ancho depende, entonces, de cómo se generan los</w:t>
      </w:r>
      <w:r>
        <w:t xml:space="preserve"> </w:t>
      </w:r>
      <w:r>
        <w:rPr>
          <w:i/>
          <w:iCs/>
        </w:rPr>
        <w:t xml:space="preserve">shocks</w:t>
      </w:r>
      <w:r>
        <w:t xml:space="preserve">, y no del perímetro: con el SVARX, la deuda bruta y la neta dan anchos casi iguales.</w:t>
      </w:r>
    </w:p>
    <w:p>
      <w:pPr>
        <w:pStyle w:val="CaptionedFigure"/>
      </w:pPr>
      <w:r>
        <w:drawing>
          <wp:inline>
            <wp:extent cx="5334000" cy="2895600"/>
            <wp:effectExtent b="0" l="0" r="0" t="0"/>
            <wp:docPr descr="Figura 7.1. Abanicos con shocks del SVARX y con shocks a la manera del FMI. Deuda consolidada neta simulada, percentiles 5 y 95 y mediana (% del PIB). Los shocks a la manera del FMI son bloques de dos años de desvíos históricos, 1997-2025." title="" id="102" name="Picture"/>
            <a:graphic>
              <a:graphicData uri="http://schemas.openxmlformats.org/drawingml/2006/picture">
                <pic:pic>
                  <pic:nvPicPr>
                    <pic:cNvPr descr="../tesis/figuras/fig7_1_abanico_svarx_vs_fmi.png" id="103" name="Picture"/>
                    <pic:cNvPicPr>
                      <a:picLocks noChangeArrowheads="1" noChangeAspect="1"/>
                    </pic:cNvPicPr>
                  </pic:nvPicPr>
                  <pic:blipFill>
                    <a:blip r:embed="rId101"/>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
          <w:iCs/>
        </w:rPr>
        <w:t xml:space="preserve">shocks</w:t>
      </w:r>
      <w:r>
        <w:t xml:space="preserve"> </w:t>
      </w:r>
      <w:r>
        <w:t xml:space="preserve">del SVARX y con</w:t>
      </w:r>
      <w:r>
        <w:t xml:space="preserve"> </w:t>
      </w:r>
      <w:r>
        <w:rPr>
          <w:i/>
          <w:iCs/>
        </w:rPr>
        <w:t xml:space="preserve">shocks</w:t>
      </w:r>
      <w:r>
        <w:t xml:space="preserve"> </w:t>
      </w:r>
      <w:r>
        <w:t xml:space="preserve">a la manera del FMI. Deuda consolidada neta simulada, percentiles 5 y 95 y mediana (% del PIB). Los</w:t>
      </w:r>
      <w:r>
        <w:t xml:space="preserve"> </w:t>
      </w:r>
      <w:r>
        <w:rPr>
          <w:i/>
          <w:iCs/>
        </w:rPr>
        <w:t xml:space="preserve">shocks</w:t>
      </w:r>
      <w:r>
        <w:t xml:space="preserve"> </w:t>
      </w:r>
      <w:r>
        <w:t xml:space="preserve">a la manera del FMI son bloques de dos años de desvíos históricos, 1997-2025.</w:t>
      </w:r>
    </w:p>
    <w:p>
      <w:pPr>
        <w:pStyle w:val="BodyText"/>
      </w:pPr>
      <w:r>
        <w:rPr>
          <w:b/>
          <w:bCs/>
        </w:rPr>
        <w:t xml:space="preserve">Qué ensancha el abanico del procedimiento del FMI.</w:t>
      </w:r>
      <w:r>
        <w:t xml:space="preserve"> </w:t>
      </w:r>
      <w:r>
        <w:t xml:space="preserve">La Tabla 7.1 repite esa variante quitando el año 2002 o fijando cada impulsor en su media histórica.</w:t>
      </w:r>
    </w:p>
    <w:p>
      <w:pPr>
        <w:pStyle w:val="BodyText"/>
      </w:pPr>
      <w:r>
        <w:rPr>
          <w:b/>
          <w:bCs/>
        </w:rPr>
        <w:t xml:space="preserve">Tabla 7.1. Diagnóstico de la variante con</w:t>
      </w:r>
      <w:r>
        <w:rPr>
          <w:b/>
          <w:bCs/>
        </w:rPr>
        <w:t xml:space="preserve"> </w:t>
      </w:r>
      <w:r>
        <w:rPr>
          <w:b/>
          <w:bCs/>
          <w:i/>
          <w:iCs/>
        </w:rPr>
        <w:t xml:space="preserve">shocks</w:t>
      </w:r>
      <w:r>
        <w:rPr>
          <w:b/>
          <w:bCs/>
        </w:rPr>
        <w:t xml:space="preserve"> </w:t>
      </w:r>
      <w:r>
        <w:rPr>
          <w:b/>
          <w:bCs/>
        </w:rPr>
        <w:t xml:space="preserve">a la manera del FMI (deuda neta)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2031</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2031</w:t>
            </w:r>
          </w:p>
        </w:tc>
      </w:tr>
      <w:tr>
        <w:tc>
          <w:tcPr/>
          <w:p>
            <w:pPr>
              <w:pStyle w:val="Compact"/>
            </w:pPr>
            <w:r>
              <w:rPr>
                <w:rFonts w:ascii="Calibri" w:hAnsi="Calibri"/>
                <w:sz w:val="20"/>
              </w:rPr>
              <w:t xml:space="preserve">Todos los años, 1997-2025</w:t>
            </w:r>
          </w:p>
        </w:tc>
        <w:tc>
          <w:tcPr/>
          <w:p>
            <w:pPr>
              <w:pStyle w:val="Compact"/>
            </w:pPr>
            <w:r>
              <w:rPr>
                <w:rFonts w:ascii="Calibri" w:hAnsi="Calibri"/>
                <w:sz w:val="20"/>
              </w:rPr>
              <w:t xml:space="preserve">23,7%</w:t>
            </w:r>
          </w:p>
        </w:tc>
        <w:tc>
          <w:tcPr/>
          <w:p>
            <w:pPr>
              <w:pStyle w:val="Compact"/>
            </w:pPr>
            <w:r>
              <w:rPr>
                <w:rFonts w:ascii="Calibri" w:hAnsi="Calibri"/>
                <w:sz w:val="20"/>
              </w:rPr>
              <w:t xml:space="preserve">19,7%</w:t>
            </w:r>
          </w:p>
        </w:tc>
        <w:tc>
          <w:tcPr/>
          <w:p>
            <w:pPr>
              <w:pStyle w:val="Compact"/>
            </w:pPr>
            <w:r>
              <w:rPr>
                <w:rFonts w:ascii="Calibri" w:hAnsi="Calibri"/>
                <w:sz w:val="20"/>
              </w:rPr>
              <w:t xml:space="preserve">114,0</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22,9%</w:t>
            </w:r>
          </w:p>
        </w:tc>
        <w:tc>
          <w:tcPr/>
          <w:p>
            <w:pPr>
              <w:pStyle w:val="Compact"/>
            </w:pPr>
            <w:r>
              <w:rPr>
                <w:rFonts w:ascii="Calibri" w:hAnsi="Calibri"/>
                <w:sz w:val="20"/>
              </w:rPr>
              <w:t xml:space="preserve">19,2%</w:t>
            </w:r>
          </w:p>
        </w:tc>
        <w:tc>
          <w:tcPr/>
          <w:p>
            <w:pPr>
              <w:pStyle w:val="Compact"/>
            </w:pPr>
            <w:r>
              <w:rPr>
                <w:rFonts w:ascii="Calibri" w:hAnsi="Calibri"/>
                <w:sz w:val="20"/>
              </w:rPr>
              <w:t xml:space="preserve">87,1</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21,3%</w:t>
            </w:r>
          </w:p>
        </w:tc>
        <w:tc>
          <w:tcPr/>
          <w:p>
            <w:pPr>
              <w:pStyle w:val="Compact"/>
            </w:pPr>
            <w:r>
              <w:rPr>
                <w:rFonts w:ascii="Calibri" w:hAnsi="Calibri"/>
                <w:sz w:val="20"/>
              </w:rPr>
              <w:t xml:space="preserve">18,1%</w:t>
            </w:r>
          </w:p>
        </w:tc>
        <w:tc>
          <w:tcPr/>
          <w:p>
            <w:pPr>
              <w:pStyle w:val="Compact"/>
            </w:pPr>
            <w:r>
              <w:rPr>
                <w:rFonts w:ascii="Calibri" w:hAnsi="Calibri"/>
                <w:sz w:val="20"/>
              </w:rPr>
              <w:t xml:space="preserve">92,0</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16,6%</w:t>
            </w:r>
          </w:p>
        </w:tc>
        <w:tc>
          <w:tcPr/>
          <w:p>
            <w:pPr>
              <w:pStyle w:val="Compact"/>
            </w:pPr>
            <w:r>
              <w:rPr>
                <w:rFonts w:ascii="Calibri" w:hAnsi="Calibri"/>
                <w:sz w:val="20"/>
              </w:rPr>
              <w:t xml:space="preserve">12,2%</w:t>
            </w:r>
          </w:p>
        </w:tc>
        <w:tc>
          <w:tcPr/>
          <w:p>
            <w:pPr>
              <w:pStyle w:val="Compact"/>
            </w:pPr>
            <w:r>
              <w:rPr>
                <w:rFonts w:ascii="Calibri" w:hAnsi="Calibri"/>
                <w:sz w:val="20"/>
              </w:rPr>
              <w:t xml:space="preserve">73,5</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27,4%</w:t>
            </w:r>
          </w:p>
        </w:tc>
        <w:tc>
          <w:tcPr/>
          <w:p>
            <w:pPr>
              <w:pStyle w:val="Compact"/>
            </w:pPr>
            <w:r>
              <w:rPr>
                <w:rFonts w:ascii="Calibri" w:hAnsi="Calibri"/>
                <w:sz w:val="20"/>
              </w:rPr>
              <w:t xml:space="preserve">20,7%</w:t>
            </w:r>
          </w:p>
        </w:tc>
        <w:tc>
          <w:tcPr/>
          <w:p>
            <w:pPr>
              <w:pStyle w:val="Compact"/>
            </w:pPr>
            <w:r>
              <w:rPr>
                <w:rFonts w:ascii="Calibri" w:hAnsi="Calibri"/>
                <w:sz w:val="20"/>
              </w:rPr>
              <w:t xml:space="preserve">98,4</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23,7%</w:t>
            </w:r>
          </w:p>
        </w:tc>
        <w:tc>
          <w:tcPr/>
          <w:p>
            <w:pPr>
              <w:pStyle w:val="Compact"/>
            </w:pPr>
            <w:r>
              <w:rPr>
                <w:rFonts w:ascii="Calibri" w:hAnsi="Calibri"/>
                <w:sz w:val="20"/>
              </w:rPr>
              <w:t xml:space="preserve">19,2%</w:t>
            </w:r>
          </w:p>
        </w:tc>
        <w:tc>
          <w:tcPr/>
          <w:p>
            <w:pPr>
              <w:pStyle w:val="Compact"/>
            </w:pPr>
            <w:r>
              <w:rPr>
                <w:rFonts w:ascii="Calibri" w:hAnsi="Calibri"/>
                <w:sz w:val="20"/>
              </w:rPr>
              <w:t xml:space="preserve">116,5</w:t>
            </w:r>
          </w:p>
        </w:tc>
      </w:tr>
    </w:tbl>
    <w:p>
      <w:pPr>
        <w:pStyle w:val="BodyText"/>
      </w:pPr>
      <w:r>
        <w:t xml:space="preserve">Fuente: elaboración propia. 20.000 trayectorias por variante.</w:t>
      </w:r>
    </w:p>
    <w:p>
      <w:pPr>
        <w:pStyle w:val="BodyText"/>
      </w:pPr>
      <w:r>
        <w:t xml:space="preserve">Un solo año, 2002, aporta casi un cuarto del ancho: la depreciación real de ese año (145%) aparece, con probabilidad uno en catorce, en cada bloque de dos años sorteado. La probabilidad de no estabilización depende sobre todo de la tasa real efectiva (Figura 7.2). Esa tasa pasó de valores positivos durante la convertibilidad (entre 6% y 9% en 1997-2001) a valores muy negativos con la inflación posterior (-56% en 2023 y -66% en 2024). El procedimiento del FMI mide los</w:t>
      </w:r>
      <w:r>
        <w:t xml:space="preserve"> </w:t>
      </w:r>
      <w:r>
        <w:rPr>
          <w:i/>
          <w:iCs/>
        </w:rPr>
        <w:t xml:space="preserve">shocks</w:t>
      </w:r>
      <w:r>
        <w:t xml:space="preserve"> </w:t>
      </w:r>
      <w:r>
        <w:t xml:space="preserve">como desvíos respecto de una única media para todo el período, de -17%. Así, un año como 1999 cuenta como un</w:t>
      </w:r>
      <w:r>
        <w:t xml:space="preserve"> </w:t>
      </w:r>
      <w:r>
        <w:rPr>
          <w:i/>
          <w:iCs/>
        </w:rPr>
        <w:t xml:space="preserve">shock</w:t>
      </w:r>
      <w:r>
        <w:t xml:space="preserve"> </w:t>
      </w:r>
      <w:r>
        <w:t xml:space="preserve">de 26 puntos de tasa real, y puede aparecer en 2031 junto con cualquier otro año de la muestra, aunque correspondan a regímenes monetarios distintos. Es el problema que el FMI y el Mecanismo Europeo de Estabilidad (2023) señalan como desafío de su método: que la historia usada para generar el abanico sea representativa del futuro.</w:t>
      </w:r>
    </w:p>
    <w:p>
      <w:pPr>
        <w:pStyle w:val="CaptionedFigure"/>
      </w:pPr>
      <w:r>
        <w:drawing>
          <wp:inline>
            <wp:extent cx="5334000" cy="3501390"/>
            <wp:effectExtent b="0" l="0" r="0" t="0"/>
            <wp:docPr descr="Figura 7.2. Impulsores anuales de la deuda que usa la variante a la manera del FMI, 1997-2025. La tasa real efectiva pasa de valores positivos en la convertibilidad a valores muy negativos con la inflación posterior." title="" id="105" name="Picture"/>
            <a:graphic>
              <a:graphicData uri="http://schemas.openxmlformats.org/drawingml/2006/picture">
                <pic:pic>
                  <pic:nvPicPr>
                    <pic:cNvPr descr="../tesis/figuras/fig7_2_impulsores_historicos.png" id="106" name="Picture"/>
                    <pic:cNvPicPr>
                      <a:picLocks noChangeArrowheads="1" noChangeAspect="1"/>
                    </pic:cNvPicPr>
                  </pic:nvPicPr>
                  <pic:blipFill>
                    <a:blip r:embed="rId104"/>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7.2. Impulsores anuales de la deuda que usa la variante a la manera del FMI, 1997-2025. La tasa real efectiva pasa de valores positivos en la convertibilidad a valores muy negativos con la inflación posterior.</w:t>
      </w:r>
    </w:p>
    <w:p>
      <w:pPr>
        <w:pStyle w:val="BodyText"/>
      </w:pPr>
      <w:r>
        <w:rPr>
          <w:b/>
          <w:bCs/>
        </w:rPr>
        <w:t xml:space="preserve">Qué hace distinto el SVARX.</w:t>
      </w:r>
      <w:r>
        <w:t xml:space="preserve"> </w:t>
      </w:r>
      <w:r>
        <w:t xml:space="preserve">El SVARX trata los cambios de régimen con las variables binarias de los quiebres estructurales (2001, 2006 y 2018) y separa lo que la dinámica del sistema permite anticipar de lo que es sorpresa: solo remuestrea las sorpresas, que son menores que los desvíos respecto de una media de largo plazo. Además, la tasa en dólares se reprecia de a poco, a medida que vence la deuda. Por eso el abanico es más angosto. Que la probabilidad de no estabilización sea aun así alta indica que la métrica no depende tanto de la dispersión total como de la frecuencia de años en los que una depreciación real o una suba del riesgo país elevan el resultado primario necesario por encima del previsto. Esta tesis no aísla qué parte de ese resultado se debe a la persistencia de los</w:t>
      </w:r>
      <w:r>
        <w:t xml:space="preserve"> </w:t>
      </w:r>
      <w:r>
        <w:rPr>
          <w:i/>
          <w:iCs/>
        </w:rPr>
        <w:t xml:space="preserve">shocks</w:t>
      </w:r>
      <w:r>
        <w:t xml:space="preserve">; queda como hipótesis para trabajo futuro.</w:t>
      </w:r>
    </w:p>
    <w:bookmarkEnd w:id="107"/>
    <w:bookmarkStart w:id="108" w:name="el-papel-del-superávit-primario"/>
    <w:p>
      <w:pPr>
        <w:pStyle w:val="Heading2"/>
      </w:pPr>
      <w:r>
        <w:t xml:space="preserve">7.3 El papel del superávit primario</w:t>
      </w:r>
    </w:p>
    <w:p>
      <w:pPr>
        <w:pStyle w:val="FirstParagraph"/>
      </w:pPr>
      <w:r>
        <w:t xml:space="preserve">La reacción fiscal estimada es positiva (0,051, con un intervalo de 0,010 a 0,103): en 1998-2025, el resultado primario respondió a la deuda, en línea con la condición de Bohn (1998). Una reacción de esa magnitud estabiliza la deuda mientras el diferencial entre tasa y crecimiento, ajustado por el crecimiento, se mantenga por debajo de unos cinco puntos. Argentina lo superó con frecuencia en los años de depreciación real y suba del riesgo país.</w:t>
      </w:r>
    </w:p>
    <w:p>
      <w:pPr>
        <w:pStyle w:val="BodyText"/>
      </w:pPr>
      <w:r>
        <w:t xml:space="preserve">El contraste de suficiencia de la sección 6.3 da la medida de esa insuficiencia. Para que la probabilidad de no estabilización baje al nivel que el FMI considera bajo, el superávit tendría que ser de 7,0% del PIB, el doble del máximo de las últimas tres décadas. El superávit es necesario, y el escenario base del FMI se apoya en él, pero no alcanza para controlar la trayectoria: una parte del riesgo viene de variables que el superávit no controla. El resultado coincide con el diagnóstico de la restricción externa del Capítulo 3: con 58% de la deuda en moneda extranjera, una depreciación real cambia el cociente de deuda aunque las cuentas fiscales estén en orden (Calvo et al., 2003).</w:t>
      </w:r>
    </w:p>
    <w:p>
      <w:pPr>
        <w:pStyle w:val="BodyText"/>
      </w:pPr>
      <w:r>
        <w:t xml:space="preserve">La descomposición de la varianza apunta en la misma dirección, con el bloque cambiario y de riesgo como el mayor componente en la estimación central, pero no es robusta: depende de cómo se identifica el</w:t>
      </w:r>
      <w:r>
        <w:t xml:space="preserve"> </w:t>
      </w:r>
      <w:r>
        <w:rPr>
          <w:i/>
          <w:iCs/>
        </w:rPr>
        <w:t xml:space="preserve">shock</w:t>
      </w:r>
      <w:r>
        <w:t xml:space="preserve"> </w:t>
      </w:r>
      <w:r>
        <w:t xml:space="preserve">fiscal y de la muestra. Esta tesis no puede afirmar con el nivel de confianza fijado que los</w:t>
      </w:r>
      <w:r>
        <w:t xml:space="preserve"> </w:t>
      </w:r>
      <w:r>
        <w:rPr>
          <w:i/>
          <w:iCs/>
        </w:rPr>
        <w:t xml:space="preserve">shocks</w:t>
      </w:r>
      <w:r>
        <w:t xml:space="preserve"> </w:t>
      </w:r>
      <w:r>
        <w:t xml:space="preserve">cambiarios y de riesgo dominen a los fiscales. Sí puede afirmar que el superávit, en el rango observado, no basta.</w:t>
      </w:r>
    </w:p>
    <w:bookmarkEnd w:id="108"/>
    <w:bookmarkStart w:id="109" w:name="el-shock-de-la-fed"/>
    <w:p>
      <w:pPr>
        <w:pStyle w:val="Heading2"/>
      </w:pPr>
      <w:r>
        <w:t xml:space="preserve">7.4 El</w:t>
      </w:r>
      <w:r>
        <w:t xml:space="preserve"> </w:t>
      </w:r>
      <w:r>
        <w:rPr>
          <w:i/>
          <w:iCs/>
        </w:rPr>
        <w:t xml:space="preserve">shock</w:t>
      </w:r>
      <w:r>
        <w:t xml:space="preserve"> </w:t>
      </w:r>
      <w:r>
        <w:t xml:space="preserve">de la FED</w:t>
      </w:r>
    </w:p>
    <w:p>
      <w:pPr>
        <w:pStyle w:val="FirstParagraph"/>
      </w:pPr>
      <w:r>
        <w:t xml:space="preserve">La suba de la tasa de la FED eleva la probabilidad de no estabilización, pero el efecto está estimado con poca precisión. Una repetición de la senda de 2022-2025 suma 13 puntos de probabilidad en 2035, con un intervalo de 1 a 25 puntos, y no se sostiene con la corrección por contrastes múltiples. Tres quintos del efecto sobre la deuda vienen del canal más directo, el mayor costo de refinanciar la deuda en dólares; el resto, de la respuesta del riesgo país, el tipo de cambio real y el crecimiento, que no son significativas por separado. Esto no quiere decir que los canales indirectos no existan: Uribe y Yue (2006) y Canova (2005) los documentan con paneles y muestras más largas. Quiere decir que una sola serie argentina de 111 trimestres no alcanza para medirlos. La conclusión sobre H2 descansa, por lo tanto, sobre todo en el canal de costo.</w:t>
      </w:r>
    </w:p>
    <w:bookmarkEnd w:id="109"/>
    <w:bookmarkStart w:id="110" w:name="diálogo-con-la-literatura"/>
    <w:p>
      <w:pPr>
        <w:pStyle w:val="Heading2"/>
      </w:pPr>
      <w:r>
        <w:t xml:space="preserve">7.5 Diálogo con la literatura</w:t>
      </w:r>
    </w:p>
    <w:p>
      <w:pPr>
        <w:pStyle w:val="Compact"/>
        <w:numPr>
          <w:ilvl w:val="0"/>
          <w:numId w:val="1010"/>
        </w:numPr>
      </w:pPr>
      <w:r>
        <w:rPr>
          <w:b/>
          <w:bCs/>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otro objeto, el cociente de deuda, y encuentra que la valuación por el tipo de cambio es una de sus principales fuentes de riesgo. Las dos conclusiones son compatibles: el cociente de deuda puede no estabilizarse aunque el patrimonio neto se mantenga, y por eso Rodríguez (2023) advierte que el cociente es una medida engañosa después de un salto cambiario.</w:t>
      </w:r>
    </w:p>
    <w:p>
      <w:pPr>
        <w:pStyle w:val="Compact"/>
        <w:numPr>
          <w:ilvl w:val="0"/>
          <w:numId w:val="1010"/>
        </w:numPr>
      </w:pPr>
      <w:r>
        <w:rPr>
          <w:b/>
          <w:bCs/>
        </w:rPr>
        <w:t xml:space="preserve">Tasa y crecimiento.</w:t>
      </w:r>
      <w:r>
        <w:t xml:space="preserve"> </w:t>
      </w:r>
      <w:r>
        <w:t xml:space="preserve">Blanchard (2019) muestra que, cuando la tasa de interés es menor que el crecimiento, la deuda se licua sin necesidad de superávit. El escenario del FMI tiene esa propiedad durante toda la década. Los resultados de esta tesis indican que, aun así, la licuación no garantiza la estabilización cuando una parte grande de la deuda está en moneda extranjera.</w:t>
      </w:r>
    </w:p>
    <w:p>
      <w:pPr>
        <w:pStyle w:val="Compact"/>
        <w:numPr>
          <w:ilvl w:val="0"/>
          <w:numId w:val="1010"/>
        </w:numPr>
      </w:pPr>
      <w:r>
        <w:rPr>
          <w:b/>
          <w:bCs/>
        </w:rPr>
        <w:t xml:space="preserve">Fatiga fiscal.</w:t>
      </w:r>
      <w:r>
        <w:t xml:space="preserve"> </w:t>
      </w:r>
      <w:r>
        <w:t xml:space="preserve">Ghosh et al. (2013) sostienen que la respuesta del superávit se debilita con deuda alta; Everaert y Jansen (2018) no encuentran ese patrón de manera robusta. Esta tesis estima una regla lineal y no puede contrastar la fatiga; si existiera, el contraste de suficiencia sería todavía más desfavorable al superávit.</w:t>
      </w:r>
    </w:p>
    <w:bookmarkEnd w:id="110"/>
    <w:bookmarkStart w:id="111" w:name="limitaciones"/>
    <w:p>
      <w:pPr>
        <w:pStyle w:val="Heading2"/>
      </w:pPr>
      <w:r>
        <w:t xml:space="preserve">7.6 Limitaciones</w:t>
      </w:r>
    </w:p>
    <w:p>
      <w:pPr>
        <w:pStyle w:val="Compact"/>
        <w:numPr>
          <w:ilvl w:val="0"/>
          <w:numId w:val="1011"/>
        </w:numPr>
      </w:pPr>
      <w:r>
        <w:rPr>
          <w:b/>
          <w:bCs/>
        </w:rPr>
        <w:t xml:space="preserve">Escenario base.</w:t>
      </w:r>
      <w:r>
        <w:t xml:space="preserve"> </w:t>
      </w:r>
      <w:r>
        <w:t xml:space="preserve">Todos los resultados están condicionados al escenario del FMI, que supone una tasa real efectiva negativa durante toda la década y un superávit sostenido. Si la desinflación es más rápida, la licuación se reduce.</w:t>
      </w:r>
    </w:p>
    <w:p>
      <w:pPr>
        <w:pStyle w:val="Compact"/>
        <w:numPr>
          <w:ilvl w:val="0"/>
          <w:numId w:val="1011"/>
        </w:numPr>
      </w:pPr>
      <w:r>
        <w:rPr>
          <w:b/>
          <w:bCs/>
        </w:rPr>
        <w:t xml:space="preserve">Perímetro del escenario.</w:t>
      </w:r>
      <w:r>
        <w:t xml:space="preserve"> </w:t>
      </w:r>
      <w:r>
        <w:t xml:space="preserve">La tasa efectiva, el ajuste stock-flujo y la inflación relativa del FMI corresponden a la deuda bruta del gobierno federal y se aplican a la deuda consolidada neta. Con el ajuste stock-flujo en cero, la probabilidad baja (22,0% en 2031) pero las conclusiones no cambian.</w:t>
      </w:r>
    </w:p>
    <w:p>
      <w:pPr>
        <w:pStyle w:val="Compact"/>
        <w:numPr>
          <w:ilvl w:val="0"/>
          <w:numId w:val="1011"/>
        </w:numPr>
      </w:pPr>
      <w:r>
        <w:rPr>
          <w:b/>
          <w:bCs/>
        </w:rPr>
        <w:t xml:space="preserve">FGS.</w:t>
      </w:r>
      <w:r>
        <w:t xml:space="preserve"> </w:t>
      </w:r>
      <w:r>
        <w:t xml:space="preserve">La deuda neta no descuenta los títulos en poder del FGS, porque no hay una serie histórica pública de su cartera (Capítulo 5). Partir de la deuda del FMI, que sí lo descuenta, no cambia las conclusiones.</w:t>
      </w:r>
    </w:p>
    <w:p>
      <w:pPr>
        <w:pStyle w:val="Compact"/>
        <w:numPr>
          <w:ilvl w:val="0"/>
          <w:numId w:val="1011"/>
        </w:numPr>
      </w:pPr>
      <w:r>
        <w:rPr>
          <w:b/>
          <w:bCs/>
        </w:rPr>
        <w:t xml:space="preserve">Autocorrelación residual y remuestreo.</w:t>
      </w:r>
      <w:r>
        <w:t xml:space="preserve"> </w:t>
      </w:r>
      <w:r>
        <w:t xml:space="preserve">La prueba de Portmanteau rechaza la ausencia de autocorrelación (p = 0,036), y los</w:t>
      </w:r>
      <w:r>
        <w:t xml:space="preserve"> </w:t>
      </w:r>
      <w:r>
        <w:rPr>
          <w:i/>
          <w:iCs/>
        </w:rPr>
        <w:t xml:space="preserve">shocks</w:t>
      </w:r>
      <w:r>
        <w:t xml:space="preserve"> </w:t>
      </w:r>
      <w:r>
        <w:t xml:space="preserve">se remuestrean como independientes entre trimestres. Los órdenes que podrían eliminarla son inestables.</w:t>
      </w:r>
    </w:p>
    <w:p>
      <w:pPr>
        <w:pStyle w:val="Compact"/>
        <w:numPr>
          <w:ilvl w:val="0"/>
          <w:numId w:val="1011"/>
        </w:numPr>
      </w:pPr>
      <w:r>
        <w:rPr>
          <w:b/>
          <w:bCs/>
        </w:rPr>
        <w:t xml:space="preserve">Tamaño de la muestra.</w:t>
      </w:r>
      <w:r>
        <w:t xml:space="preserve"> </w:t>
      </w:r>
      <w:r>
        <w:t xml:space="preserve">Cada ecuación tiene unos 25 regresores para 111 trimestres. Eso explica los intervalos amplios de la descomposición de la varianza y de los efectos de la FED.</w:t>
      </w:r>
    </w:p>
    <w:p>
      <w:pPr>
        <w:pStyle w:val="Compact"/>
        <w:numPr>
          <w:ilvl w:val="0"/>
          <w:numId w:val="1011"/>
        </w:numPr>
      </w:pPr>
      <w:r>
        <w:rPr>
          <w:b/>
          <w:bCs/>
        </w:rPr>
        <w:t xml:space="preserve">Cambios de régimen.</w:t>
      </w:r>
      <w:r>
        <w:t xml:space="preserve"> </w:t>
      </w:r>
      <w:r>
        <w:t xml:space="preserve">Los quiebres solo mueven el nivel de las ecuaciones, no sus coeficientes, y el régimen fiscal y monetario posterior a 2024 casi no está en la muestra. La simulación supone que la dinámica de 1998-2025 sigue vigente.</w:t>
      </w:r>
    </w:p>
    <w:p>
      <w:pPr>
        <w:pStyle w:val="Compact"/>
        <w:numPr>
          <w:ilvl w:val="0"/>
          <w:numId w:val="1011"/>
        </w:numPr>
      </w:pPr>
      <w:r>
        <w:rPr>
          <w:b/>
          <w:bCs/>
        </w:rPr>
        <w:t xml:space="preserve">Identificación.</w:t>
      </w:r>
      <w:r>
        <w:t xml:space="preserve"> </w:t>
      </w:r>
      <w:r>
        <w:t xml:space="preserve">La descomposición de la varianza, pero no la probabilidad de no estabilización, depende de la elasticidad cíclica de 0,25, estimada para la OCDE, y del supuesto de que el resultado primario no responde en el trimestre al tipo de cambio.</w:t>
      </w:r>
    </w:p>
    <w:p>
      <w:pPr>
        <w:pStyle w:val="Compact"/>
        <w:numPr>
          <w:ilvl w:val="0"/>
          <w:numId w:val="1011"/>
        </w:numPr>
      </w:pPr>
      <w:r>
        <w:rPr>
          <w:b/>
          <w:bCs/>
          <w:i/>
          <w:iCs/>
        </w:rPr>
        <w:t xml:space="preserve">Shock</w:t>
      </w:r>
      <w:r>
        <w:rPr>
          <w:b/>
          <w:bCs/>
        </w:rPr>
        <w:t xml:space="preserve"> </w:t>
      </w:r>
      <w:r>
        <w:rPr>
          <w:b/>
          <w:bCs/>
        </w:rPr>
        <w:t xml:space="preserve">de la FED.</w:t>
      </w:r>
      <w:r>
        <w:t xml:space="preserve"> </w:t>
      </w:r>
      <w:r>
        <w:t xml:space="preserve">Se usa la variación observada de la tasa y no un</w:t>
      </w:r>
      <w:r>
        <w:t xml:space="preserve"> </w:t>
      </w:r>
      <w:r>
        <w:rPr>
          <w:i/>
          <w:iCs/>
        </w:rPr>
        <w:t xml:space="preserve">shock</w:t>
      </w:r>
      <w:r>
        <w:t xml:space="preserve"> </w:t>
      </w:r>
      <w:r>
        <w:t xml:space="preserve">monetario identificado con datos de alta frecuencia, y el VIX no responde a la FED en la simulación.</w:t>
      </w:r>
    </w:p>
    <w:bookmarkEnd w:id="111"/>
    <w:bookmarkEnd w:id="112"/>
    <w:bookmarkStart w:id="113"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consolidada argentina (Tesoro nacional y BCRA) en 2026-2035, y cuál es la probabilidad de que no se estabilice bajo el escenario base. Para responderla se estimó un SVARX sobre datos trimestrales de 1996-2025, con la deuda consolidada neta construida según el criterio del FMI (2021, anexo II), y se lo usó para simular la deuda alrededor del escenario base del análisis de sostenibilidad más reciente del FMI (2026).</w:t>
      </w:r>
    </w:p>
    <w:p>
      <w:pPr>
        <w:pStyle w:val="BodyText"/>
      </w:pPr>
      <w:r>
        <w:t xml:space="preserve">Las respuestas son tres.</w:t>
      </w:r>
    </w:p>
    <w:p>
      <w:pPr>
        <w:pStyle w:val="BodyText"/>
      </w:pPr>
      <w:r>
        <w:rPr>
          <w:b/>
          <w:bCs/>
        </w:rPr>
        <w:t xml:space="preserve">Primera (H1a).</w:t>
      </w:r>
      <w:r>
        <w:t xml:space="preserve"> </w:t>
      </w:r>
      <w:r>
        <w:t xml:space="preserve">El superávit primario, por sí solo, no basta para estabilizar la deuda. La política fiscal respondió a la deuda en el período (una reacción de 0,05 por punto de deuda), pero para que la probabilidad de no estabilización baje al nivel que el FMI considera bajo, el superávit tendría que ser de 7,0% del PIB, el doble del máximo que alcanzó el Sector Público Nacional en tres décadas. La descomposición de la varianza ubica al bloque cambiario y de riesgo como la mayor fuente de incertidumbre en la estimación central (59%), pero ese resultado depende de cómo se identifica el</w:t>
      </w:r>
      <w:r>
        <w:t xml:space="preserve"> </w:t>
      </w:r>
      <w:r>
        <w:rPr>
          <w:i/>
          <w:iCs/>
        </w:rPr>
        <w:t xml:space="preserve">shock</w:t>
      </w:r>
      <w:r>
        <w:t xml:space="preserve"> </w:t>
      </w:r>
      <w:r>
        <w:t xml:space="preserve">fiscal y no permite afirmar con el nivel de confianza fijado que domine al fiscal.</w:t>
      </w:r>
    </w:p>
    <w:p>
      <w:pPr>
        <w:pStyle w:val="BodyText"/>
      </w:pPr>
      <w:r>
        <w:rPr>
          <w:b/>
          <w:bCs/>
        </w:rPr>
        <w:t xml:space="preserve">Segunda (H1b).</w:t>
      </w:r>
      <w:r>
        <w:t xml:space="preserve"> </w:t>
      </w:r>
      <w:r>
        <w:t xml:space="preserve">La probabilidad de que la deuda consolidada no se estabilice es de 25,2% en 2031 (entre 19,0% y 27,7%) y de 22,3% en 2035, frente a 1% y menos de 3% en el análisis del FMI. El resultado se mantiene en las 18 especificaciones alternativas, con el procedimiento de</w:t>
      </w:r>
      <w:r>
        <w:t xml:space="preserve"> </w:t>
      </w:r>
      <w:r>
        <w:rPr>
          <w:i/>
          <w:iCs/>
        </w:rPr>
        <w:t xml:space="preserve">shocks</w:t>
      </w:r>
      <w:r>
        <w:t xml:space="preserve"> </w:t>
      </w:r>
      <w:r>
        <w:t xml:space="preserve">del propio FMI y partiendo de la deuda consolidada que informa el FMI. No se lo puede atribuir a una causa única: no lo explican el perímetro, el punto de partida ni la identificación, y la diferencia con el FMI proviene de la historia argentina con la que se generan los</w:t>
      </w:r>
      <w:r>
        <w:t xml:space="preserve"> </w:t>
      </w:r>
      <w:r>
        <w:rPr>
          <w:i/>
          <w:iCs/>
        </w:rPr>
        <w:t xml:space="preserve">shocks</w:t>
      </w:r>
      <w:r>
        <w:t xml:space="preserve">. Con las series de 1996-2025, el diagnóstico de sostenibilidad del FMI resulta más optimista que el que surge de la experiencia histórica del país.</w:t>
      </w:r>
    </w:p>
    <w:p>
      <w:pPr>
        <w:pStyle w:val="BodyText"/>
      </w:pPr>
      <w:r>
        <w:rPr>
          <w:b/>
          <w:bCs/>
        </w:rPr>
        <w:t xml:space="preserve">Tercera (H2).</w:t>
      </w:r>
      <w:r>
        <w:t xml:space="preserve"> </w:t>
      </w:r>
      <w:r>
        <w:t xml:space="preserve">Un endurecimiento de la FED eleva la probabilidad de no estabilización: una repetición de la senda de 2022-2025 la aumenta en 13 puntos en 2035. El efecto tiene la dirección prevista, pero está estimado con poca precisión: su intervalo va de 1 a 25 puntos, el efecto sobre la deuda esperada no es significativo y ninguno se sostiene con la corrección por contrastes múltiples. Tres quintos del efecto pasan por el costo de refinanciar la deuda en dólares; los canales de riesgo país, tipo de cambio real y crecimiento empujan en la misma dirección, pero con 30 años de datos de un solo país no se los puede medir con precisión.</w:t>
      </w:r>
    </w:p>
    <w:p>
      <w:pPr>
        <w:pStyle w:val="BodyText"/>
      </w:pPr>
      <w:r>
        <w:rPr>
          <w:b/>
          <w:bCs/>
        </w:rPr>
        <w:t xml:space="preserve">Implicancia.</w:t>
      </w:r>
      <w:r>
        <w:t xml:space="preserve"> </w:t>
      </w:r>
      <w:r>
        <w:t xml:space="preserve">El riesgo de la deuda argentina no se reduce solo con más esfuerzo fiscal, que el escenario base ya incorpora: con 58% de la deuda en moneda extranjera, la valuación por el tipo de cambio y el costo del financiamiento externo pesan sobre la trayectoria aunque las cuentas fiscales estén en orden. Esta tesis no simula cambios en la composición por moneda ni en los plazos de la deuda; evaluar si reducir la proporción en moneda extranjera o alargar los vencimientos baja la probabilidad de no estabilización es una extensión directa del modelo.</w:t>
      </w:r>
    </w:p>
    <w:p>
      <w:pPr>
        <w:pStyle w:val="BodyText"/>
      </w:pPr>
      <w:r>
        <w:rPr>
          <w:b/>
          <w:bCs/>
        </w:rPr>
        <w:t xml:space="preserve">Alcance.</w:t>
      </w:r>
      <w:r>
        <w:t xml:space="preserve"> </w:t>
      </w:r>
      <w:r>
        <w:t xml:space="preserve">Los resultados están condicionados al escenario base del FMI y a que la dinámica de 1998-2025 siga vigente; las limitaciones se detallan en la sección 7.6.</w:t>
      </w:r>
    </w:p>
    <w:p>
      <w:pPr>
        <w:pStyle w:val="BodyText"/>
      </w:pPr>
      <w:r>
        <w:rPr>
          <w:b/>
          <w:bCs/>
        </w:rPr>
        <w:t xml:space="preserve">Líneas de trabajo futuro.</w:t>
      </w:r>
    </w:p>
    <w:p>
      <w:pPr>
        <w:pStyle w:val="Compact"/>
        <w:numPr>
          <w:ilvl w:val="0"/>
          <w:numId w:val="1012"/>
        </w:numPr>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no son significativas.</w:t>
      </w:r>
    </w:p>
    <w:p>
      <w:pPr>
        <w:pStyle w:val="Compact"/>
        <w:numPr>
          <w:ilvl w:val="0"/>
          <w:numId w:val="1012"/>
        </w:numPr>
      </w:pPr>
      <w:r>
        <w:t xml:space="preserve">Reemplazar la variación de la tasa de la FED por</w:t>
      </w:r>
      <w:r>
        <w:t xml:space="preserve"> </w:t>
      </w:r>
      <w:r>
        <w:rPr>
          <w:i/>
          <w:iCs/>
        </w:rPr>
        <w:t xml:space="preserve">shocks</w:t>
      </w:r>
      <w:r>
        <w:t xml:space="preserve"> </w:t>
      </w:r>
      <w:r>
        <w:t xml:space="preserve">monetarios identificados con datos de alta frecuencia, que aíslan la parte no anticipada de la política de Estados Unidos.</w:t>
      </w:r>
    </w:p>
    <w:p>
      <w:pPr>
        <w:pStyle w:val="Compact"/>
        <w:numPr>
          <w:ilvl w:val="0"/>
          <w:numId w:val="1012"/>
        </w:numPr>
      </w:pPr>
      <w:r>
        <w:t xml:space="preserve">Incorporar los términos de intercambio como variable exógena, por su peso en la generación de divisas, y un módulo de balanza de pagos.</w:t>
      </w:r>
    </w:p>
    <w:p>
      <w:pPr>
        <w:pStyle w:val="Compact"/>
        <w:numPr>
          <w:ilvl w:val="0"/>
          <w:numId w:val="1012"/>
        </w:numPr>
      </w:pPr>
      <w:r>
        <w:t xml:space="preserve">Simular cambios en la composición por moneda y en los plazos de la deuda.</w:t>
      </w:r>
    </w:p>
    <w:p>
      <w:pPr>
        <w:pStyle w:val="Compact"/>
        <w:numPr>
          <w:ilvl w:val="0"/>
          <w:numId w:val="1012"/>
        </w:numPr>
      </w:pPr>
      <w:r>
        <w:t xml:space="preserve">Restar los títulos públicos en cartera del FGS cuando haya una serie pública completa, y modelar una tasa en pesos homogénea para todo el período.</w:t>
      </w:r>
    </w:p>
    <w:bookmarkEnd w:id="113"/>
    <w:bookmarkStart w:id="121" w:name="apéndice-estadístico"/>
    <w:p>
      <w:pPr>
        <w:pStyle w:val="Heading1"/>
      </w:pPr>
      <w:r>
        <w:t xml:space="preserve">Apéndice estadístico</w:t>
      </w:r>
    </w:p>
    <w:p>
      <w:pPr>
        <w:pStyle w:val="FirstParagraph"/>
      </w:pPr>
      <w:r>
        <w:t xml:space="preserve">Fuente de todas las tablas: elaboración propia.</w:t>
      </w:r>
    </w:p>
    <w:bookmarkStart w:id="114"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Desvío estándar</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r>
      <w:tr>
        <w:tc>
          <w:tcPr/>
          <w:p>
            <w:pPr>
              <w:pStyle w:val="Compact"/>
            </w:pPr>
            <w:r>
              <w:rPr>
                <w:rFonts w:ascii="Calibri" w:hAnsi="Calibri"/>
                <w:sz w:val="20"/>
              </w:rPr>
              <w:t xml:space="preserve">Resultado primario (% del PIB, trimestral anualizado)</w:t>
            </w:r>
          </w:p>
        </w:tc>
        <w:tc>
          <w:tcPr/>
          <w:p>
            <w:pPr>
              <w:pStyle w:val="Compact"/>
            </w:pPr>
            <w:r>
              <w:rPr>
                <w:rFonts w:ascii="Calibri" w:hAnsi="Calibri"/>
                <w:sz w:val="20"/>
              </w:rPr>
              <w:t xml:space="preserve">-0,04</w:t>
            </w:r>
          </w:p>
        </w:tc>
        <w:tc>
          <w:tcPr/>
          <w:p>
            <w:pPr>
              <w:pStyle w:val="Compact"/>
            </w:pPr>
            <w:r>
              <w:rPr>
                <w:rFonts w:ascii="Calibri" w:hAnsi="Calibri"/>
                <w:sz w:val="20"/>
              </w:rPr>
              <w:t xml:space="preserve">3,23</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r>
      <w:tr>
        <w:tc>
          <w:tcPr/>
          <w:p>
            <w:pPr>
              <w:pStyle w:val="Compact"/>
            </w:pPr>
            <w:r>
              <w:rPr>
                <w:rFonts w:ascii="Calibri" w:hAnsi="Calibri"/>
                <w:sz w:val="20"/>
              </w:rPr>
              <w:t xml:space="preserve">Crecimiento real trimestral (%)</w:t>
            </w:r>
          </w:p>
        </w:tc>
        <w:tc>
          <w:tcPr/>
          <w:p>
            <w:pPr>
              <w:pStyle w:val="Compact"/>
            </w:pPr>
            <w:r>
              <w:rPr>
                <w:rFonts w:ascii="Calibri" w:hAnsi="Calibri"/>
                <w:sz w:val="20"/>
              </w:rPr>
              <w:t xml:space="preserve">0,39</w:t>
            </w:r>
          </w:p>
        </w:tc>
        <w:tc>
          <w:tcPr/>
          <w:p>
            <w:pPr>
              <w:pStyle w:val="Compact"/>
            </w:pPr>
            <w:r>
              <w:rPr>
                <w:rFonts w:ascii="Calibri" w:hAnsi="Calibri"/>
                <w:sz w:val="20"/>
              </w:rPr>
              <w:t xml:space="preserve">7,41</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1.561,19</w:t>
            </w:r>
          </w:p>
        </w:tc>
        <w:tc>
          <w:tcPr/>
          <w:p>
            <w:pPr>
              <w:pStyle w:val="Compact"/>
            </w:pPr>
            <w:r>
              <w:rPr>
                <w:rFonts w:ascii="Calibri" w:hAnsi="Calibri"/>
                <w:sz w:val="20"/>
              </w:rPr>
              <w:t xml:space="preserve">1.611,94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r>
      <w:tr>
        <w:tc>
          <w:tcPr/>
          <w:p>
            <w:pPr>
              <w:pStyle w:val="Compact"/>
            </w:pPr>
            <w:r>
              <w:rPr>
                <w:rFonts w:ascii="Calibri" w:hAnsi="Calibri"/>
                <w:sz w:val="20"/>
              </w:rPr>
              <w:t xml:space="preserve">TCRM (diciembre de 2001 = 1)</w:t>
            </w:r>
          </w:p>
        </w:tc>
        <w:tc>
          <w:tcPr/>
          <w:p>
            <w:pPr>
              <w:pStyle w:val="Compact"/>
            </w:pPr>
            <w:r>
              <w:rPr>
                <w:rFonts w:ascii="Calibri" w:hAnsi="Calibri"/>
                <w:sz w:val="20"/>
              </w:rPr>
              <w:t xml:space="preserve">1,66</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r>
      <w:tr>
        <w:tc>
          <w:tcPr/>
          <w:p>
            <w:pPr>
              <w:pStyle w:val="Compact"/>
            </w:pPr>
            <w:r>
              <w:rPr>
                <w:rFonts w:ascii="Calibri" w:hAnsi="Calibri"/>
                <w:sz w:val="20"/>
              </w:rPr>
              <w:t xml:space="preserve">Deuda consolidada neta, rezagada (% del PIB)</w:t>
            </w:r>
          </w:p>
        </w:tc>
        <w:tc>
          <w:tcPr/>
          <w:p>
            <w:pPr>
              <w:pStyle w:val="Compact"/>
            </w:pPr>
            <w:r>
              <w:rPr>
                <w:rFonts w:ascii="Calibri" w:hAnsi="Calibri"/>
                <w:sz w:val="20"/>
              </w:rPr>
              <w:t xml:space="preserve">57,74</w:t>
            </w:r>
          </w:p>
        </w:tc>
        <w:tc>
          <w:tcPr/>
          <w:p>
            <w:pPr>
              <w:pStyle w:val="Compact"/>
            </w:pPr>
            <w:r>
              <w:rPr>
                <w:rFonts w:ascii="Calibri" w:hAnsi="Calibri"/>
                <w:sz w:val="20"/>
              </w:rPr>
              <w:t xml:space="preserve">27,07</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r>
      <w:tr>
        <w:tc>
          <w:tcPr/>
          <w:p>
            <w:pPr>
              <w:pStyle w:val="Compact"/>
            </w:pPr>
            <w:r>
              <w:rPr>
                <w:rFonts w:ascii="Calibri" w:hAnsi="Calibri"/>
                <w:sz w:val="20"/>
              </w:rPr>
              <w:t xml:space="preserve">Variación de la tasa de la FED (puntos)</w:t>
            </w:r>
          </w:p>
        </w:tc>
        <w:tc>
          <w:tcPr/>
          <w:p>
            <w:pPr>
              <w:pStyle w:val="Compact"/>
            </w:pPr>
            <w:r>
              <w:rPr>
                <w:rFonts w:ascii="Calibri" w:hAnsi="Calibri"/>
                <w:sz w:val="20"/>
              </w:rPr>
              <w:t xml:space="preserve">-0,01</w:t>
            </w:r>
          </w:p>
        </w:tc>
        <w:tc>
          <w:tcPr/>
          <w:p>
            <w:pPr>
              <w:pStyle w:val="Compact"/>
            </w:pPr>
            <w:r>
              <w:rPr>
                <w:rFonts w:ascii="Calibri" w:hAnsi="Calibri"/>
                <w:sz w:val="20"/>
              </w:rPr>
              <w:t xml:space="preserve">0,52</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20,20</w:t>
            </w:r>
          </w:p>
        </w:tc>
        <w:tc>
          <w:tcPr/>
          <w:p>
            <w:pPr>
              <w:pStyle w:val="Compact"/>
            </w:pPr>
            <w:r>
              <w:rPr>
                <w:rFonts w:ascii="Calibri" w:hAnsi="Calibri"/>
                <w:sz w:val="20"/>
              </w:rPr>
              <w:t xml:space="preserve">7,33</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r>
    </w:tbl>
    <w:bookmarkEnd w:id="114"/>
    <w:bookmarkStart w:id="115" w:name="a.2-propiedades-de-las-series"/>
    <w:p>
      <w:pPr>
        <w:pStyle w:val="Heading2"/>
      </w:pPr>
      <w:r>
        <w:t xml:space="preserve">A.2 Propiedades de las series</w:t>
      </w:r>
    </w:p>
    <w:p>
      <w:pPr>
        <w:pStyle w:val="FirstParagraph"/>
      </w:pPr>
      <w:r>
        <w:rPr>
          <w:b/>
          <w:bCs/>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Muestra 1996T4-2025T4.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ADF (p)</w:t>
            </w:r>
          </w:p>
        </w:tc>
        <w:tc>
          <w:tcPr/>
          <w:p>
            <w:pPr>
              <w:pStyle w:val="Compact"/>
            </w:pPr>
            <w:r>
              <w:rPr>
                <w:rFonts w:ascii="Calibri" w:hAnsi="Calibri"/>
                <w:sz w:val="20"/>
              </w:rPr>
              <w:t xml:space="preserve">KPSS (p)</w:t>
            </w:r>
          </w:p>
        </w:tc>
        <w:tc>
          <w:tcPr/>
          <w:p>
            <w:pPr>
              <w:pStyle w:val="Compact"/>
            </w:pPr>
            <w:r>
              <w:rPr>
                <w:rFonts w:ascii="Calibri" w:hAnsi="Calibri"/>
                <w:sz w:val="20"/>
              </w:rPr>
              <w:t xml:space="preserve">Clasificación</w:t>
            </w:r>
          </w:p>
        </w:tc>
        <w:tc>
          <w:tcPr/>
          <w:p>
            <w:pPr>
              <w:pStyle w:val="Compact"/>
            </w:pPr>
            <w:r>
              <w:rPr>
                <w:rFonts w:ascii="Calibri" w:hAnsi="Calibri"/>
                <w:sz w:val="20"/>
              </w:rPr>
              <w:t xml:space="preserve">Zivot-Andrews (p)</w:t>
            </w:r>
          </w:p>
        </w:tc>
        <w:tc>
          <w:tcPr/>
          <w:p>
            <w:pPr>
              <w:pStyle w:val="Compact"/>
            </w:pPr>
            <w:r>
              <w:rPr>
                <w:rFonts w:ascii="Calibri" w:hAnsi="Calibri"/>
                <w:sz w:val="20"/>
              </w:rPr>
              <w:t xml:space="preserve">Quiebre de Zivot-Andrews</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0,591</w:t>
            </w:r>
          </w:p>
        </w:tc>
        <w:tc>
          <w:tcPr/>
          <w:p>
            <w:pPr>
              <w:pStyle w:val="Compact"/>
            </w:pPr>
            <w:r>
              <w:rPr>
                <w:rFonts w:ascii="Calibri" w:hAnsi="Calibri"/>
                <w:sz w:val="20"/>
              </w:rPr>
              <w:t xml:space="preserve">0,010</w:t>
            </w:r>
          </w:p>
        </w:tc>
        <w:tc>
          <w:tcPr/>
          <w:p>
            <w:pPr>
              <w:pStyle w:val="Compact"/>
            </w:pPr>
            <w:r>
              <w:rPr>
                <w:rFonts w:ascii="Calibri" w:hAnsi="Calibri"/>
                <w:sz w:val="20"/>
              </w:rPr>
              <w:t xml:space="preserve">raíz unitaria</w:t>
            </w:r>
          </w:p>
        </w:tc>
        <w:tc>
          <w:tcPr/>
          <w:p>
            <w:pPr>
              <w:pStyle w:val="Compact"/>
            </w:pPr>
            <w:r>
              <w:rPr>
                <w:rFonts w:ascii="Calibri" w:hAnsi="Calibri"/>
                <w:sz w:val="20"/>
              </w:rPr>
              <w:t xml:space="preserve">0,982</w:t>
            </w:r>
          </w:p>
        </w:tc>
        <w:tc>
          <w:tcPr/>
          <w:p>
            <w:pPr>
              <w:pStyle w:val="Compact"/>
            </w:pPr>
            <w:r>
              <w:rPr>
                <w:rFonts w:ascii="Calibri" w:hAnsi="Calibri"/>
                <w:sz w:val="20"/>
              </w:rPr>
              <w:t xml:space="preserve">2011T2</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0,053</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0,236</w:t>
            </w:r>
          </w:p>
        </w:tc>
        <w:tc>
          <w:tcPr/>
          <w:p>
            <w:pPr>
              <w:pStyle w:val="Compact"/>
            </w:pPr>
            <w:r>
              <w:rPr>
                <w:rFonts w:ascii="Calibri" w:hAnsi="Calibri"/>
                <w:sz w:val="20"/>
              </w:rPr>
              <w:t xml:space="preserve">2003T1</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0,151</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0,087</w:t>
            </w:r>
          </w:p>
        </w:tc>
        <w:tc>
          <w:tcPr/>
          <w:p>
            <w:pPr>
              <w:pStyle w:val="Compact"/>
            </w:pPr>
            <w:r>
              <w:rPr>
                <w:rFonts w:ascii="Calibri" w:hAnsi="Calibri"/>
                <w:sz w:val="20"/>
              </w:rPr>
              <w:t xml:space="preserve">2005T2</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0,250</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0,000</w:t>
            </w:r>
          </w:p>
        </w:tc>
        <w:tc>
          <w:tcPr/>
          <w:p>
            <w:pPr>
              <w:pStyle w:val="Compact"/>
            </w:pPr>
            <w:r>
              <w:rPr>
                <w:rFonts w:ascii="Calibri" w:hAnsi="Calibri"/>
                <w:sz w:val="20"/>
              </w:rPr>
              <w:t xml:space="preserve">2001T4</w:t>
            </w:r>
          </w:p>
        </w:tc>
      </w:tr>
      <w:tr>
        <w:tc>
          <w:tcPr/>
          <w:p>
            <w:pPr>
              <w:pStyle w:val="Compact"/>
            </w:pPr>
            <w:r>
              <w:rPr>
                <w:rFonts w:ascii="Calibri" w:hAnsi="Calibri"/>
                <w:sz w:val="20"/>
              </w:rPr>
              <w:t xml:space="preserve">Deuda consolidada neta</w:t>
            </w:r>
          </w:p>
        </w:tc>
        <w:tc>
          <w:tcPr/>
          <w:p>
            <w:pPr>
              <w:pStyle w:val="Compact"/>
            </w:pPr>
            <w:r>
              <w:rPr>
                <w:rFonts w:ascii="Calibri" w:hAnsi="Calibri"/>
                <w:sz w:val="20"/>
              </w:rPr>
              <w:t xml:space="preserve">0,099</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0,575</w:t>
            </w:r>
          </w:p>
        </w:tc>
        <w:tc>
          <w:tcPr/>
          <w:p>
            <w:pPr>
              <w:pStyle w:val="Compact"/>
            </w:pPr>
            <w:r>
              <w:rPr>
                <w:rFonts w:ascii="Calibri" w:hAnsi="Calibri"/>
                <w:sz w:val="20"/>
              </w:rPr>
              <w:t xml:space="preserve">2005T1</w:t>
            </w:r>
          </w:p>
        </w:tc>
      </w:tr>
      <w:tr>
        <w:tc>
          <w:tcPr/>
          <w:p>
            <w:pPr>
              <w:pStyle w:val="Compact"/>
            </w:pPr>
            <w:r>
              <w:rPr>
                <w:rFonts w:ascii="Calibri" w:hAnsi="Calibri"/>
                <w:sz w:val="20"/>
              </w:rPr>
              <w:t xml:space="preserve">Tasa de la FED (nivel)</w:t>
            </w:r>
          </w:p>
        </w:tc>
        <w:tc>
          <w:tcPr/>
          <w:p>
            <w:pPr>
              <w:pStyle w:val="Compact"/>
            </w:pPr>
            <w:r>
              <w:rPr>
                <w:rFonts w:ascii="Calibri" w:hAnsi="Calibri"/>
                <w:sz w:val="20"/>
              </w:rPr>
              <w:t xml:space="preserve">0,019</w:t>
            </w:r>
          </w:p>
        </w:tc>
        <w:tc>
          <w:tcPr/>
          <w:p>
            <w:pPr>
              <w:pStyle w:val="Compact"/>
            </w:pPr>
            <w:r>
              <w:rPr>
                <w:rFonts w:ascii="Calibri" w:hAnsi="Calibri"/>
                <w:sz w:val="20"/>
              </w:rPr>
              <w:t xml:space="preserve">0,047</w:t>
            </w:r>
          </w:p>
        </w:tc>
        <w:tc>
          <w:tcPr/>
          <w:p>
            <w:pPr>
              <w:pStyle w:val="Compact"/>
            </w:pPr>
            <w:r>
              <w:rPr>
                <w:rFonts w:ascii="Calibri" w:hAnsi="Calibri"/>
                <w:sz w:val="20"/>
              </w:rPr>
              <w:t xml:space="preserve">ambigua</w:t>
            </w:r>
          </w:p>
        </w:tc>
        <w:tc>
          <w:tcPr/>
          <w:p>
            <w:pPr>
              <w:pStyle w:val="Compact"/>
            </w:pPr>
            <w:r>
              <w:rPr>
                <w:rFonts w:ascii="Calibri" w:hAnsi="Calibri"/>
                <w:sz w:val="20"/>
              </w:rPr>
              <w:t xml:space="preserve">0,020</w:t>
            </w:r>
          </w:p>
        </w:tc>
        <w:tc>
          <w:tcPr/>
          <w:p>
            <w:pPr>
              <w:pStyle w:val="Compact"/>
            </w:pPr>
            <w:r>
              <w:rPr>
                <w:rFonts w:ascii="Calibri" w:hAnsi="Calibri"/>
                <w:sz w:val="20"/>
              </w:rPr>
              <w:t xml:space="preserve">2021T2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0,000</w:t>
            </w:r>
          </w:p>
        </w:tc>
        <w:tc>
          <w:tcPr/>
          <w:p>
            <w:pPr>
              <w:pStyle w:val="Compact"/>
            </w:pPr>
            <w:r>
              <w:rPr>
                <w:rFonts w:ascii="Calibri" w:hAnsi="Calibri"/>
                <w:sz w:val="20"/>
              </w:rPr>
              <w:t xml:space="preserve">0,100</w:t>
            </w:r>
          </w:p>
        </w:tc>
        <w:tc>
          <w:tcPr/>
          <w:p>
            <w:pPr>
              <w:pStyle w:val="Compact"/>
            </w:pPr>
            <w:r>
              <w:rPr>
                <w:rFonts w:ascii="Calibri" w:hAnsi="Calibri"/>
                <w:sz w:val="20"/>
              </w:rPr>
              <w:t xml:space="preserve">estacionaria</w:t>
            </w:r>
          </w:p>
        </w:tc>
        <w:tc>
          <w:tcPr/>
          <w:p>
            <w:pPr>
              <w:pStyle w:val="Compact"/>
            </w:pPr>
            <w:r>
              <w:rPr>
                <w:rFonts w:ascii="Calibri" w:hAnsi="Calibri"/>
                <w:sz w:val="20"/>
              </w:rPr>
              <w:t xml:space="preserve">0,028</w:t>
            </w:r>
          </w:p>
        </w:tc>
        <w:tc>
          <w:tcPr/>
          <w:p>
            <w:pPr>
              <w:pStyle w:val="Compact"/>
            </w:pPr>
            <w:r>
              <w:rPr>
                <w:rFonts w:ascii="Calibri" w:hAnsi="Calibri"/>
                <w:sz w:val="20"/>
              </w:rPr>
              <w:t xml:space="preserve">2019T4</w:t>
            </w:r>
          </w:p>
        </w:tc>
      </w:tr>
    </w:tbl>
    <w:p>
      <w:pPr>
        <w:pStyle w:val="BodyText"/>
      </w:pPr>
      <w:r>
        <w:rPr>
          <w:b/>
          <w:bCs/>
        </w:rPr>
        <w:t xml:space="preserve">Quiebres estructurales.</w:t>
      </w:r>
      <w:r>
        <w:t xml:space="preserve"> </w:t>
      </w:r>
      <w:r>
        <w:t xml:space="preserve">El procedimiento de Bai y Perron (2003) sobre la media de la deuda consolidada neta, con el número de quiebres elegido por el criterio de Schwarz, encuentra 3 quiebres: 2001T4, 2006T2 y 2018T1. Son los que entran como variables binarias en el SVARX.</w:t>
      </w:r>
    </w:p>
    <w:p>
      <w:pPr>
        <w:pStyle w:val="BodyText"/>
      </w:pPr>
      <w:r>
        <w:rPr>
          <w:b/>
          <w:bCs/>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incluido, genera por sí solo una relación de cointegración trivial.</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Hipótesis nula</w:t>
            </w:r>
          </w:p>
        </w:tc>
        <w:tc>
          <w:tcPr/>
          <w:p>
            <w:pPr>
              <w:pStyle w:val="Compact"/>
            </w:pPr>
            <w:r>
              <w:rPr>
                <w:rFonts w:ascii="Calibri" w:hAnsi="Calibri"/>
                <w:sz w:val="20"/>
              </w:rPr>
              <w:t xml:space="preserve">Traza</w:t>
            </w:r>
          </w:p>
        </w:tc>
        <w:tc>
          <w:tcPr/>
          <w:p>
            <w:pPr>
              <w:pStyle w:val="Compact"/>
            </w:pPr>
            <w:r>
              <w:rPr>
                <w:rFonts w:ascii="Calibri" w:hAnsi="Calibri"/>
                <w:sz w:val="20"/>
              </w:rPr>
              <w:t xml:space="preserve">Valor crítico 5%</w:t>
            </w:r>
          </w:p>
        </w:tc>
        <w:tc>
          <w:tcPr/>
          <w:p>
            <w:pPr>
              <w:pStyle w:val="Compact"/>
            </w:pPr>
            <w:r>
              <w:rPr>
                <w:rFonts w:ascii="Calibri" w:hAnsi="Calibri"/>
                <w:sz w:val="20"/>
              </w:rPr>
              <w:t xml:space="preserve">Rechaza</w:t>
            </w:r>
          </w:p>
        </w:tc>
      </w:tr>
      <w:tr>
        <w:tc>
          <w:tcPr/>
          <w:p>
            <w:pPr>
              <w:pStyle w:val="Compact"/>
            </w:pPr>
            <w:r>
              <w:rPr>
                <w:rFonts w:ascii="Calibri" w:hAnsi="Calibri"/>
                <w:sz w:val="20"/>
              </w:rPr>
              <w:t xml:space="preserve">rango ≤ 0</w:t>
            </w:r>
          </w:p>
        </w:tc>
        <w:tc>
          <w:tcPr/>
          <w:p>
            <w:pPr>
              <w:pStyle w:val="Compact"/>
            </w:pPr>
            <w:r>
              <w:rPr>
                <w:rFonts w:ascii="Calibri" w:hAnsi="Calibri"/>
                <w:sz w:val="20"/>
              </w:rPr>
              <w:t xml:space="preserve">43,7</w:t>
            </w:r>
          </w:p>
        </w:tc>
        <w:tc>
          <w:tcPr/>
          <w:p>
            <w:pPr>
              <w:pStyle w:val="Compact"/>
            </w:pPr>
            <w:r>
              <w:rPr>
                <w:rFonts w:ascii="Calibri" w:hAnsi="Calibri"/>
                <w:sz w:val="20"/>
              </w:rPr>
              <w:t xml:space="preserve">47,9</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1</w:t>
            </w:r>
          </w:p>
        </w:tc>
        <w:tc>
          <w:tcPr/>
          <w:p>
            <w:pPr>
              <w:pStyle w:val="Compact"/>
            </w:pPr>
            <w:r>
              <w:rPr>
                <w:rFonts w:ascii="Calibri" w:hAnsi="Calibri"/>
                <w:sz w:val="20"/>
              </w:rPr>
              <w:t xml:space="preserve">20,0</w:t>
            </w:r>
          </w:p>
        </w:tc>
        <w:tc>
          <w:tcPr/>
          <w:p>
            <w:pPr>
              <w:pStyle w:val="Compact"/>
            </w:pPr>
            <w:r>
              <w:rPr>
                <w:rFonts w:ascii="Calibri" w:hAnsi="Calibri"/>
                <w:sz w:val="20"/>
              </w:rPr>
              <w:t xml:space="preserve">29,8</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2</w:t>
            </w:r>
          </w:p>
        </w:tc>
        <w:tc>
          <w:tcPr/>
          <w:p>
            <w:pPr>
              <w:pStyle w:val="Compact"/>
            </w:pPr>
            <w:r>
              <w:rPr>
                <w:rFonts w:ascii="Calibri" w:hAnsi="Calibri"/>
                <w:sz w:val="20"/>
              </w:rPr>
              <w:t xml:space="preserve">10,8</w:t>
            </w:r>
          </w:p>
        </w:tc>
        <w:tc>
          <w:tcPr/>
          <w:p>
            <w:pPr>
              <w:pStyle w:val="Compact"/>
            </w:pPr>
            <w:r>
              <w:rPr>
                <w:rFonts w:ascii="Calibri" w:hAnsi="Calibri"/>
                <w:sz w:val="20"/>
              </w:rPr>
              <w:t xml:space="preserve">15,5</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3</w:t>
            </w:r>
          </w:p>
        </w:tc>
        <w:tc>
          <w:tcPr/>
          <w:p>
            <w:pPr>
              <w:pStyle w:val="Compact"/>
            </w:pPr>
            <w:r>
              <w:rPr>
                <w:rFonts w:ascii="Calibri" w:hAnsi="Calibri"/>
                <w:sz w:val="20"/>
              </w:rPr>
              <w:t xml:space="preserve">3,3</w:t>
            </w:r>
          </w:p>
        </w:tc>
        <w:tc>
          <w:tcPr/>
          <w:p>
            <w:pPr>
              <w:pStyle w:val="Compact"/>
            </w:pPr>
            <w:r>
              <w:rPr>
                <w:rFonts w:ascii="Calibri" w:hAnsi="Calibri"/>
                <w:sz w:val="20"/>
              </w:rPr>
              <w:t xml:space="preserve">3,8</w:t>
            </w:r>
          </w:p>
        </w:tc>
        <w:tc>
          <w:tcPr/>
          <w:p>
            <w:pPr>
              <w:pStyle w:val="Compact"/>
            </w:pPr>
            <w:r>
              <w:rPr>
                <w:rFonts w:ascii="Calibri" w:hAnsi="Calibri"/>
                <w:sz w:val="20"/>
              </w:rPr>
              <w:t xml:space="preserve">no</w:t>
            </w:r>
          </w:p>
        </w:tc>
      </w:tr>
    </w:tbl>
    <w:bookmarkEnd w:id="115"/>
    <w:bookmarkStart w:id="116" w:name="a.3-selección-del-orden-del-var"/>
    <w:p>
      <w:pPr>
        <w:pStyle w:val="Heading2"/>
      </w:pPr>
      <w:r>
        <w:t xml:space="preserve">A.3 Selección del orden del VAR</w:t>
      </w:r>
    </w:p>
    <w:p>
      <w:pPr>
        <w:pStyle w:val="FirstParagraph"/>
      </w:pPr>
      <w:r>
        <w:t xml:space="preserve">Muestra efectiva común 1998T2-2025T4 (111 trimestres) para todos los órdenes (sección 4.5). El orden elegido es el mayor orden estable que no supera al que minimiza el AIC.</w:t>
      </w:r>
    </w:p>
    <w:p>
      <w:pPr>
        <w:pStyle w:val="BodyText"/>
      </w:pPr>
      <w:r>
        <w:rPr>
          <w:b/>
          <w:bCs/>
        </w:rPr>
        <w:t xml:space="preserve">Deuda consolidada neta, valor nominal (principal).</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12,351</w:t>
            </w:r>
          </w:p>
        </w:tc>
        <w:tc>
          <w:tcPr/>
          <w:p>
            <w:pPr>
              <w:pStyle w:val="Compact"/>
            </w:pPr>
            <w:r>
              <w:rPr>
                <w:rFonts w:ascii="Calibri" w:hAnsi="Calibri"/>
                <w:sz w:val="20"/>
              </w:rPr>
              <w:t xml:space="preserve">13,914</w:t>
            </w:r>
          </w:p>
        </w:tc>
        <w:tc>
          <w:tcPr/>
          <w:p>
            <w:pPr>
              <w:pStyle w:val="Compact"/>
            </w:pPr>
            <w:r>
              <w:rPr>
                <w:rFonts w:ascii="Calibri" w:hAnsi="Calibri"/>
                <w:sz w:val="20"/>
              </w:rPr>
              <w:t xml:space="preserve">12,985</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12,052</w:t>
            </w:r>
          </w:p>
        </w:tc>
        <w:tc>
          <w:tcPr/>
          <w:p>
            <w:pPr>
              <w:pStyle w:val="Compact"/>
            </w:pPr>
            <w:r>
              <w:rPr>
                <w:rFonts w:ascii="Calibri" w:hAnsi="Calibri"/>
                <w:sz w:val="20"/>
              </w:rPr>
              <w:t xml:space="preserve">14,005</w:t>
            </w:r>
          </w:p>
        </w:tc>
        <w:tc>
          <w:tcPr/>
          <w:p>
            <w:pPr>
              <w:pStyle w:val="Compact"/>
            </w:pPr>
            <w:r>
              <w:rPr>
                <w:rFonts w:ascii="Calibri" w:hAnsi="Calibri"/>
                <w:sz w:val="20"/>
              </w:rPr>
              <w:t xml:space="preserve">12,844</w:t>
            </w:r>
          </w:p>
        </w:tc>
        <w:tc>
          <w:tcPr/>
          <w:p>
            <w:pPr>
              <w:pStyle w:val="Compact"/>
            </w:pPr>
            <w:r>
              <w:rPr>
                <w:rFonts w:ascii="Calibri" w:hAnsi="Calibri"/>
                <w:sz w:val="20"/>
              </w:rPr>
              <w:t xml:space="preserve">0,894</w:t>
            </w:r>
          </w:p>
        </w:tc>
        <w:tc>
          <w:tcPr/>
          <w:p>
            <w:pPr>
              <w:pStyle w:val="Compact"/>
            </w:pPr>
            <w:r>
              <w:rPr>
                <w:rFonts w:ascii="Calibri" w:hAnsi="Calibri"/>
                <w:sz w:val="20"/>
              </w:rPr>
              <w:t xml:space="preserve">sí</w:t>
            </w:r>
          </w:p>
        </w:tc>
        <w:tc>
          <w:tcPr/>
          <w:p>
            <w:pPr>
              <w:pStyle w:val="Compact"/>
            </w:pPr>
            <w:r>
              <w:rPr>
                <w:rFonts w:ascii="Calibri" w:hAnsi="Calibri"/>
                <w:sz w:val="20"/>
              </w:rPr>
              <w:t xml:space="preserve">0,039</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12,125</w:t>
            </w:r>
          </w:p>
        </w:tc>
        <w:tc>
          <w:tcPr/>
          <w:p>
            <w:pPr>
              <w:pStyle w:val="Compact"/>
            </w:pPr>
            <w:r>
              <w:rPr>
                <w:rFonts w:ascii="Calibri" w:hAnsi="Calibri"/>
                <w:sz w:val="20"/>
              </w:rPr>
              <w:t xml:space="preserve">14,468</w:t>
            </w:r>
          </w:p>
        </w:tc>
        <w:tc>
          <w:tcPr/>
          <w:p>
            <w:pPr>
              <w:pStyle w:val="Compact"/>
            </w:pPr>
            <w:r>
              <w:rPr>
                <w:rFonts w:ascii="Calibri" w:hAnsi="Calibri"/>
                <w:sz w:val="20"/>
              </w:rPr>
              <w:t xml:space="preserve">13,075</w:t>
            </w:r>
          </w:p>
        </w:tc>
        <w:tc>
          <w:tcPr/>
          <w:p>
            <w:pPr>
              <w:pStyle w:val="Compact"/>
            </w:pPr>
            <w:r>
              <w:rPr>
                <w:rFonts w:ascii="Calibri" w:hAnsi="Calibri"/>
                <w:sz w:val="20"/>
              </w:rPr>
              <w:t xml:space="preserve">0,964</w:t>
            </w:r>
          </w:p>
        </w:tc>
        <w:tc>
          <w:tcPr/>
          <w:p>
            <w:pPr>
              <w:pStyle w:val="Compact"/>
            </w:pPr>
            <w:r>
              <w:rPr>
                <w:rFonts w:ascii="Calibri" w:hAnsi="Calibri"/>
                <w:sz w:val="20"/>
              </w:rPr>
              <w:t xml:space="preserve">sí</w:t>
            </w:r>
          </w:p>
        </w:tc>
        <w:tc>
          <w:tcPr/>
          <w:p>
            <w:pPr>
              <w:pStyle w:val="Compact"/>
            </w:pPr>
            <w:r>
              <w:rPr>
                <w:rFonts w:ascii="Calibri" w:hAnsi="Calibri"/>
                <w:sz w:val="20"/>
              </w:rPr>
              <w:t xml:space="preserve">0,036</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12,009</w:t>
            </w:r>
          </w:p>
        </w:tc>
        <w:tc>
          <w:tcPr/>
          <w:p>
            <w:pPr>
              <w:pStyle w:val="Compact"/>
            </w:pPr>
            <w:r>
              <w:rPr>
                <w:rFonts w:ascii="Calibri" w:hAnsi="Calibri"/>
                <w:sz w:val="20"/>
              </w:rPr>
              <w:t xml:space="preserve">14,743</w:t>
            </w:r>
          </w:p>
        </w:tc>
        <w:tc>
          <w:tcPr/>
          <w:p>
            <w:pPr>
              <w:pStyle w:val="Compact"/>
            </w:pPr>
            <w:r>
              <w:rPr>
                <w:rFonts w:ascii="Calibri" w:hAnsi="Calibri"/>
                <w:sz w:val="20"/>
              </w:rPr>
              <w:t xml:space="preserve">13,118</w:t>
            </w:r>
          </w:p>
        </w:tc>
        <w:tc>
          <w:tcPr/>
          <w:p>
            <w:pPr>
              <w:pStyle w:val="Compact"/>
            </w:pPr>
            <w:r>
              <w:rPr>
                <w:rFonts w:ascii="Calibri" w:hAnsi="Calibri"/>
                <w:sz w:val="20"/>
              </w:rPr>
              <w:t xml:space="preserve">1,021</w:t>
            </w:r>
          </w:p>
        </w:tc>
        <w:tc>
          <w:tcPr/>
          <w:p>
            <w:pPr>
              <w:pStyle w:val="Compact"/>
            </w:pPr>
            <w:r>
              <w:rPr>
                <w:rFonts w:ascii="Calibri" w:hAnsi="Calibri"/>
                <w:sz w:val="20"/>
              </w:rPr>
              <w:t xml:space="preserve">no</w:t>
            </w:r>
          </w:p>
        </w:tc>
        <w:tc>
          <w:tcPr/>
          <w:p>
            <w:pPr>
              <w:pStyle w:val="Compact"/>
            </w:pPr>
            <w:r>
              <w:rPr>
                <w:rFonts w:ascii="Calibri" w:hAnsi="Calibri"/>
                <w:sz w:val="20"/>
              </w:rPr>
              <w:t xml:space="preserve">0,023</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11,939</w:t>
            </w:r>
          </w:p>
        </w:tc>
        <w:tc>
          <w:tcPr/>
          <w:p>
            <w:pPr>
              <w:pStyle w:val="Compact"/>
            </w:pPr>
            <w:r>
              <w:rPr>
                <w:rFonts w:ascii="Calibri" w:hAnsi="Calibri"/>
                <w:sz w:val="20"/>
              </w:rPr>
              <w:t xml:space="preserve">15,064</w:t>
            </w:r>
          </w:p>
        </w:tc>
        <w:tc>
          <w:tcPr/>
          <w:p>
            <w:pPr>
              <w:pStyle w:val="Compact"/>
            </w:pPr>
            <w:r>
              <w:rPr>
                <w:rFonts w:ascii="Calibri" w:hAnsi="Calibri"/>
                <w:sz w:val="20"/>
              </w:rPr>
              <w:t xml:space="preserve">13,207</w:t>
            </w:r>
          </w:p>
        </w:tc>
        <w:tc>
          <w:tcPr/>
          <w:p>
            <w:pPr>
              <w:pStyle w:val="Compact"/>
            </w:pPr>
            <w:r>
              <w:rPr>
                <w:rFonts w:ascii="Calibri" w:hAnsi="Calibri"/>
                <w:sz w:val="20"/>
              </w:rPr>
              <w:t xml:space="preserve">1,024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1,033</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neta, valor libros.</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12,326</w:t>
            </w:r>
          </w:p>
        </w:tc>
        <w:tc>
          <w:tcPr/>
          <w:p>
            <w:pPr>
              <w:pStyle w:val="Compact"/>
            </w:pPr>
            <w:r>
              <w:rPr>
                <w:rFonts w:ascii="Calibri" w:hAnsi="Calibri"/>
                <w:sz w:val="20"/>
              </w:rPr>
              <w:t xml:space="preserve">13,888</w:t>
            </w:r>
          </w:p>
        </w:tc>
        <w:tc>
          <w:tcPr/>
          <w:p>
            <w:pPr>
              <w:pStyle w:val="Compact"/>
            </w:pPr>
            <w:r>
              <w:rPr>
                <w:rFonts w:ascii="Calibri" w:hAnsi="Calibri"/>
                <w:sz w:val="20"/>
              </w:rPr>
              <w:t xml:space="preserve">12,960</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12,043</w:t>
            </w:r>
          </w:p>
        </w:tc>
        <w:tc>
          <w:tcPr/>
          <w:p>
            <w:pPr>
              <w:pStyle w:val="Compact"/>
            </w:pPr>
            <w:r>
              <w:rPr>
                <w:rFonts w:ascii="Calibri" w:hAnsi="Calibri"/>
                <w:sz w:val="20"/>
              </w:rPr>
              <w:t xml:space="preserve">13,996</w:t>
            </w:r>
          </w:p>
        </w:tc>
        <w:tc>
          <w:tcPr/>
          <w:p>
            <w:pPr>
              <w:pStyle w:val="Compact"/>
            </w:pPr>
            <w:r>
              <w:rPr>
                <w:rFonts w:ascii="Calibri" w:hAnsi="Calibri"/>
                <w:sz w:val="20"/>
              </w:rPr>
              <w:t xml:space="preserve">12,835</w:t>
            </w:r>
          </w:p>
        </w:tc>
        <w:tc>
          <w:tcPr/>
          <w:p>
            <w:pPr>
              <w:pStyle w:val="Compact"/>
            </w:pPr>
            <w:r>
              <w:rPr>
                <w:rFonts w:ascii="Calibri" w:hAnsi="Calibri"/>
                <w:sz w:val="20"/>
              </w:rPr>
              <w:t xml:space="preserve">0,900</w:t>
            </w:r>
          </w:p>
        </w:tc>
        <w:tc>
          <w:tcPr/>
          <w:p>
            <w:pPr>
              <w:pStyle w:val="Compact"/>
            </w:pPr>
            <w:r>
              <w:rPr>
                <w:rFonts w:ascii="Calibri" w:hAnsi="Calibri"/>
                <w:sz w:val="20"/>
              </w:rPr>
              <w:t xml:space="preserve">sí</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12,122</w:t>
            </w:r>
          </w:p>
        </w:tc>
        <w:tc>
          <w:tcPr/>
          <w:p>
            <w:pPr>
              <w:pStyle w:val="Compact"/>
            </w:pPr>
            <w:r>
              <w:rPr>
                <w:rFonts w:ascii="Calibri" w:hAnsi="Calibri"/>
                <w:sz w:val="20"/>
              </w:rPr>
              <w:t xml:space="preserve">14,466</w:t>
            </w:r>
          </w:p>
        </w:tc>
        <w:tc>
          <w:tcPr/>
          <w:p>
            <w:pPr>
              <w:pStyle w:val="Compact"/>
            </w:pPr>
            <w:r>
              <w:rPr>
                <w:rFonts w:ascii="Calibri" w:hAnsi="Calibri"/>
                <w:sz w:val="20"/>
              </w:rPr>
              <w:t xml:space="preserve">13,073</w:t>
            </w:r>
          </w:p>
        </w:tc>
        <w:tc>
          <w:tcPr/>
          <w:p>
            <w:pPr>
              <w:pStyle w:val="Compact"/>
            </w:pPr>
            <w:r>
              <w:rPr>
                <w:rFonts w:ascii="Calibri" w:hAnsi="Calibri"/>
                <w:sz w:val="20"/>
              </w:rPr>
              <w:t xml:space="preserve">0,961</w:t>
            </w:r>
          </w:p>
        </w:tc>
        <w:tc>
          <w:tcPr/>
          <w:p>
            <w:pPr>
              <w:pStyle w:val="Compact"/>
            </w:pPr>
            <w:r>
              <w:rPr>
                <w:rFonts w:ascii="Calibri" w:hAnsi="Calibri"/>
                <w:sz w:val="20"/>
              </w:rPr>
              <w:t xml:space="preserve">sí</w:t>
            </w:r>
          </w:p>
        </w:tc>
        <w:tc>
          <w:tcPr/>
          <w:p>
            <w:pPr>
              <w:pStyle w:val="Compact"/>
            </w:pPr>
            <w:r>
              <w:rPr>
                <w:rFonts w:ascii="Calibri" w:hAnsi="Calibri"/>
                <w:sz w:val="20"/>
              </w:rPr>
              <w:t xml:space="preserve">0,030</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12,003</w:t>
            </w:r>
          </w:p>
        </w:tc>
        <w:tc>
          <w:tcPr/>
          <w:p>
            <w:pPr>
              <w:pStyle w:val="Compact"/>
            </w:pPr>
            <w:r>
              <w:rPr>
                <w:rFonts w:ascii="Calibri" w:hAnsi="Calibri"/>
                <w:sz w:val="20"/>
              </w:rPr>
              <w:t xml:space="preserve">14,737</w:t>
            </w:r>
          </w:p>
        </w:tc>
        <w:tc>
          <w:tcPr/>
          <w:p>
            <w:pPr>
              <w:pStyle w:val="Compact"/>
            </w:pPr>
            <w:r>
              <w:rPr>
                <w:rFonts w:ascii="Calibri" w:hAnsi="Calibri"/>
                <w:sz w:val="20"/>
              </w:rPr>
              <w:t xml:space="preserve">13,112</w:t>
            </w:r>
          </w:p>
        </w:tc>
        <w:tc>
          <w:tcPr/>
          <w:p>
            <w:pPr>
              <w:pStyle w:val="Compact"/>
            </w:pPr>
            <w:r>
              <w:rPr>
                <w:rFonts w:ascii="Calibri" w:hAnsi="Calibri"/>
                <w:sz w:val="20"/>
              </w:rPr>
              <w:t xml:space="preserve">1,014</w:t>
            </w:r>
          </w:p>
        </w:tc>
        <w:tc>
          <w:tcPr/>
          <w:p>
            <w:pPr>
              <w:pStyle w:val="Compact"/>
            </w:pPr>
            <w:r>
              <w:rPr>
                <w:rFonts w:ascii="Calibri" w:hAnsi="Calibri"/>
                <w:sz w:val="20"/>
              </w:rPr>
              <w:t xml:space="preserve">no</w:t>
            </w:r>
          </w:p>
        </w:tc>
        <w:tc>
          <w:tcPr/>
          <w:p>
            <w:pPr>
              <w:pStyle w:val="Compact"/>
            </w:pPr>
            <w:r>
              <w:rPr>
                <w:rFonts w:ascii="Calibri" w:hAnsi="Calibri"/>
                <w:sz w:val="20"/>
              </w:rPr>
              <w:t xml:space="preserve">0,021</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11,937</w:t>
            </w:r>
          </w:p>
        </w:tc>
        <w:tc>
          <w:tcPr/>
          <w:p>
            <w:pPr>
              <w:pStyle w:val="Compact"/>
            </w:pPr>
            <w:r>
              <w:rPr>
                <w:rFonts w:ascii="Calibri" w:hAnsi="Calibri"/>
                <w:sz w:val="20"/>
              </w:rPr>
              <w:t xml:space="preserve">15,062</w:t>
            </w:r>
          </w:p>
        </w:tc>
        <w:tc>
          <w:tcPr/>
          <w:p>
            <w:pPr>
              <w:pStyle w:val="Compact"/>
            </w:pPr>
            <w:r>
              <w:rPr>
                <w:rFonts w:ascii="Calibri" w:hAnsi="Calibri"/>
                <w:sz w:val="20"/>
              </w:rPr>
              <w:t xml:space="preserve">13,205</w:t>
            </w:r>
          </w:p>
        </w:tc>
        <w:tc>
          <w:tcPr/>
          <w:p>
            <w:pPr>
              <w:pStyle w:val="Compact"/>
            </w:pPr>
            <w:r>
              <w:rPr>
                <w:rFonts w:ascii="Calibri" w:hAnsi="Calibri"/>
                <w:sz w:val="20"/>
              </w:rPr>
              <w:t xml:space="preserve">1,017</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1,015</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bruta.</w:t>
      </w:r>
      <w:r>
        <w:t xml:space="preserve"> </w:t>
      </w:r>
      <w:r>
        <w:t xml:space="preserve">Orden elegido: 4.</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12,378</w:t>
            </w:r>
          </w:p>
        </w:tc>
        <w:tc>
          <w:tcPr/>
          <w:p>
            <w:pPr>
              <w:pStyle w:val="Compact"/>
            </w:pPr>
            <w:r>
              <w:rPr>
                <w:rFonts w:ascii="Calibri" w:hAnsi="Calibri"/>
                <w:sz w:val="20"/>
              </w:rPr>
              <w:t xml:space="preserve">13,940</w:t>
            </w:r>
          </w:p>
        </w:tc>
        <w:tc>
          <w:tcPr/>
          <w:p>
            <w:pPr>
              <w:pStyle w:val="Compact"/>
            </w:pPr>
            <w:r>
              <w:rPr>
                <w:rFonts w:ascii="Calibri" w:hAnsi="Calibri"/>
                <w:sz w:val="20"/>
              </w:rPr>
              <w:t xml:space="preserve">13,011</w:t>
            </w:r>
          </w:p>
        </w:tc>
        <w:tc>
          <w:tcPr/>
          <w:p>
            <w:pPr>
              <w:pStyle w:val="Compact"/>
            </w:pPr>
            <w:r>
              <w:rPr>
                <w:rFonts w:ascii="Calibri" w:hAnsi="Calibri"/>
                <w:sz w:val="20"/>
              </w:rPr>
              <w:t xml:space="preserve">0,818</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12,082</w:t>
            </w:r>
          </w:p>
        </w:tc>
        <w:tc>
          <w:tcPr/>
          <w:p>
            <w:pPr>
              <w:pStyle w:val="Compact"/>
            </w:pPr>
            <w:r>
              <w:rPr>
                <w:rFonts w:ascii="Calibri" w:hAnsi="Calibri"/>
                <w:sz w:val="20"/>
              </w:rPr>
              <w:t xml:space="preserve">14,034</w:t>
            </w:r>
          </w:p>
        </w:tc>
        <w:tc>
          <w:tcPr/>
          <w:p>
            <w:pPr>
              <w:pStyle w:val="Compact"/>
            </w:pPr>
            <w:r>
              <w:rPr>
                <w:rFonts w:ascii="Calibri" w:hAnsi="Calibri"/>
                <w:sz w:val="20"/>
              </w:rPr>
              <w:t xml:space="preserve">12,874</w:t>
            </w:r>
          </w:p>
        </w:tc>
        <w:tc>
          <w:tcPr/>
          <w:p>
            <w:pPr>
              <w:pStyle w:val="Compact"/>
            </w:pPr>
            <w:r>
              <w:rPr>
                <w:rFonts w:ascii="Calibri" w:hAnsi="Calibri"/>
                <w:sz w:val="20"/>
              </w:rPr>
              <w:t xml:space="preserve">0,840</w:t>
            </w:r>
          </w:p>
        </w:tc>
        <w:tc>
          <w:tcPr/>
          <w:p>
            <w:pPr>
              <w:pStyle w:val="Compact"/>
            </w:pPr>
            <w:r>
              <w:rPr>
                <w:rFonts w:ascii="Calibri" w:hAnsi="Calibri"/>
                <w:sz w:val="20"/>
              </w:rPr>
              <w:t xml:space="preserve">sí</w:t>
            </w:r>
          </w:p>
        </w:tc>
        <w:tc>
          <w:tcPr/>
          <w:p>
            <w:pPr>
              <w:pStyle w:val="Compact"/>
            </w:pPr>
            <w:r>
              <w:rPr>
                <w:rFonts w:ascii="Calibri" w:hAnsi="Calibri"/>
                <w:sz w:val="20"/>
              </w:rPr>
              <w:t xml:space="preserve">0,071</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12,170</w:t>
            </w:r>
          </w:p>
        </w:tc>
        <w:tc>
          <w:tcPr/>
          <w:p>
            <w:pPr>
              <w:pStyle w:val="Compact"/>
            </w:pPr>
            <w:r>
              <w:rPr>
                <w:rFonts w:ascii="Calibri" w:hAnsi="Calibri"/>
                <w:sz w:val="20"/>
              </w:rPr>
              <w:t xml:space="preserve">14,514</w:t>
            </w:r>
          </w:p>
        </w:tc>
        <w:tc>
          <w:tcPr/>
          <w:p>
            <w:pPr>
              <w:pStyle w:val="Compact"/>
            </w:pPr>
            <w:r>
              <w:rPr>
                <w:rFonts w:ascii="Calibri" w:hAnsi="Calibri"/>
                <w:sz w:val="20"/>
              </w:rPr>
              <w:t xml:space="preserve">13,121</w:t>
            </w:r>
          </w:p>
        </w:tc>
        <w:tc>
          <w:tcPr/>
          <w:p>
            <w:pPr>
              <w:pStyle w:val="Compact"/>
            </w:pPr>
            <w:r>
              <w:rPr>
                <w:rFonts w:ascii="Calibri" w:hAnsi="Calibri"/>
                <w:sz w:val="20"/>
              </w:rPr>
              <w:t xml:space="preserve">0,923</w:t>
            </w:r>
          </w:p>
        </w:tc>
        <w:tc>
          <w:tcPr/>
          <w:p>
            <w:pPr>
              <w:pStyle w:val="Compact"/>
            </w:pPr>
            <w:r>
              <w:rPr>
                <w:rFonts w:ascii="Calibri" w:hAnsi="Calibri"/>
                <w:sz w:val="20"/>
              </w:rPr>
              <w:t xml:space="preserve">sí</w:t>
            </w:r>
          </w:p>
        </w:tc>
        <w:tc>
          <w:tcPr/>
          <w:p>
            <w:pPr>
              <w:pStyle w:val="Compact"/>
            </w:pPr>
            <w:r>
              <w:rPr>
                <w:rFonts w:ascii="Calibri" w:hAnsi="Calibri"/>
                <w:sz w:val="20"/>
              </w:rPr>
              <w:t xml:space="preserve">0,035</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12,057</w:t>
            </w:r>
          </w:p>
        </w:tc>
        <w:tc>
          <w:tcPr/>
          <w:p>
            <w:pPr>
              <w:pStyle w:val="Compact"/>
            </w:pPr>
            <w:r>
              <w:rPr>
                <w:rFonts w:ascii="Calibri" w:hAnsi="Calibri"/>
                <w:sz w:val="20"/>
              </w:rPr>
              <w:t xml:space="preserve">14,791</w:t>
            </w:r>
          </w:p>
        </w:tc>
        <w:tc>
          <w:tcPr/>
          <w:p>
            <w:pPr>
              <w:pStyle w:val="Compact"/>
            </w:pPr>
            <w:r>
              <w:rPr>
                <w:rFonts w:ascii="Calibri" w:hAnsi="Calibri"/>
                <w:sz w:val="20"/>
              </w:rPr>
              <w:t xml:space="preserve">13,167</w:t>
            </w:r>
          </w:p>
        </w:tc>
        <w:tc>
          <w:tcPr/>
          <w:p>
            <w:pPr>
              <w:pStyle w:val="Compact"/>
            </w:pPr>
            <w:r>
              <w:rPr>
                <w:rFonts w:ascii="Calibri" w:hAnsi="Calibri"/>
                <w:sz w:val="20"/>
              </w:rPr>
              <w:t xml:space="preserve">0,987</w:t>
            </w:r>
          </w:p>
        </w:tc>
        <w:tc>
          <w:tcPr/>
          <w:p>
            <w:pPr>
              <w:pStyle w:val="Compact"/>
            </w:pPr>
            <w:r>
              <w:rPr>
                <w:rFonts w:ascii="Calibri" w:hAnsi="Calibri"/>
                <w:sz w:val="20"/>
              </w:rPr>
              <w:t xml:space="preserve">sí</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11,984</w:t>
            </w:r>
          </w:p>
        </w:tc>
        <w:tc>
          <w:tcPr/>
          <w:p>
            <w:pPr>
              <w:pStyle w:val="Compact"/>
            </w:pPr>
            <w:r>
              <w:rPr>
                <w:rFonts w:ascii="Calibri" w:hAnsi="Calibri"/>
                <w:sz w:val="20"/>
              </w:rPr>
              <w:t xml:space="preserve">15,108</w:t>
            </w:r>
          </w:p>
        </w:tc>
        <w:tc>
          <w:tcPr/>
          <w:p>
            <w:pPr>
              <w:pStyle w:val="Compact"/>
            </w:pPr>
            <w:r>
              <w:rPr>
                <w:rFonts w:ascii="Calibri" w:hAnsi="Calibri"/>
                <w:sz w:val="20"/>
              </w:rPr>
              <w:t xml:space="preserve">13,251</w:t>
            </w:r>
          </w:p>
        </w:tc>
        <w:tc>
          <w:tcPr/>
          <w:p>
            <w:pPr>
              <w:pStyle w:val="Compact"/>
            </w:pPr>
            <w:r>
              <w:rPr>
                <w:rFonts w:ascii="Calibri" w:hAnsi="Calibri"/>
                <w:sz w:val="20"/>
              </w:rPr>
              <w:t xml:space="preserve">1,004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11,968</w:t>
            </w:r>
          </w:p>
        </w:tc>
        <w:tc>
          <w:tcPr/>
          <w:p>
            <w:pPr>
              <w:pStyle w:val="Compact"/>
            </w:pPr>
            <w:r>
              <w:rPr>
                <w:rFonts w:ascii="Calibri" w:hAnsi="Calibri"/>
                <w:sz w:val="20"/>
              </w:rPr>
              <w:t xml:space="preserve">15,483</w:t>
            </w:r>
          </w:p>
        </w:tc>
        <w:tc>
          <w:tcPr/>
          <w:p>
            <w:pPr>
              <w:pStyle w:val="Compact"/>
            </w:pPr>
            <w:r>
              <w:rPr>
                <w:rFonts w:ascii="Calibri" w:hAnsi="Calibri"/>
                <w:sz w:val="20"/>
              </w:rPr>
              <w:t xml:space="preserve">13,394</w:t>
            </w:r>
          </w:p>
        </w:tc>
        <w:tc>
          <w:tcPr/>
          <w:p>
            <w:pPr>
              <w:pStyle w:val="Compact"/>
            </w:pPr>
            <w:r>
              <w:rPr>
                <w:rFonts w:ascii="Calibri" w:hAnsi="Calibri"/>
                <w:sz w:val="20"/>
              </w:rPr>
              <w:t xml:space="preserve">1,027</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bookmarkEnd w:id="116"/>
    <w:bookmarkStart w:id="117" w:name="a.4-diagnósticos-de-los-residuos"/>
    <w:p>
      <w:pPr>
        <w:pStyle w:val="Heading2"/>
      </w:pPr>
      <w:r>
        <w:t xml:space="preserve">A.4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Prueba (p-valor salvo estabilidad)</w:t>
            </w:r>
          </w:p>
        </w:tc>
        <w:tc>
          <w:tcPr/>
          <w:p>
            <w:pPr>
              <w:pStyle w:val="Compact"/>
            </w:pPr>
            <w:r>
              <w:rPr>
                <w:rFonts w:ascii="Calibri" w:hAnsi="Calibri"/>
                <w:sz w:val="20"/>
              </w:rPr>
              <w:t xml:space="preserve">neta, valor nominal (principal)</w:t>
            </w:r>
          </w:p>
        </w:tc>
        <w:tc>
          <w:tcPr/>
          <w:p>
            <w:pPr>
              <w:pStyle w:val="Compact"/>
            </w:pPr>
            <w:r>
              <w:rPr>
                <w:rFonts w:ascii="Calibri" w:hAnsi="Calibri"/>
                <w:sz w:val="20"/>
              </w:rPr>
              <w:t xml:space="preserve">neta, valor libros</w:t>
            </w:r>
          </w:p>
        </w:tc>
        <w:tc>
          <w:tcPr/>
          <w:p>
            <w:pPr>
              <w:pStyle w:val="Compact"/>
            </w:pPr>
            <w:r>
              <w:rPr>
                <w:rFonts w:ascii="Calibri" w:hAnsi="Calibri"/>
                <w:sz w:val="20"/>
              </w:rPr>
              <w:t xml:space="preserve">bruta</w:t>
            </w:r>
          </w:p>
        </w:tc>
      </w:tr>
      <w:tr>
        <w:tc>
          <w:tcPr/>
          <w:p>
            <w:pPr>
              <w:pStyle w:val="Compact"/>
            </w:pPr>
            <w:r>
              <w:rPr>
                <w:rFonts w:ascii="Calibri" w:hAnsi="Calibri"/>
                <w:sz w:val="20"/>
              </w:rPr>
              <w:t xml:space="preserve">Portmanteau (12 rezagos)</w:t>
            </w:r>
          </w:p>
        </w:tc>
        <w:tc>
          <w:tcPr/>
          <w:p>
            <w:pPr>
              <w:pStyle w:val="Compact"/>
            </w:pPr>
            <w:r>
              <w:rPr>
                <w:rFonts w:ascii="Calibri" w:hAnsi="Calibri"/>
                <w:sz w:val="20"/>
              </w:rPr>
              <w:t xml:space="preserve">0,036</w:t>
            </w:r>
          </w:p>
        </w:tc>
        <w:tc>
          <w:tcPr/>
          <w:p>
            <w:pPr>
              <w:pStyle w:val="Compact"/>
            </w:pPr>
            <w:r>
              <w:rPr>
                <w:rFonts w:ascii="Calibri" w:hAnsi="Calibri"/>
                <w:sz w:val="20"/>
              </w:rPr>
              <w:t xml:space="preserve">0,030</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Normalidad multivariada (p-valor)</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Estable (1 = sí)</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r>
      <w:tr>
        <w:tc>
          <w:tcPr/>
          <w:p>
            <w:pPr>
              <w:pStyle w:val="Compact"/>
            </w:pPr>
            <w:r>
              <w:rPr>
                <w:rFonts w:ascii="Calibri" w:hAnsi="Calibri"/>
                <w:sz w:val="20"/>
              </w:rPr>
              <w:t xml:space="preserve">ARCH-LM(4) resultado primario (p-valor)</w:t>
            </w:r>
          </w:p>
        </w:tc>
        <w:tc>
          <w:tcPr/>
          <w:p>
            <w:pPr>
              <w:pStyle w:val="Compact"/>
            </w:pPr>
            <w:r>
              <w:rPr>
                <w:rFonts w:ascii="Calibri" w:hAnsi="Calibri"/>
                <w:sz w:val="20"/>
              </w:rPr>
              <w:t xml:space="preserve">0,991</w:t>
            </w:r>
          </w:p>
        </w:tc>
        <w:tc>
          <w:tcPr/>
          <w:p>
            <w:pPr>
              <w:pStyle w:val="Compact"/>
            </w:pPr>
            <w:r>
              <w:rPr>
                <w:rFonts w:ascii="Calibri" w:hAnsi="Calibri"/>
                <w:sz w:val="20"/>
              </w:rPr>
              <w:t xml:space="preserve">0,988</w:t>
            </w:r>
          </w:p>
        </w:tc>
        <w:tc>
          <w:tcPr/>
          <w:p>
            <w:pPr>
              <w:pStyle w:val="Compact"/>
            </w:pPr>
            <w:r>
              <w:rPr>
                <w:rFonts w:ascii="Calibri" w:hAnsi="Calibri"/>
                <w:sz w:val="20"/>
              </w:rPr>
              <w:t xml:space="preserve">0,993</w:t>
            </w:r>
          </w:p>
        </w:tc>
      </w:tr>
      <w:tr>
        <w:tc>
          <w:tcPr/>
          <w:p>
            <w:pPr>
              <w:pStyle w:val="Compact"/>
            </w:pPr>
            <w:r>
              <w:rPr>
                <w:rFonts w:ascii="Calibri" w:hAnsi="Calibri"/>
                <w:sz w:val="20"/>
              </w:rPr>
              <w:t xml:space="preserve">ARCH-LM(4) crecimiento (p-valor)</w:t>
            </w:r>
          </w:p>
        </w:tc>
        <w:tc>
          <w:tcPr/>
          <w:p>
            <w:pPr>
              <w:pStyle w:val="Compact"/>
            </w:pPr>
            <w:r>
              <w:rPr>
                <w:rFonts w:ascii="Calibri" w:hAnsi="Calibri"/>
                <w:sz w:val="20"/>
              </w:rPr>
              <w:t xml:space="preserve">0,989</w:t>
            </w:r>
          </w:p>
        </w:tc>
        <w:tc>
          <w:tcPr/>
          <w:p>
            <w:pPr>
              <w:pStyle w:val="Compact"/>
            </w:pPr>
            <w:r>
              <w:rPr>
                <w:rFonts w:ascii="Calibri" w:hAnsi="Calibri"/>
                <w:sz w:val="20"/>
              </w:rPr>
              <w:t xml:space="preserve">0,990</w:t>
            </w:r>
          </w:p>
        </w:tc>
        <w:tc>
          <w:tcPr/>
          <w:p>
            <w:pPr>
              <w:pStyle w:val="Compact"/>
            </w:pPr>
            <w:r>
              <w:rPr>
                <w:rFonts w:ascii="Calibri" w:hAnsi="Calibri"/>
                <w:sz w:val="20"/>
              </w:rPr>
              <w:t xml:space="preserve">0,978</w:t>
            </w:r>
          </w:p>
        </w:tc>
      </w:tr>
      <w:tr>
        <w:tc>
          <w:tcPr/>
          <w:p>
            <w:pPr>
              <w:pStyle w:val="Compact"/>
            </w:pPr>
            <w:r>
              <w:rPr>
                <w:rFonts w:ascii="Calibri" w:hAnsi="Calibri"/>
                <w:sz w:val="20"/>
              </w:rPr>
              <w:t xml:space="preserve">ARCH-LM(4) EMBI (p-valor)</w:t>
            </w:r>
          </w:p>
        </w:tc>
        <w:tc>
          <w:tcPr/>
          <w:p>
            <w:pPr>
              <w:pStyle w:val="Compact"/>
            </w:pPr>
            <w:r>
              <w:rPr>
                <w:rFonts w:ascii="Calibri" w:hAnsi="Calibri"/>
                <w:sz w:val="20"/>
              </w:rPr>
              <w:t xml:space="preserve">0,998</w:t>
            </w:r>
          </w:p>
        </w:tc>
        <w:tc>
          <w:tcPr/>
          <w:p>
            <w:pPr>
              <w:pStyle w:val="Compact"/>
            </w:pPr>
            <w:r>
              <w:rPr>
                <w:rFonts w:ascii="Calibri" w:hAnsi="Calibri"/>
                <w:sz w:val="20"/>
              </w:rPr>
              <w:t xml:space="preserve">0,998</w:t>
            </w:r>
          </w:p>
        </w:tc>
        <w:tc>
          <w:tcPr/>
          <w:p>
            <w:pPr>
              <w:pStyle w:val="Compact"/>
            </w:pPr>
            <w:r>
              <w:rPr>
                <w:rFonts w:ascii="Calibri" w:hAnsi="Calibri"/>
                <w:sz w:val="20"/>
              </w:rPr>
              <w:t xml:space="preserve">0,999</w:t>
            </w:r>
          </w:p>
        </w:tc>
      </w:tr>
      <w:tr>
        <w:tc>
          <w:tcPr/>
          <w:p>
            <w:pPr>
              <w:pStyle w:val="Compact"/>
            </w:pPr>
            <w:r>
              <w:rPr>
                <w:rFonts w:ascii="Calibri" w:hAnsi="Calibri"/>
                <w:sz w:val="20"/>
              </w:rPr>
              <w:t xml:space="preserve">ARCH-LM(4) TCRM (p-valor)</w:t>
            </w:r>
          </w:p>
        </w:tc>
        <w:tc>
          <w:tcPr/>
          <w:p>
            <w:pPr>
              <w:pStyle w:val="Compact"/>
            </w:pPr>
            <w:r>
              <w:rPr>
                <w:rFonts w:ascii="Calibri" w:hAnsi="Calibri"/>
                <w:sz w:val="20"/>
              </w:rPr>
              <w:t xml:space="preserve">0,867</w:t>
            </w:r>
          </w:p>
        </w:tc>
        <w:tc>
          <w:tcPr/>
          <w:p>
            <w:pPr>
              <w:pStyle w:val="Compact"/>
            </w:pPr>
            <w:r>
              <w:rPr>
                <w:rFonts w:ascii="Calibri" w:hAnsi="Calibri"/>
                <w:sz w:val="20"/>
              </w:rPr>
              <w:t xml:space="preserve">0,824</w:t>
            </w:r>
          </w:p>
        </w:tc>
        <w:tc>
          <w:tcPr/>
          <w:p>
            <w:pPr>
              <w:pStyle w:val="Compact"/>
            </w:pPr>
            <w:r>
              <w:rPr>
                <w:rFonts w:ascii="Calibri" w:hAnsi="Calibri"/>
                <w:sz w:val="20"/>
              </w:rPr>
              <w:t xml:space="preserve">0,395</w:t>
            </w:r>
          </w:p>
        </w:tc>
      </w:tr>
    </w:tbl>
    <w:bookmarkEnd w:id="117"/>
    <w:bookmarkStart w:id="118" w:name="a.5-matriz-de-impacto-estructural"/>
    <w:p>
      <w:pPr>
        <w:pStyle w:val="Heading2"/>
      </w:pPr>
      <w:r>
        <w:t xml:space="preserve">A.5 Matriz de impacto estructural</w:t>
      </w:r>
    </w:p>
    <w:p>
      <w:pPr>
        <w:pStyle w:val="FirstParagraph"/>
      </w:pPr>
      <w:r>
        <w:t xml:space="preserve">Efecto en el mismo trimestre de un</w:t>
      </w:r>
      <w:r>
        <w:t xml:space="preserve"> </w:t>
      </w:r>
      <w:r>
        <w:rPr>
          <w:i/>
          <w:iCs/>
        </w:rPr>
        <w:t xml:space="preserve">shock</w:t>
      </w:r>
      <w:r>
        <w:t xml:space="preserve"> </w:t>
      </w:r>
      <w:r>
        <w:t xml:space="preserve">estructural de un desvío estándar (especificación principal). Los ceros son las restricciones de identificación de la sección 4.4. Los dos</w:t>
      </w:r>
      <w:r>
        <w:t xml:space="preserve"> </w:t>
      </w:r>
      <w:r>
        <w:rPr>
          <w:i/>
          <w:iCs/>
        </w:rPr>
        <w:t xml:space="preserve">shocks</w:t>
      </w:r>
      <w:r>
        <w:t xml:space="preserve"> </w:t>
      </w:r>
      <w:r>
        <w:t xml:space="preserve">del bloque cambiario y de riesgo no tienen interpretación por separado: solo se usa su efecto conjunto.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fiscal</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actividad</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1,509</w:t>
            </w:r>
          </w:p>
        </w:tc>
        <w:tc>
          <w:tcPr/>
          <w:p>
            <w:pPr>
              <w:pStyle w:val="Compact"/>
            </w:pPr>
            <w:r>
              <w:rPr>
                <w:rFonts w:ascii="Calibri" w:hAnsi="Calibri"/>
                <w:sz w:val="20"/>
              </w:rPr>
              <w:t xml:space="preserve">0,679</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-0,266</w:t>
            </w:r>
          </w:p>
        </w:tc>
        <w:tc>
          <w:tcPr/>
          <w:p>
            <w:pPr>
              <w:pStyle w:val="Compact"/>
            </w:pPr>
            <w:r>
              <w:rPr>
                <w:rFonts w:ascii="Calibri" w:hAnsi="Calibri"/>
                <w:sz w:val="20"/>
              </w:rPr>
              <w:t xml:space="preserve">2,717</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-118,560</w:t>
            </w:r>
          </w:p>
        </w:tc>
        <w:tc>
          <w:tcPr/>
          <w:p>
            <w:pPr>
              <w:pStyle w:val="Compact"/>
            </w:pPr>
            <w:r>
              <w:rPr>
                <w:rFonts w:ascii="Calibri" w:hAnsi="Calibri"/>
                <w:sz w:val="20"/>
              </w:rPr>
              <w:t xml:space="preserve">-30,491</w:t>
            </w:r>
          </w:p>
        </w:tc>
        <w:tc>
          <w:tcPr/>
          <w:p>
            <w:pPr>
              <w:pStyle w:val="Compact"/>
            </w:pPr>
            <w:r>
              <w:rPr>
                <w:rFonts w:ascii="Calibri" w:hAnsi="Calibri"/>
                <w:sz w:val="20"/>
              </w:rPr>
              <w:t xml:space="preserve">449,797</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0,022</w:t>
            </w:r>
          </w:p>
        </w:tc>
        <w:tc>
          <w:tcPr/>
          <w:p>
            <w:pPr>
              <w:pStyle w:val="Compact"/>
            </w:pPr>
            <w:r>
              <w:rPr>
                <w:rFonts w:ascii="Calibri" w:hAnsi="Calibri"/>
                <w:sz w:val="20"/>
              </w:rPr>
              <w:t xml:space="preserve">-0,014</w:t>
            </w:r>
          </w:p>
        </w:tc>
        <w:tc>
          <w:tcPr/>
          <w:p>
            <w:pPr>
              <w:pStyle w:val="Compact"/>
            </w:pPr>
            <w:r>
              <w:rPr>
                <w:rFonts w:ascii="Calibri" w:hAnsi="Calibri"/>
                <w:sz w:val="20"/>
              </w:rPr>
              <w:t xml:space="preserve">0,011</w:t>
            </w:r>
          </w:p>
        </w:tc>
        <w:tc>
          <w:tcPr/>
          <w:p>
            <w:pPr>
              <w:pStyle w:val="Compact"/>
            </w:pPr>
            <w:r>
              <w:rPr>
                <w:rFonts w:ascii="Calibri" w:hAnsi="Calibri"/>
                <w:sz w:val="20"/>
              </w:rPr>
              <w:t xml:space="preserve">0,096</w:t>
            </w:r>
          </w:p>
        </w:tc>
      </w:tr>
    </w:tbl>
    <w:bookmarkEnd w:id="118"/>
    <w:bookmarkStart w:id="119" w:name="a.6-ecuación-del-resultado-primario"/>
    <w:p>
      <w:pPr>
        <w:pStyle w:val="Heading2"/>
      </w:pPr>
      <w:r>
        <w:t xml:space="preserve">A.6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
          <w:iCs/>
        </w:rPr>
        <w:t xml:space="preserve">bootstrap</w:t>
      </w:r>
      <w:r>
        <w:t xml:space="preser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Regresor</w:t>
            </w:r>
          </w:p>
        </w:tc>
        <w:tc>
          <w:tcPr/>
          <w:p>
            <w:pPr>
              <w:pStyle w:val="Compact"/>
            </w:pPr>
            <w:r>
              <w:rPr>
                <w:rFonts w:ascii="Calibri" w:hAnsi="Calibri"/>
                <w:sz w:val="20"/>
              </w:rPr>
              <w:t xml:space="preserve">Coeficiente</w:t>
            </w:r>
          </w:p>
        </w:tc>
        <w:tc>
          <w:tcPr/>
          <w:p>
            <w:pPr>
              <w:pStyle w:val="Compact"/>
            </w:pPr>
            <w:r>
              <w:rPr>
                <w:rFonts w:ascii="Calibri" w:hAnsi="Calibri"/>
                <w:sz w:val="20"/>
              </w:rPr>
              <w:t xml:space="preserve">Error estándar</w:t>
            </w:r>
          </w:p>
        </w:tc>
        <w:tc>
          <w:tcPr/>
          <w:p>
            <w:pPr>
              <w:pStyle w:val="Compact"/>
            </w:pPr>
            <w:r>
              <w:rPr>
                <w:rFonts w:ascii="Calibri" w:hAnsi="Calibri"/>
                <w:sz w:val="20"/>
              </w:rPr>
              <w:t xml:space="preserve">p-valor</w:t>
            </w:r>
          </w:p>
        </w:tc>
      </w:tr>
      <w:tr>
        <w:tc>
          <w:tcPr/>
          <w:p>
            <w:pPr>
              <w:pStyle w:val="Compact"/>
            </w:pPr>
            <w:r>
              <w:rPr>
                <w:rFonts w:ascii="Calibri" w:hAnsi="Calibri"/>
                <w:sz w:val="20"/>
              </w:rPr>
              <w:t xml:space="preserve">Variación de la tasa de la FED, rezago 0</w:t>
            </w:r>
          </w:p>
        </w:tc>
        <w:tc>
          <w:tcPr/>
          <w:p>
            <w:pPr>
              <w:pStyle w:val="Compact"/>
            </w:pPr>
            <w:r>
              <w:rPr>
                <w:rFonts w:ascii="Calibri" w:hAnsi="Calibri"/>
                <w:sz w:val="20"/>
              </w:rPr>
              <w:t xml:space="preserve">0,5297</w:t>
            </w:r>
          </w:p>
        </w:tc>
        <w:tc>
          <w:tcPr/>
          <w:p>
            <w:pPr>
              <w:pStyle w:val="Compact"/>
            </w:pPr>
            <w:r>
              <w:rPr>
                <w:rFonts w:ascii="Calibri" w:hAnsi="Calibri"/>
                <w:sz w:val="20"/>
              </w:rPr>
              <w:t xml:space="preserve">0,5178</w:t>
            </w:r>
          </w:p>
        </w:tc>
        <w:tc>
          <w:tcPr/>
          <w:p>
            <w:pPr>
              <w:pStyle w:val="Compact"/>
            </w:pPr>
            <w:r>
              <w:rPr>
                <w:rFonts w:ascii="Calibri" w:hAnsi="Calibri"/>
                <w:sz w:val="20"/>
              </w:rPr>
              <w:t xml:space="preserve">0,306</w:t>
            </w:r>
          </w:p>
        </w:tc>
      </w:tr>
      <w:tr>
        <w:tc>
          <w:tcPr/>
          <w:p>
            <w:pPr>
              <w:pStyle w:val="Compact"/>
            </w:pPr>
            <w:r>
              <w:rPr>
                <w:rFonts w:ascii="Calibri" w:hAnsi="Calibri"/>
                <w:sz w:val="20"/>
              </w:rPr>
              <w:t xml:space="preserve">Variación de la tasa de la FED, rezago 1</w:t>
            </w:r>
          </w:p>
        </w:tc>
        <w:tc>
          <w:tcPr/>
          <w:p>
            <w:pPr>
              <w:pStyle w:val="Compact"/>
            </w:pPr>
            <w:r>
              <w:rPr>
                <w:rFonts w:ascii="Calibri" w:hAnsi="Calibri"/>
                <w:sz w:val="20"/>
              </w:rPr>
              <w:t xml:space="preserve">-0,7911</w:t>
            </w:r>
          </w:p>
        </w:tc>
        <w:tc>
          <w:tcPr/>
          <w:p>
            <w:pPr>
              <w:pStyle w:val="Compact"/>
            </w:pPr>
            <w:r>
              <w:rPr>
                <w:rFonts w:ascii="Calibri" w:hAnsi="Calibri"/>
                <w:sz w:val="20"/>
              </w:rPr>
              <w:t xml:space="preserve">0,5670</w:t>
            </w:r>
          </w:p>
        </w:tc>
        <w:tc>
          <w:tcPr/>
          <w:p>
            <w:pPr>
              <w:pStyle w:val="Compact"/>
            </w:pPr>
            <w:r>
              <w:rPr>
                <w:rFonts w:ascii="Calibri" w:hAnsi="Calibri"/>
                <w:sz w:val="20"/>
              </w:rPr>
              <w:t xml:space="preserve">0,163</w:t>
            </w:r>
          </w:p>
        </w:tc>
      </w:tr>
      <w:tr>
        <w:tc>
          <w:tcPr/>
          <w:p>
            <w:pPr>
              <w:pStyle w:val="Compact"/>
            </w:pPr>
            <w:r>
              <w:rPr>
                <w:rFonts w:ascii="Calibri" w:hAnsi="Calibri"/>
                <w:sz w:val="20"/>
              </w:rPr>
              <w:t xml:space="preserve">Variación de la tasa de la FED, rezago 2</w:t>
            </w:r>
          </w:p>
        </w:tc>
        <w:tc>
          <w:tcPr/>
          <w:p>
            <w:pPr>
              <w:pStyle w:val="Compact"/>
            </w:pPr>
            <w:r>
              <w:rPr>
                <w:rFonts w:ascii="Calibri" w:hAnsi="Calibri"/>
                <w:sz w:val="20"/>
              </w:rPr>
              <w:t xml:space="preserve">0,0030</w:t>
            </w:r>
          </w:p>
        </w:tc>
        <w:tc>
          <w:tcPr/>
          <w:p>
            <w:pPr>
              <w:pStyle w:val="Compact"/>
            </w:pPr>
            <w:r>
              <w:rPr>
                <w:rFonts w:ascii="Calibri" w:hAnsi="Calibri"/>
                <w:sz w:val="20"/>
              </w:rPr>
              <w:t xml:space="preserve">0,5160</w:t>
            </w:r>
          </w:p>
        </w:tc>
        <w:tc>
          <w:tcPr/>
          <w:p>
            <w:pPr>
              <w:pStyle w:val="Compact"/>
            </w:pPr>
            <w:r>
              <w:rPr>
                <w:rFonts w:ascii="Calibri" w:hAnsi="Calibri"/>
                <w:sz w:val="20"/>
              </w:rPr>
              <w:t xml:space="preserve">0,995</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-0,0253</w:t>
            </w:r>
          </w:p>
        </w:tc>
        <w:tc>
          <w:tcPr/>
          <w:p>
            <w:pPr>
              <w:pStyle w:val="Compact"/>
            </w:pPr>
            <w:r>
              <w:rPr>
                <w:rFonts w:ascii="Calibri" w:hAnsi="Calibri"/>
                <w:sz w:val="20"/>
              </w:rPr>
              <w:t xml:space="preserve">0,0319</w:t>
            </w:r>
          </w:p>
        </w:tc>
        <w:tc>
          <w:tcPr/>
          <w:p>
            <w:pPr>
              <w:pStyle w:val="Compact"/>
            </w:pPr>
            <w:r>
              <w:rPr>
                <w:rFonts w:ascii="Calibri" w:hAnsi="Calibri"/>
                <w:sz w:val="20"/>
              </w:rPr>
              <w:t xml:space="preserve">0,427</w:t>
            </w:r>
          </w:p>
        </w:tc>
      </w:tr>
      <w:tr>
        <w:tc>
          <w:tcPr/>
          <w:p>
            <w:pPr>
              <w:pStyle w:val="Compact"/>
            </w:pPr>
            <w:r>
              <w:rPr>
                <w:rFonts w:ascii="Calibri" w:hAnsi="Calibri"/>
                <w:sz w:val="20"/>
              </w:rPr>
              <w:t xml:space="preserve">Deuda consolidada neta, rezago 1 (reacción de Bohn)</w:t>
            </w:r>
          </w:p>
        </w:tc>
        <w:tc>
          <w:tcPr/>
          <w:p>
            <w:pPr>
              <w:pStyle w:val="Compact"/>
            </w:pPr>
            <w:r>
              <w:rPr>
                <w:rFonts w:ascii="Calibri" w:hAnsi="Calibri"/>
                <w:sz w:val="20"/>
              </w:rPr>
              <w:t xml:space="preserve">0,0505</w:t>
            </w:r>
          </w:p>
        </w:tc>
        <w:tc>
          <w:tcPr/>
          <w:p>
            <w:pPr>
              <w:pStyle w:val="Compact"/>
            </w:pPr>
            <w:r>
              <w:rPr>
                <w:rFonts w:ascii="Calibri" w:hAnsi="Calibri"/>
                <w:sz w:val="20"/>
              </w:rPr>
              <w:t xml:space="preserve">0,0215</w:t>
            </w:r>
          </w:p>
        </w:tc>
        <w:tc>
          <w:tcPr/>
          <w:p>
            <w:pPr>
              <w:pStyle w:val="Compact"/>
            </w:pPr>
            <w:r>
              <w:rPr>
                <w:rFonts w:ascii="Calibri" w:hAnsi="Calibri"/>
                <w:sz w:val="20"/>
              </w:rPr>
              <w:t xml:space="preserve">0,019</w:t>
            </w:r>
          </w:p>
        </w:tc>
      </w:tr>
      <w:tr>
        <w:tc>
          <w:tcPr/>
          <w:p>
            <w:pPr>
              <w:pStyle w:val="Compact"/>
            </w:pPr>
            <w:r>
              <w:rPr>
                <w:rFonts w:ascii="Calibri" w:hAnsi="Calibri"/>
                <w:sz w:val="20"/>
              </w:rPr>
              <w:t xml:space="preserve">Resultado primario, rezago 1</w:t>
            </w:r>
          </w:p>
        </w:tc>
        <w:tc>
          <w:tcPr/>
          <w:p>
            <w:pPr>
              <w:pStyle w:val="Compact"/>
            </w:pPr>
            <w:r>
              <w:rPr>
                <w:rFonts w:ascii="Calibri" w:hAnsi="Calibri"/>
                <w:sz w:val="20"/>
              </w:rPr>
              <w:t xml:space="preserve">0,3404</w:t>
            </w:r>
          </w:p>
        </w:tc>
        <w:tc>
          <w:tcPr/>
          <w:p>
            <w:pPr>
              <w:pStyle w:val="Compact"/>
            </w:pPr>
            <w:r>
              <w:rPr>
                <w:rFonts w:ascii="Calibri" w:hAnsi="Calibri"/>
                <w:sz w:val="20"/>
              </w:rPr>
              <w:t xml:space="preserve">0,1116</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1</w:t>
            </w:r>
          </w:p>
        </w:tc>
        <w:tc>
          <w:tcPr/>
          <w:p>
            <w:pPr>
              <w:pStyle w:val="Compact"/>
            </w:pPr>
            <w:r>
              <w:rPr>
                <w:rFonts w:ascii="Calibri" w:hAnsi="Calibri"/>
                <w:sz w:val="20"/>
              </w:rPr>
              <w:t xml:space="preserve">0,0901</w:t>
            </w:r>
          </w:p>
        </w:tc>
        <w:tc>
          <w:tcPr/>
          <w:p>
            <w:pPr>
              <w:pStyle w:val="Compact"/>
            </w:pPr>
            <w:r>
              <w:rPr>
                <w:rFonts w:ascii="Calibri" w:hAnsi="Calibri"/>
                <w:sz w:val="20"/>
              </w:rPr>
              <w:t xml:space="preserve">0,0647</w:t>
            </w:r>
          </w:p>
        </w:tc>
        <w:tc>
          <w:tcPr/>
          <w:p>
            <w:pPr>
              <w:pStyle w:val="Compact"/>
            </w:pPr>
            <w:r>
              <w:rPr>
                <w:rFonts w:ascii="Calibri" w:hAnsi="Calibri"/>
                <w:sz w:val="20"/>
              </w:rPr>
              <w:t xml:space="preserve">0,164</w:t>
            </w:r>
          </w:p>
        </w:tc>
      </w:tr>
      <w:tr>
        <w:tc>
          <w:tcPr/>
          <w:p>
            <w:pPr>
              <w:pStyle w:val="Compact"/>
            </w:pPr>
            <w:r>
              <w:rPr>
                <w:rFonts w:ascii="Calibri" w:hAnsi="Calibri"/>
                <w:sz w:val="20"/>
              </w:rPr>
              <w:t xml:space="preserve">EMBI+, rezago 1</w:t>
            </w:r>
          </w:p>
        </w:tc>
        <w:tc>
          <w:tcPr/>
          <w:p>
            <w:pPr>
              <w:pStyle w:val="Compact"/>
            </w:pPr>
            <w:r>
              <w:rPr>
                <w:rFonts w:ascii="Calibri" w:hAnsi="Calibri"/>
                <w:sz w:val="20"/>
              </w:rPr>
              <w:t xml:space="preserve">-0,0005</w:t>
            </w:r>
          </w:p>
        </w:tc>
        <w:tc>
          <w:tcPr/>
          <w:p>
            <w:pPr>
              <w:pStyle w:val="Compact"/>
            </w:pPr>
            <w:r>
              <w:rPr>
                <w:rFonts w:ascii="Calibri" w:hAnsi="Calibri"/>
                <w:sz w:val="20"/>
              </w:rPr>
              <w:t xml:space="preserve">0,0004</w:t>
            </w:r>
          </w:p>
        </w:tc>
        <w:tc>
          <w:tcPr/>
          <w:p>
            <w:pPr>
              <w:pStyle w:val="Compact"/>
            </w:pPr>
            <w:r>
              <w:rPr>
                <w:rFonts w:ascii="Calibri" w:hAnsi="Calibri"/>
                <w:sz w:val="20"/>
              </w:rPr>
              <w:t xml:space="preserve">0,189</w:t>
            </w:r>
          </w:p>
        </w:tc>
      </w:tr>
      <w:tr>
        <w:tc>
          <w:tcPr/>
          <w:p>
            <w:pPr>
              <w:pStyle w:val="Compact"/>
            </w:pPr>
            <w:r>
              <w:rPr>
                <w:rFonts w:ascii="Calibri" w:hAnsi="Calibri"/>
                <w:sz w:val="20"/>
              </w:rPr>
              <w:t xml:space="preserve">TCRM, rezago 1</w:t>
            </w:r>
          </w:p>
        </w:tc>
        <w:tc>
          <w:tcPr/>
          <w:p>
            <w:pPr>
              <w:pStyle w:val="Compact"/>
            </w:pPr>
            <w:r>
              <w:rPr>
                <w:rFonts w:ascii="Calibri" w:hAnsi="Calibri"/>
                <w:sz w:val="20"/>
              </w:rPr>
              <w:t xml:space="preserve">3,6341</w:t>
            </w:r>
          </w:p>
        </w:tc>
        <w:tc>
          <w:tcPr/>
          <w:p>
            <w:pPr>
              <w:pStyle w:val="Compact"/>
            </w:pPr>
            <w:r>
              <w:rPr>
                <w:rFonts w:ascii="Calibri" w:hAnsi="Calibri"/>
                <w:sz w:val="20"/>
              </w:rPr>
              <w:t xml:space="preserve">1,7183</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Resultado primario, rezago 2</w:t>
            </w:r>
          </w:p>
        </w:tc>
        <w:tc>
          <w:tcPr/>
          <w:p>
            <w:pPr>
              <w:pStyle w:val="Compact"/>
            </w:pPr>
            <w:r>
              <w:rPr>
                <w:rFonts w:ascii="Calibri" w:hAnsi="Calibri"/>
                <w:sz w:val="20"/>
              </w:rPr>
              <w:t xml:space="preserve">0,3739</w:t>
            </w:r>
          </w:p>
        </w:tc>
        <w:tc>
          <w:tcPr/>
          <w:p>
            <w:pPr>
              <w:pStyle w:val="Compact"/>
            </w:pPr>
            <w:r>
              <w:rPr>
                <w:rFonts w:ascii="Calibri" w:hAnsi="Calibri"/>
                <w:sz w:val="20"/>
              </w:rPr>
              <w:t xml:space="preserve">0,1190</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2</w:t>
            </w:r>
          </w:p>
        </w:tc>
        <w:tc>
          <w:tcPr/>
          <w:p>
            <w:pPr>
              <w:pStyle w:val="Compact"/>
            </w:pPr>
            <w:r>
              <w:rPr>
                <w:rFonts w:ascii="Calibri" w:hAnsi="Calibri"/>
                <w:sz w:val="20"/>
              </w:rPr>
              <w:t xml:space="preserve">0,1250</w:t>
            </w:r>
          </w:p>
        </w:tc>
        <w:tc>
          <w:tcPr/>
          <w:p>
            <w:pPr>
              <w:pStyle w:val="Compact"/>
            </w:pPr>
            <w:r>
              <w:rPr>
                <w:rFonts w:ascii="Calibri" w:hAnsi="Calibri"/>
                <w:sz w:val="20"/>
              </w:rPr>
              <w:t xml:space="preserve">0,0633</w:t>
            </w:r>
          </w:p>
        </w:tc>
        <w:tc>
          <w:tcPr/>
          <w:p>
            <w:pPr>
              <w:pStyle w:val="Compact"/>
            </w:pPr>
            <w:r>
              <w:rPr>
                <w:rFonts w:ascii="Calibri" w:hAnsi="Calibri"/>
                <w:sz w:val="20"/>
              </w:rPr>
              <w:t xml:space="preserve">0,048</w:t>
            </w:r>
          </w:p>
        </w:tc>
      </w:tr>
      <w:tr>
        <w:tc>
          <w:tcPr/>
          <w:p>
            <w:pPr>
              <w:pStyle w:val="Compact"/>
            </w:pPr>
            <w:r>
              <w:rPr>
                <w:rFonts w:ascii="Calibri" w:hAnsi="Calibri"/>
                <w:sz w:val="20"/>
              </w:rPr>
              <w:t xml:space="preserve">EMBI+, rezago 2</w:t>
            </w:r>
          </w:p>
        </w:tc>
        <w:tc>
          <w:tcPr/>
          <w:p>
            <w:pPr>
              <w:pStyle w:val="Compact"/>
            </w:pPr>
            <w:r>
              <w:rPr>
                <w:rFonts w:ascii="Calibri" w:hAnsi="Calibri"/>
                <w:sz w:val="20"/>
              </w:rPr>
              <w:t xml:space="preserve">0,0001</w:t>
            </w:r>
          </w:p>
        </w:tc>
        <w:tc>
          <w:tcPr/>
          <w:p>
            <w:pPr>
              <w:pStyle w:val="Compact"/>
            </w:pPr>
            <w:r>
              <w:rPr>
                <w:rFonts w:ascii="Calibri" w:hAnsi="Calibri"/>
                <w:sz w:val="20"/>
              </w:rPr>
              <w:t xml:space="preserve">0,0005</w:t>
            </w:r>
          </w:p>
        </w:tc>
        <w:tc>
          <w:tcPr/>
          <w:p>
            <w:pPr>
              <w:pStyle w:val="Compact"/>
            </w:pPr>
            <w:r>
              <w:rPr>
                <w:rFonts w:ascii="Calibri" w:hAnsi="Calibri"/>
                <w:sz w:val="20"/>
              </w:rPr>
              <w:t xml:space="preserve">0,850</w:t>
            </w:r>
          </w:p>
        </w:tc>
      </w:tr>
      <w:tr>
        <w:tc>
          <w:tcPr/>
          <w:p>
            <w:pPr>
              <w:pStyle w:val="Compact"/>
            </w:pPr>
            <w:r>
              <w:rPr>
                <w:rFonts w:ascii="Calibri" w:hAnsi="Calibri"/>
                <w:sz w:val="20"/>
              </w:rPr>
              <w:t xml:space="preserve">TCRM, rezago 2</w:t>
            </w:r>
          </w:p>
        </w:tc>
        <w:tc>
          <w:tcPr/>
          <w:p>
            <w:pPr>
              <w:pStyle w:val="Compact"/>
            </w:pPr>
            <w:r>
              <w:rPr>
                <w:rFonts w:ascii="Calibri" w:hAnsi="Calibri"/>
                <w:sz w:val="20"/>
              </w:rPr>
              <w:t xml:space="preserve">-2,9019</w:t>
            </w:r>
          </w:p>
        </w:tc>
        <w:tc>
          <w:tcPr/>
          <w:p>
            <w:pPr>
              <w:pStyle w:val="Compact"/>
            </w:pPr>
            <w:r>
              <w:rPr>
                <w:rFonts w:ascii="Calibri" w:hAnsi="Calibri"/>
                <w:sz w:val="20"/>
              </w:rPr>
              <w:t xml:space="preserve">2,3871</w:t>
            </w:r>
          </w:p>
        </w:tc>
        <w:tc>
          <w:tcPr/>
          <w:p>
            <w:pPr>
              <w:pStyle w:val="Compact"/>
            </w:pPr>
            <w:r>
              <w:rPr>
                <w:rFonts w:ascii="Calibri" w:hAnsi="Calibri"/>
                <w:sz w:val="20"/>
              </w:rPr>
              <w:t xml:space="preserve">0,224</w:t>
            </w:r>
          </w:p>
        </w:tc>
      </w:tr>
      <w:tr>
        <w:tc>
          <w:tcPr/>
          <w:p>
            <w:pPr>
              <w:pStyle w:val="Compact"/>
            </w:pPr>
            <w:r>
              <w:rPr>
                <w:rFonts w:ascii="Calibri" w:hAnsi="Calibri"/>
                <w:sz w:val="20"/>
              </w:rPr>
              <w:t xml:space="preserve">Resultado primario, rezago 3</w:t>
            </w:r>
          </w:p>
        </w:tc>
        <w:tc>
          <w:tcPr/>
          <w:p>
            <w:pPr>
              <w:pStyle w:val="Compact"/>
            </w:pPr>
            <w:r>
              <w:rPr>
                <w:rFonts w:ascii="Calibri" w:hAnsi="Calibri"/>
                <w:sz w:val="20"/>
              </w:rPr>
              <w:t xml:space="preserve">0,0149</w:t>
            </w:r>
          </w:p>
        </w:tc>
        <w:tc>
          <w:tcPr/>
          <w:p>
            <w:pPr>
              <w:pStyle w:val="Compact"/>
            </w:pPr>
            <w:r>
              <w:rPr>
                <w:rFonts w:ascii="Calibri" w:hAnsi="Calibri"/>
                <w:sz w:val="20"/>
              </w:rPr>
              <w:t xml:space="preserve">0,1154</w:t>
            </w:r>
          </w:p>
        </w:tc>
        <w:tc>
          <w:tcPr/>
          <w:p>
            <w:pPr>
              <w:pStyle w:val="Compact"/>
            </w:pPr>
            <w:r>
              <w:rPr>
                <w:rFonts w:ascii="Calibri" w:hAnsi="Calibri"/>
                <w:sz w:val="20"/>
              </w:rPr>
              <w:t xml:space="preserve">0,897</w:t>
            </w:r>
          </w:p>
        </w:tc>
      </w:tr>
      <w:tr>
        <w:tc>
          <w:tcPr/>
          <w:p>
            <w:pPr>
              <w:pStyle w:val="Compact"/>
            </w:pPr>
            <w:r>
              <w:rPr>
                <w:rFonts w:ascii="Calibri" w:hAnsi="Calibri"/>
                <w:sz w:val="20"/>
              </w:rPr>
              <w:t xml:space="preserve">Crecimiento, rezago 3</w:t>
            </w:r>
          </w:p>
        </w:tc>
        <w:tc>
          <w:tcPr/>
          <w:p>
            <w:pPr>
              <w:pStyle w:val="Compact"/>
            </w:pPr>
            <w:r>
              <w:rPr>
                <w:rFonts w:ascii="Calibri" w:hAnsi="Calibri"/>
                <w:sz w:val="20"/>
              </w:rPr>
              <w:t xml:space="preserve">-0,0330</w:t>
            </w:r>
          </w:p>
        </w:tc>
        <w:tc>
          <w:tcPr/>
          <w:p>
            <w:pPr>
              <w:pStyle w:val="Compact"/>
            </w:pPr>
            <w:r>
              <w:rPr>
                <w:rFonts w:ascii="Calibri" w:hAnsi="Calibri"/>
                <w:sz w:val="20"/>
              </w:rPr>
              <w:t xml:space="preserve">0,0605</w:t>
            </w:r>
          </w:p>
        </w:tc>
        <w:tc>
          <w:tcPr/>
          <w:p>
            <w:pPr>
              <w:pStyle w:val="Compact"/>
            </w:pPr>
            <w:r>
              <w:rPr>
                <w:rFonts w:ascii="Calibri" w:hAnsi="Calibri"/>
                <w:sz w:val="20"/>
              </w:rPr>
              <w:t xml:space="preserve">0,586</w:t>
            </w:r>
          </w:p>
        </w:tc>
      </w:tr>
      <w:tr>
        <w:tc>
          <w:tcPr/>
          <w:p>
            <w:pPr>
              <w:pStyle w:val="Compact"/>
            </w:pPr>
            <w:r>
              <w:rPr>
                <w:rFonts w:ascii="Calibri" w:hAnsi="Calibri"/>
                <w:sz w:val="20"/>
              </w:rPr>
              <w:t xml:space="preserve">EMBI+, rezago 3</w:t>
            </w:r>
          </w:p>
        </w:tc>
        <w:tc>
          <w:tcPr/>
          <w:p>
            <w:pPr>
              <w:pStyle w:val="Compact"/>
            </w:pPr>
            <w:r>
              <w:rPr>
                <w:rFonts w:ascii="Calibri" w:hAnsi="Calibri"/>
                <w:sz w:val="20"/>
              </w:rPr>
              <w:t xml:space="preserve">0,0002</w:t>
            </w:r>
          </w:p>
        </w:tc>
        <w:tc>
          <w:tcPr/>
          <w:p>
            <w:pPr>
              <w:pStyle w:val="Compact"/>
            </w:pPr>
            <w:r>
              <w:rPr>
                <w:rFonts w:ascii="Calibri" w:hAnsi="Calibri"/>
                <w:sz w:val="20"/>
              </w:rPr>
              <w:t xml:space="preserve">0,0004</w:t>
            </w:r>
          </w:p>
        </w:tc>
        <w:tc>
          <w:tcPr/>
          <w:p>
            <w:pPr>
              <w:pStyle w:val="Compact"/>
            </w:pPr>
            <w:r>
              <w:rPr>
                <w:rFonts w:ascii="Calibri" w:hAnsi="Calibri"/>
                <w:sz w:val="20"/>
              </w:rPr>
              <w:t xml:space="preserve">0,520</w:t>
            </w:r>
          </w:p>
        </w:tc>
      </w:tr>
      <w:tr>
        <w:tc>
          <w:tcPr/>
          <w:p>
            <w:pPr>
              <w:pStyle w:val="Compact"/>
            </w:pPr>
            <w:r>
              <w:rPr>
                <w:rFonts w:ascii="Calibri" w:hAnsi="Calibri"/>
                <w:sz w:val="20"/>
              </w:rPr>
              <w:t xml:space="preserve">TCRM, rezago 3</w:t>
            </w:r>
          </w:p>
        </w:tc>
        <w:tc>
          <w:tcPr/>
          <w:p>
            <w:pPr>
              <w:pStyle w:val="Compact"/>
            </w:pPr>
            <w:r>
              <w:rPr>
                <w:rFonts w:ascii="Calibri" w:hAnsi="Calibri"/>
                <w:sz w:val="20"/>
              </w:rPr>
              <w:t xml:space="preserve">-0,2936</w:t>
            </w:r>
          </w:p>
        </w:tc>
        <w:tc>
          <w:tcPr/>
          <w:p>
            <w:pPr>
              <w:pStyle w:val="Compact"/>
            </w:pPr>
            <w:r>
              <w:rPr>
                <w:rFonts w:ascii="Calibri" w:hAnsi="Calibri"/>
                <w:sz w:val="20"/>
              </w:rPr>
              <w:t xml:space="preserve">1,6455</w:t>
            </w:r>
          </w:p>
        </w:tc>
        <w:tc>
          <w:tcPr/>
          <w:p>
            <w:pPr>
              <w:pStyle w:val="Compact"/>
            </w:pPr>
            <w:r>
              <w:rPr>
                <w:rFonts w:ascii="Calibri" w:hAnsi="Calibri"/>
                <w:sz w:val="20"/>
              </w:rPr>
              <w:t xml:space="preserve">0,858</w:t>
            </w:r>
          </w:p>
        </w:tc>
      </w:tr>
    </w:tbl>
    <w:bookmarkEnd w:id="119"/>
    <w:bookmarkStart w:id="120" w:name="Xed04215d0de9ac77779145f331c8c308a56c2f4"/>
    <w:p>
      <w:pPr>
        <w:pStyle w:val="Heading2"/>
      </w:pPr>
      <w:r>
        <w:t xml:space="preserve">A.7 Resultados completos de la especificación principal</w:t>
      </w:r>
    </w:p>
    <w:p>
      <w:pPr>
        <w:pStyle w:val="FirstParagraph"/>
      </w:pPr>
      <w:r>
        <w:t xml:space="preserve">Estimación central con parámetros corregidos por sesgo (Kilian, 1998) y 20.000 trayectorias; intervalos de 200 réplicas con 1.000 trayectorias cada una. Autovalor máximo del VAR: 0,964 estimado y 0,9998 corregido.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Medida</w:t>
            </w:r>
          </w:p>
        </w:tc>
        <w:tc>
          <w:tcPr/>
          <w:p>
            <w:pPr>
              <w:pStyle w:val="Compact"/>
            </w:pPr>
            <w:r>
              <w:rPr>
                <w:rFonts w:ascii="Calibri" w:hAnsi="Calibri"/>
                <w:sz w:val="20"/>
              </w:rPr>
              <w:t xml:space="preserve">Estimación central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No estabilización 2031 (%)</w:t>
            </w:r>
          </w:p>
        </w:tc>
        <w:tc>
          <w:tcPr/>
          <w:p>
            <w:pPr>
              <w:pStyle w:val="Compact"/>
            </w:pPr>
            <w:r>
              <w:rPr>
                <w:rFonts w:ascii="Calibri" w:hAnsi="Calibri"/>
                <w:sz w:val="20"/>
              </w:rPr>
              <w:t xml:space="preserve">25,2</w:t>
            </w:r>
          </w:p>
        </w:tc>
        <w:tc>
          <w:tcPr/>
          <w:p>
            <w:pPr>
              <w:pStyle w:val="Compact"/>
            </w:pPr>
            <w:r>
              <w:rPr>
                <w:rFonts w:ascii="Calibri" w:hAnsi="Calibri"/>
                <w:sz w:val="20"/>
              </w:rPr>
              <w:t xml:space="preserve">[19,0; 27,7]</w:t>
            </w:r>
          </w:p>
        </w:tc>
      </w:tr>
      <w:tr>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22,3</w:t>
            </w:r>
          </w:p>
        </w:tc>
        <w:tc>
          <w:tcPr/>
          <w:p>
            <w:pPr>
              <w:pStyle w:val="Compact"/>
            </w:pPr>
            <w:r>
              <w:rPr>
                <w:rFonts w:ascii="Calibri" w:hAnsi="Calibri"/>
                <w:sz w:val="20"/>
              </w:rPr>
              <w:t xml:space="preserve">[15,6; 24,9]</w:t>
            </w:r>
          </w:p>
        </w:tc>
      </w:tr>
      <w:tr>
        <w:tc>
          <w:tcPr/>
          <w:p>
            <w:pPr>
              <w:pStyle w:val="Compact"/>
            </w:pPr>
            <w:r>
              <w:rPr>
                <w:rFonts w:ascii="Calibri" w:hAnsi="Calibri"/>
                <w:sz w:val="20"/>
              </w:rPr>
              <w:t xml:space="preserve">No estabilización 2031 con el resultado primario simulado (%)</w:t>
            </w:r>
          </w:p>
        </w:tc>
        <w:tc>
          <w:tcPr/>
          <w:p>
            <w:pPr>
              <w:pStyle w:val="Compact"/>
            </w:pPr>
            <w:r>
              <w:rPr>
                <w:rFonts w:ascii="Calibri" w:hAnsi="Calibri"/>
                <w:sz w:val="20"/>
              </w:rPr>
              <w:t xml:space="preserve">29,2</w:t>
            </w:r>
          </w:p>
        </w:tc>
        <w:tc>
          <w:tcPr/>
          <w:p>
            <w:pPr>
              <w:pStyle w:val="Compact"/>
            </w:pPr>
            <w:r>
              <w:rPr>
                <w:rFonts w:ascii="Calibri" w:hAnsi="Calibri"/>
                <w:sz w:val="20"/>
              </w:rPr>
              <w:t xml:space="preserve">[21,7; 31,1]</w:t>
            </w:r>
          </w:p>
        </w:tc>
      </w:tr>
      <w:tr>
        <w:tc>
          <w:tcPr/>
          <w:p>
            <w:pPr>
              <w:pStyle w:val="Compact"/>
            </w:pPr>
            <w:r>
              <w:rPr>
                <w:rFonts w:ascii="Calibri" w:hAnsi="Calibri"/>
                <w:sz w:val="20"/>
              </w:rPr>
              <w:t xml:space="preserve">Probabilidad de que la deuda de 2031 supere a la de 2029 (%)</w:t>
            </w:r>
          </w:p>
        </w:tc>
        <w:tc>
          <w:tcPr/>
          <w:p>
            <w:pPr>
              <w:pStyle w:val="Compact"/>
            </w:pPr>
            <w:r>
              <w:rPr>
                <w:rFonts w:ascii="Calibri" w:hAnsi="Calibri"/>
                <w:sz w:val="20"/>
              </w:rPr>
              <w:t xml:space="preserve">22,0</w:t>
            </w:r>
          </w:p>
        </w:tc>
        <w:tc>
          <w:tcPr/>
          <w:p>
            <w:pPr>
              <w:pStyle w:val="Compact"/>
            </w:pPr>
            <w:r>
              <w:rPr>
                <w:rFonts w:ascii="Calibri" w:hAnsi="Calibri"/>
                <w:sz w:val="20"/>
              </w:rPr>
              <w:t xml:space="preserve">[13,2; 23,8]</w:t>
            </w:r>
          </w:p>
        </w:tc>
      </w:tr>
      <w:tr>
        <w:tc>
          <w:tcPr/>
          <w:p>
            <w:pPr>
              <w:pStyle w:val="Compact"/>
            </w:pPr>
            <w:r>
              <w:rPr>
                <w:rFonts w:ascii="Calibri" w:hAnsi="Calibri"/>
                <w:sz w:val="20"/>
              </w:rPr>
              <w:t xml:space="preserve">Deuda mediana 2031 (% del PIB)</w:t>
            </w:r>
          </w:p>
        </w:tc>
        <w:tc>
          <w:tcPr/>
          <w:p>
            <w:pPr>
              <w:pStyle w:val="Compact"/>
            </w:pPr>
            <w:r>
              <w:rPr>
                <w:rFonts w:ascii="Calibri" w:hAnsi="Calibri"/>
                <w:sz w:val="20"/>
              </w:rPr>
              <w:t xml:space="preserve">39,5</w:t>
            </w:r>
          </w:p>
        </w:tc>
        <w:tc>
          <w:tcPr/>
          <w:p>
            <w:pPr>
              <w:pStyle w:val="Compact"/>
            </w:pPr>
            <w:r>
              <w:rPr>
                <w:rFonts w:ascii="Calibri" w:hAnsi="Calibri"/>
                <w:sz w:val="20"/>
              </w:rPr>
              <w:t xml:space="preserve">[38,8; 40,3]</w:t>
            </w:r>
          </w:p>
        </w:tc>
      </w:tr>
      <w:tr>
        <w:tc>
          <w:tcPr/>
          <w:p>
            <w:pPr>
              <w:pStyle w:val="Compact"/>
            </w:pPr>
            <w:r>
              <w:rPr>
                <w:rFonts w:ascii="Calibri" w:hAnsi="Calibri"/>
                <w:sz w:val="20"/>
              </w:rPr>
              <w:t xml:space="preserve">Deuda media 2035 (% del PIB)</w:t>
            </w:r>
          </w:p>
        </w:tc>
        <w:tc>
          <w:tcPr/>
          <w:p>
            <w:pPr>
              <w:pStyle w:val="Compact"/>
            </w:pPr>
            <w:r>
              <w:rPr>
                <w:rFonts w:ascii="Calibri" w:hAnsi="Calibri"/>
                <w:sz w:val="20"/>
              </w:rPr>
              <w:t xml:space="preserve">31,3</w:t>
            </w:r>
          </w:p>
        </w:tc>
        <w:tc>
          <w:tcPr/>
          <w:p>
            <w:pPr>
              <w:pStyle w:val="Compact"/>
            </w:pPr>
            <w:r>
              <w:rPr>
                <w:rFonts w:ascii="Calibri" w:hAnsi="Calibri"/>
                <w:sz w:val="20"/>
              </w:rPr>
              <w:t xml:space="preserve">[29,5; 33,6]</w:t>
            </w:r>
          </w:p>
        </w:tc>
      </w:tr>
      <w:tr>
        <w:tc>
          <w:tcPr/>
          <w:p>
            <w:pPr>
              <w:pStyle w:val="Compact"/>
            </w:pPr>
            <w:r>
              <w:rPr>
                <w:rFonts w:ascii="Calibri" w:hAnsi="Calibri"/>
                <w:sz w:val="20"/>
              </w:rPr>
              <w:t xml:space="preserve">Ancho del abanico 2031 (p5-p95)</w:t>
            </w:r>
          </w:p>
        </w:tc>
        <w:tc>
          <w:tcPr/>
          <w:p>
            <w:pPr>
              <w:pStyle w:val="Compact"/>
            </w:pPr>
            <w:r>
              <w:rPr>
                <w:rFonts w:ascii="Calibri" w:hAnsi="Calibri"/>
                <w:sz w:val="20"/>
              </w:rPr>
              <w:t xml:space="preserve">35,3</w:t>
            </w:r>
          </w:p>
        </w:tc>
        <w:tc>
          <w:tcPr/>
          <w:p>
            <w:pPr>
              <w:pStyle w:val="Compact"/>
            </w:pPr>
            <w:r>
              <w:rPr>
                <w:rFonts w:ascii="Calibri" w:hAnsi="Calibri"/>
                <w:sz w:val="20"/>
              </w:rPr>
              <w:t xml:space="preserve">[19,1; 37,6]</w:t>
            </w:r>
          </w:p>
        </w:tc>
      </w:tr>
      <w:tr>
        <w:tc>
          <w:tcPr/>
          <w:p>
            <w:pPr>
              <w:pStyle w:val="Compact"/>
            </w:pPr>
            <w:r>
              <w:rPr>
                <w:rFonts w:ascii="Calibri" w:hAnsi="Calibri"/>
                <w:sz w:val="20"/>
              </w:rPr>
              <w:t xml:space="preserve">Varianza 2035: fiscal (%)</w:t>
            </w:r>
          </w:p>
        </w:tc>
        <w:tc>
          <w:tcPr/>
          <w:p>
            <w:pPr>
              <w:pStyle w:val="Compact"/>
            </w:pPr>
            <w:r>
              <w:rPr>
                <w:rFonts w:ascii="Calibri" w:hAnsi="Calibri"/>
                <w:sz w:val="20"/>
              </w:rPr>
              <w:t xml:space="preserve">32,1</w:t>
            </w:r>
          </w:p>
        </w:tc>
        <w:tc>
          <w:tcPr/>
          <w:p>
            <w:pPr>
              <w:pStyle w:val="Compact"/>
            </w:pPr>
            <w:r>
              <w:rPr>
                <w:rFonts w:ascii="Calibri" w:hAnsi="Calibri"/>
                <w:sz w:val="20"/>
              </w:rPr>
              <w:t xml:space="preserve">[4,4; 52,4]</w:t>
            </w:r>
          </w:p>
        </w:tc>
      </w:tr>
      <w:tr>
        <w:tc>
          <w:tcPr/>
          <w:p>
            <w:pPr>
              <w:pStyle w:val="Compact"/>
            </w:pPr>
            <w:r>
              <w:rPr>
                <w:rFonts w:ascii="Calibri" w:hAnsi="Calibri"/>
                <w:sz w:val="20"/>
              </w:rPr>
              <w:t xml:space="preserve">Varianza 2035: actividad (%)</w:t>
            </w:r>
          </w:p>
        </w:tc>
        <w:tc>
          <w:tcPr/>
          <w:p>
            <w:pPr>
              <w:pStyle w:val="Compact"/>
            </w:pPr>
            <w:r>
              <w:rPr>
                <w:rFonts w:ascii="Calibri" w:hAnsi="Calibri"/>
                <w:sz w:val="20"/>
              </w:rPr>
              <w:t xml:space="preserve">9,3</w:t>
            </w:r>
          </w:p>
        </w:tc>
        <w:tc>
          <w:tcPr/>
          <w:p>
            <w:pPr>
              <w:pStyle w:val="Compact"/>
            </w:pPr>
            <w:r>
              <w:rPr>
                <w:rFonts w:ascii="Calibri" w:hAnsi="Calibri"/>
                <w:sz w:val="20"/>
              </w:rPr>
              <w:t xml:space="preserve">[3,8; 43,1]</w:t>
            </w:r>
          </w:p>
        </w:tc>
      </w:tr>
      <w:tr>
        <w:tc>
          <w:tcPr/>
          <w:p>
            <w:pPr>
              <w:pStyle w:val="Compact"/>
            </w:pPr>
            <w:r>
              <w:rPr>
                <w:rFonts w:ascii="Calibri" w:hAnsi="Calibri"/>
                <w:sz w:val="20"/>
              </w:rPr>
              <w:t xml:space="preserve">Varianza 2035: cambiario y de riesgo (%)</w:t>
            </w:r>
          </w:p>
        </w:tc>
        <w:tc>
          <w:tcPr/>
          <w:p>
            <w:pPr>
              <w:pStyle w:val="Compact"/>
            </w:pPr>
            <w:r>
              <w:rPr>
                <w:rFonts w:ascii="Calibri" w:hAnsi="Calibri"/>
                <w:sz w:val="20"/>
              </w:rPr>
              <w:t xml:space="preserve">58,7</w:t>
            </w:r>
          </w:p>
        </w:tc>
        <w:tc>
          <w:tcPr/>
          <w:p>
            <w:pPr>
              <w:pStyle w:val="Compact"/>
            </w:pPr>
            <w:r>
              <w:rPr>
                <w:rFonts w:ascii="Calibri" w:hAnsi="Calibri"/>
                <w:sz w:val="20"/>
              </w:rPr>
              <w:t xml:space="preserve">[17,2; 86,0]</w:t>
            </w:r>
          </w:p>
        </w:tc>
      </w:tr>
      <w:tr>
        <w:tc>
          <w:tcPr/>
          <w:p>
            <w:pPr>
              <w:pStyle w:val="Compact"/>
            </w:pPr>
            <w:r>
              <w:rPr>
                <w:rFonts w:ascii="Calibri" w:hAnsi="Calibri"/>
                <w:sz w:val="20"/>
              </w:rPr>
              <w:t xml:space="preserve">No fiscal menos fiscal (puntos)</w:t>
            </w:r>
          </w:p>
        </w:tc>
        <w:tc>
          <w:tcPr/>
          <w:p>
            <w:pPr>
              <w:pStyle w:val="Compact"/>
            </w:pPr>
            <w:r>
              <w:rPr>
                <w:rFonts w:ascii="Calibri" w:hAnsi="Calibri"/>
                <w:sz w:val="20"/>
              </w:rPr>
              <w:t xml:space="preserve">35,9</w:t>
            </w:r>
          </w:p>
        </w:tc>
        <w:tc>
          <w:tcPr/>
          <w:p>
            <w:pPr>
              <w:pStyle w:val="Compact"/>
            </w:pPr>
            <w:r>
              <w:rPr>
                <w:rFonts w:ascii="Calibri" w:hAnsi="Calibri"/>
                <w:sz w:val="20"/>
              </w:rPr>
              <w:t xml:space="preserve">[-4,8; 91,2]</w:t>
            </w:r>
          </w:p>
        </w:tc>
      </w:tr>
      <w:tr>
        <w:tc>
          <w:tcPr/>
          <w:p>
            <w:pPr>
              <w:pStyle w:val="Compact"/>
            </w:pPr>
            <w:r>
              <w:rPr>
                <w:rFonts w:ascii="Calibri" w:hAnsi="Calibri"/>
                <w:sz w:val="20"/>
              </w:rPr>
              <w:t xml:space="preserve">Cambiario y de riesgo menos fiscal (puntos)</w:t>
            </w:r>
          </w:p>
        </w:tc>
        <w:tc>
          <w:tcPr/>
          <w:p>
            <w:pPr>
              <w:pStyle w:val="Compact"/>
            </w:pPr>
            <w:r>
              <w:rPr>
                <w:rFonts w:ascii="Calibri" w:hAnsi="Calibri"/>
                <w:sz w:val="20"/>
              </w:rPr>
              <w:t xml:space="preserve">26,6</w:t>
            </w:r>
          </w:p>
        </w:tc>
        <w:tc>
          <w:tcPr/>
          <w:p>
            <w:pPr>
              <w:pStyle w:val="Compact"/>
            </w:pPr>
            <w:r>
              <w:rPr>
                <w:rFonts w:ascii="Calibri" w:hAnsi="Calibri"/>
                <w:sz w:val="20"/>
              </w:rPr>
              <w:t xml:space="preserve">[-31,2; 80,3]</w:t>
            </w:r>
          </w:p>
        </w:tc>
      </w:tr>
      <w:tr>
        <w:tc>
          <w:tcPr/>
          <w:p>
            <w:pPr>
              <w:pStyle w:val="Compact"/>
            </w:pPr>
            <w:r>
              <w:rPr>
                <w:rFonts w:ascii="Calibri" w:hAnsi="Calibri"/>
                <w:sz w:val="20"/>
              </w:rPr>
              <w:t xml:space="preserve">Promedio por</w:t>
            </w:r>
            <w:r>
              <w:rPr>
                <w:rFonts w:ascii="Calibri" w:hAnsi="Calibri"/>
                <w:sz w:val="20"/>
              </w:rPr>
              <w:t xml:space="preserve"> </w:t>
            </w: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menos fiscal (puntos)</w:t>
            </w:r>
          </w:p>
        </w:tc>
        <w:tc>
          <w:tcPr/>
          <w:p>
            <w:pPr>
              <w:pStyle w:val="Compact"/>
            </w:pPr>
            <w:r>
              <w:rPr>
                <w:rFonts w:ascii="Calibri" w:hAnsi="Calibri"/>
                <w:sz w:val="20"/>
              </w:rPr>
              <w:t xml:space="preserve">-2,5</w:t>
            </w:r>
          </w:p>
        </w:tc>
        <w:tc>
          <w:tcPr/>
          <w:p>
            <w:pPr>
              <w:pStyle w:val="Compact"/>
            </w:pPr>
            <w:r>
              <w:rPr>
                <w:rFonts w:ascii="Calibri" w:hAnsi="Calibri"/>
                <w:sz w:val="20"/>
              </w:rPr>
              <w:t xml:space="preserve">[-40,7; 38,1]</w:t>
            </w:r>
          </w:p>
        </w:tc>
      </w:tr>
      <w:tr>
        <w:tc>
          <w:tcPr/>
          <w:p>
            <w:pPr>
              <w:pStyle w:val="Compact"/>
            </w:pPr>
            <w:r>
              <w:rPr>
                <w:rFonts w:ascii="Calibri" w:hAnsi="Calibri"/>
                <w:sz w:val="20"/>
              </w:rPr>
              <w:t xml:space="preserve">FED, un desvío: diferencia en la probabilidad 2035 (pp)</w:t>
            </w:r>
          </w:p>
        </w:tc>
        <w:tc>
          <w:tcPr/>
          <w:p>
            <w:pPr>
              <w:pStyle w:val="Compact"/>
            </w:pPr>
            <w:r>
              <w:rPr>
                <w:rFonts w:ascii="Calibri" w:hAnsi="Calibri"/>
                <w:sz w:val="20"/>
              </w:rPr>
              <w:t xml:space="preserve">1,5</w:t>
            </w:r>
          </w:p>
        </w:tc>
        <w:tc>
          <w:tcPr/>
          <w:p>
            <w:pPr>
              <w:pStyle w:val="Compact"/>
            </w:pPr>
            <w:r>
              <w:rPr>
                <w:rFonts w:ascii="Calibri" w:hAnsi="Calibri"/>
                <w:sz w:val="20"/>
              </w:rPr>
              <w:t xml:space="preserve">[0,1; 3,1]</w:t>
            </w:r>
          </w:p>
        </w:tc>
      </w:tr>
      <w:tr>
        <w:tc>
          <w:tcPr/>
          <w:p>
            <w:pPr>
              <w:pStyle w:val="Compact"/>
            </w:pPr>
            <w:r>
              <w:rPr>
                <w:rFonts w:ascii="Calibri" w:hAnsi="Calibri"/>
                <w:sz w:val="20"/>
              </w:rPr>
              <w:t xml:space="preserve">FED, un desvío: diferencia en la deuda 2035 (pp del PIB)</w:t>
            </w:r>
          </w:p>
        </w:tc>
        <w:tc>
          <w:tcPr/>
          <w:p>
            <w:pPr>
              <w:pStyle w:val="Compact"/>
            </w:pPr>
            <w:r>
              <w:rPr>
                <w:rFonts w:ascii="Calibri" w:hAnsi="Calibri"/>
                <w:sz w:val="20"/>
              </w:rPr>
              <w:t xml:space="preserve">1,0</w:t>
            </w:r>
          </w:p>
        </w:tc>
        <w:tc>
          <w:tcPr/>
          <w:p>
            <w:pPr>
              <w:pStyle w:val="Compact"/>
            </w:pPr>
            <w:r>
              <w:rPr>
                <w:rFonts w:ascii="Calibri" w:hAnsi="Calibri"/>
                <w:sz w:val="20"/>
              </w:rPr>
              <w:t xml:space="preserve">[-0,1; 2,4]</w:t>
            </w:r>
          </w:p>
        </w:tc>
      </w:tr>
      <w:tr>
        <w:tc>
          <w:tcPr/>
          <w:p>
            <w:pPr>
              <w:pStyle w:val="Compact"/>
            </w:pPr>
            <w:r>
              <w:rPr>
                <w:rFonts w:ascii="Calibri" w:hAnsi="Calibri"/>
                <w:sz w:val="20"/>
              </w:rPr>
              <w:t xml:space="preserve">FED, senda 2022-2025: diferencia en la probabilidad 2031 (pp)</w:t>
            </w:r>
          </w:p>
        </w:tc>
        <w:tc>
          <w:tcPr/>
          <w:p>
            <w:pPr>
              <w:pStyle w:val="Compact"/>
            </w:pPr>
            <w:r>
              <w:rPr>
                <w:rFonts w:ascii="Calibri" w:hAnsi="Calibri"/>
                <w:sz w:val="20"/>
              </w:rPr>
              <w:t xml:space="preserve">2,4</w:t>
            </w:r>
          </w:p>
        </w:tc>
        <w:tc>
          <w:tcPr/>
          <w:p>
            <w:pPr>
              <w:pStyle w:val="Compact"/>
            </w:pPr>
            <w:r>
              <w:rPr>
                <w:rFonts w:ascii="Calibri" w:hAnsi="Calibri"/>
                <w:sz w:val="20"/>
              </w:rPr>
              <w:t xml:space="preserve">[-4,5; 11,4]</w:t>
            </w:r>
          </w:p>
        </w:tc>
      </w:tr>
      <w:tr>
        <w:tc>
          <w:tcPr/>
          <w:p>
            <w:pPr>
              <w:pStyle w:val="Compact"/>
            </w:pPr>
            <w:r>
              <w:rPr>
                <w:rFonts w:ascii="Calibri" w:hAnsi="Calibri"/>
                <w:sz w:val="20"/>
              </w:rPr>
              <w:t xml:space="preserve">FED, senda 2022-2025: diferencia en la probabilidad 2035 (pp)</w:t>
            </w:r>
          </w:p>
        </w:tc>
        <w:tc>
          <w:tcPr/>
          <w:p>
            <w:pPr>
              <w:pStyle w:val="Compact"/>
            </w:pPr>
            <w:r>
              <w:rPr>
                <w:rFonts w:ascii="Calibri" w:hAnsi="Calibri"/>
                <w:sz w:val="20"/>
              </w:rPr>
              <w:t xml:space="preserve">13,0</w:t>
            </w:r>
          </w:p>
        </w:tc>
        <w:tc>
          <w:tcPr/>
          <w:p>
            <w:pPr>
              <w:pStyle w:val="Compact"/>
            </w:pPr>
            <w:r>
              <w:rPr>
                <w:rFonts w:ascii="Calibri" w:hAnsi="Calibri"/>
                <w:sz w:val="20"/>
              </w:rPr>
              <w:t xml:space="preserve">[1,0; 24,8]</w:t>
            </w:r>
          </w:p>
        </w:tc>
      </w:tr>
      <w:tr>
        <w:tc>
          <w:tcPr/>
          <w:p>
            <w:pPr>
              <w:pStyle w:val="Compact"/>
            </w:pPr>
            <w:r>
              <w:rPr>
                <w:rFonts w:ascii="Calibri" w:hAnsi="Calibri"/>
                <w:sz w:val="20"/>
              </w:rPr>
              <w:t xml:space="preserve">FED, senda 2022-2025: diferencia en la deuda 2035 (pp del PIB)</w:t>
            </w:r>
          </w:p>
        </w:tc>
        <w:tc>
          <w:tcPr/>
          <w:p>
            <w:pPr>
              <w:pStyle w:val="Compact"/>
            </w:pPr>
            <w:r>
              <w:rPr>
                <w:rFonts w:ascii="Calibri" w:hAnsi="Calibri"/>
                <w:sz w:val="20"/>
              </w:rPr>
              <w:t xml:space="preserve">7,8</w:t>
            </w:r>
          </w:p>
        </w:tc>
        <w:tc>
          <w:tcPr/>
          <w:p>
            <w:pPr>
              <w:pStyle w:val="Compact"/>
            </w:pPr>
            <w:r>
              <w:rPr>
                <w:rFonts w:ascii="Calibri" w:hAnsi="Calibri"/>
                <w:sz w:val="20"/>
              </w:rPr>
              <w:t xml:space="preserve">[-1,4; 20,4]</w:t>
            </w:r>
          </w:p>
        </w:tc>
      </w:tr>
    </w:tbl>
    <w:bookmarkEnd w:id="120"/>
    <w:bookmarkEnd w:id="121"/>
    <w:bookmarkStart w:id="122" w:name="referencias"/>
    <w:p>
      <w:pPr>
        <w:pStyle w:val="Heading1"/>
      </w:pPr>
      <w:r>
        <w:t xml:space="preserve">Referencias</w:t>
      </w:r>
    </w:p>
    <w:p>
      <w:pPr>
        <w:pStyle w:val="Compact"/>
        <w:numPr>
          <w:ilvl w:val="0"/>
          <w:numId w:val="1013"/>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w:t>
      </w:r>
      <w:r>
        <w:t xml:space="preserve"> </w:t>
      </w:r>
      <w:r>
        <w:rPr>
          <w:i/>
          <w:iCs/>
        </w:rPr>
        <w:t xml:space="preserve">60</w:t>
      </w:r>
      <w:r>
        <w:t xml:space="preserve">, 8-28. https://doi.org/10.1016/j.jimonfin.2015.03.007</w:t>
      </w:r>
    </w:p>
    <w:p>
      <w:pPr>
        <w:pStyle w:val="Compact"/>
        <w:numPr>
          <w:ilvl w:val="0"/>
          <w:numId w:val="1013"/>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3"/>
        </w:numPr>
      </w:pPr>
      <w:r>
        <w:t xml:space="preserve">Ando, S., Mishra, P., Patel, N., Peralta-Alva, A., y Presbitero, A. F. (2025). Fiscal consolidation and public debt.</w:t>
      </w:r>
      <w:r>
        <w:t xml:space="preserve"> </w:t>
      </w:r>
      <w:r>
        <w:rPr>
          <w:i/>
          <w:iCs/>
        </w:rPr>
        <w:t xml:space="preserve">Journal of Economic Dynamics and Control</w:t>
      </w:r>
      <w:r>
        <w:t xml:space="preserve">,</w:t>
      </w:r>
      <w:r>
        <w:t xml:space="preserve"> </w:t>
      </w:r>
      <w:r>
        <w:rPr>
          <w:i/>
          <w:iCs/>
        </w:rPr>
        <w:t xml:space="preserve">170</w:t>
      </w:r>
      <w:r>
        <w:t xml:space="preserve">, artículo 104998. https://doi.org/10.1016/j.jedc.2024.104998</w:t>
      </w:r>
    </w:p>
    <w:p>
      <w:pPr>
        <w:pStyle w:val="Compact"/>
        <w:numPr>
          <w:ilvl w:val="0"/>
          <w:numId w:val="1013"/>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3"/>
        </w:numPr>
      </w:pPr>
      <w:r>
        <w:t xml:space="preserve">Bai, J., y Perron, P. (2003). Computation and analysis of multiple structural change models.</w:t>
      </w:r>
      <w:r>
        <w:t xml:space="preserve"> </w:t>
      </w:r>
      <w:r>
        <w:rPr>
          <w:i/>
          <w:iCs/>
        </w:rPr>
        <w:t xml:space="preserve">Journal of Applied Econometrics</w:t>
      </w:r>
      <w:r>
        <w:t xml:space="preserve">,</w:t>
      </w:r>
      <w:r>
        <w:t xml:space="preserve"> </w:t>
      </w:r>
      <w:r>
        <w:rPr>
          <w:i/>
          <w:iCs/>
        </w:rPr>
        <w:t xml:space="preserve">18</w:t>
      </w:r>
      <w:r>
        <w:t xml:space="preserve">(1), 1-22. https://doi.org/10.1002/jae.659</w:t>
      </w:r>
    </w:p>
    <w:p>
      <w:pPr>
        <w:pStyle w:val="Compact"/>
        <w:numPr>
          <w:ilvl w:val="0"/>
          <w:numId w:val="1013"/>
        </w:numPr>
      </w:pPr>
      <w:r>
        <w:t xml:space="preserve">Banco Central de la República Argentina.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3"/>
        </w:numPr>
      </w:pPr>
      <w:r>
        <w:t xml:space="preserve">Banco Central de la República Argentina. (2025).</w:t>
      </w:r>
      <w:r>
        <w:t xml:space="preserve"> </w:t>
      </w:r>
      <w:r>
        <w:rPr>
          <w:i/>
          <w:iCs/>
        </w:rPr>
        <w:t xml:space="preserve">Informe monetario mensual, junio de 2025</w:t>
      </w:r>
      <w:r>
        <w:t xml:space="preserve">. https://www.bcra.gob.ar/archivos/Pdfs/PublicacionesEstadisticas/informe-monetario-mensual-jun-25.pdf</w:t>
      </w:r>
    </w:p>
    <w:p>
      <w:pPr>
        <w:pStyle w:val="Compact"/>
        <w:numPr>
          <w:ilvl w:val="0"/>
          <w:numId w:val="1013"/>
        </w:numPr>
      </w:pPr>
      <w:r>
        <w:t xml:space="preserve">Banco Central de la República Argentina. (2026).</w:t>
      </w:r>
      <w:r>
        <w:t xml:space="preserve"> </w:t>
      </w:r>
      <w:r>
        <w:rPr>
          <w:i/>
          <w:iCs/>
        </w:rPr>
        <w:t xml:space="preserve">Informe monetario mensual, diciembre de 2025</w:t>
      </w:r>
      <w:r>
        <w:t xml:space="preserve">. https://www.bcra.gob.ar/archivos/Pdfs/PublicacionesEstadisticas/informe-monetario-mensual-dic-25.pdf</w:t>
      </w:r>
    </w:p>
    <w:p>
      <w:pPr>
        <w:pStyle w:val="Compact"/>
        <w:numPr>
          <w:ilvl w:val="0"/>
          <w:numId w:val="1013"/>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3"/>
        </w:numPr>
      </w:pPr>
      <w:r>
        <w:t xml:space="preserve">Blanchard, O. (2019). Public debt and low interest rates.</w:t>
      </w:r>
      <w:r>
        <w:t xml:space="preserve"> </w:t>
      </w:r>
      <w:r>
        <w:rPr>
          <w:i/>
          <w:iCs/>
        </w:rPr>
        <w:t xml:space="preserve">American Economic Review</w:t>
      </w:r>
      <w:r>
        <w:t xml:space="preserve">,</w:t>
      </w:r>
      <w:r>
        <w:t xml:space="preserve"> </w:t>
      </w:r>
      <w:r>
        <w:rPr>
          <w:i/>
          <w:iCs/>
        </w:rPr>
        <w:t xml:space="preserve">109</w:t>
      </w:r>
      <w:r>
        <w:t xml:space="preserve">(4), 1197-1229. https://doi.org/10.1257/aer.109.4.1197</w:t>
      </w:r>
    </w:p>
    <w:p>
      <w:pPr>
        <w:pStyle w:val="Compact"/>
        <w:numPr>
          <w:ilvl w:val="0"/>
          <w:numId w:val="1013"/>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w:t>
      </w:r>
      <w:r>
        <w:t xml:space="preserve"> </w:t>
      </w:r>
      <w:r>
        <w:rPr>
          <w:i/>
          <w:iCs/>
        </w:rPr>
        <w:t xml:space="preserve">117</w:t>
      </w:r>
      <w:r>
        <w:t xml:space="preserve">(4), 1329-1368. https://doi.org/10.1162/003355302320935043</w:t>
      </w:r>
    </w:p>
    <w:p>
      <w:pPr>
        <w:pStyle w:val="Compact"/>
        <w:numPr>
          <w:ilvl w:val="0"/>
          <w:numId w:val="1013"/>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3"/>
        </w:numPr>
      </w:pPr>
      <w:r>
        <w:t xml:space="preserve">Bohn, H. (1998). The behavior of U.S. public debt and deficits.</w:t>
      </w:r>
      <w:r>
        <w:t xml:space="preserve"> </w:t>
      </w:r>
      <w:r>
        <w:rPr>
          <w:i/>
          <w:iCs/>
        </w:rPr>
        <w:t xml:space="preserve">Quarterly Journal of Economics</w:t>
      </w:r>
      <w:r>
        <w:t xml:space="preserve">,</w:t>
      </w:r>
      <w:r>
        <w:t xml:space="preserve"> </w:t>
      </w:r>
      <w:r>
        <w:rPr>
          <w:i/>
          <w:iCs/>
        </w:rPr>
        <w:t xml:space="preserve">113</w:t>
      </w:r>
      <w:r>
        <w:t xml:space="preserve">(3), 949-963. https://doi.org/10.1162/003355398555793</w:t>
      </w:r>
    </w:p>
    <w:p>
      <w:pPr>
        <w:pStyle w:val="Compact"/>
        <w:numPr>
          <w:ilvl w:val="0"/>
          <w:numId w:val="1013"/>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3"/>
        </w:numPr>
      </w:pPr>
      <w:r>
        <w:t xml:space="preserve">Bohn, H. (2007). Are stationarity and cointegration restrictions really necessary for the intertemporal budget constraint?</w:t>
      </w:r>
      <w:r>
        <w:t xml:space="preserve"> </w:t>
      </w:r>
      <w:r>
        <w:rPr>
          <w:i/>
          <w:iCs/>
        </w:rPr>
        <w:t xml:space="preserve">Journal of Monetary Economics</w:t>
      </w:r>
      <w:r>
        <w:t xml:space="preserve">,</w:t>
      </w:r>
      <w:r>
        <w:t xml:space="preserve"> </w:t>
      </w:r>
      <w:r>
        <w:rPr>
          <w:i/>
          <w:iCs/>
        </w:rPr>
        <w:t xml:space="preserve">54</w:t>
      </w:r>
      <w:r>
        <w:t xml:space="preserve">(7), 1837-1847. https://doi.org/10.1016/j.jmoneco.2006.12.012</w:t>
      </w:r>
    </w:p>
    <w:p>
      <w:pPr>
        <w:pStyle w:val="Compact"/>
        <w:numPr>
          <w:ilvl w:val="0"/>
          <w:numId w:val="1013"/>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w:t>
      </w:r>
      <w:r>
        <w:t xml:space="preserve"> </w:t>
      </w:r>
      <w:r>
        <w:rPr>
          <w:i/>
          <w:iCs/>
        </w:rPr>
        <w:t xml:space="preserve">30</w:t>
      </w:r>
      <w:r>
        <w:t xml:space="preserve">(62), 1-18.</w:t>
      </w:r>
    </w:p>
    <w:p>
      <w:pPr>
        <w:pStyle w:val="Compact"/>
        <w:numPr>
          <w:ilvl w:val="0"/>
          <w:numId w:val="1013"/>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13"/>
        </w:numPr>
      </w:pPr>
      <w:r>
        <w:t xml:space="preserve">Braun, O., y Joy, L. (1968). A model of economic stagnation: A case study of the Argentine economy.</w:t>
      </w:r>
      <w:r>
        <w:t xml:space="preserve"> </w:t>
      </w:r>
      <w:r>
        <w:rPr>
          <w:i/>
          <w:iCs/>
        </w:rPr>
        <w:t xml:space="preserve">The Economic Journal</w:t>
      </w:r>
      <w:r>
        <w:t xml:space="preserve">,</w:t>
      </w:r>
      <w:r>
        <w:t xml:space="preserve"> </w:t>
      </w:r>
      <w:r>
        <w:rPr>
          <w:i/>
          <w:iCs/>
        </w:rPr>
        <w:t xml:space="preserve">78</w:t>
      </w:r>
      <w:r>
        <w:t xml:space="preserve">(312), 868-887. https://doi.org/10.2307/2229183</w:t>
      </w:r>
    </w:p>
    <w:p>
      <w:pPr>
        <w:pStyle w:val="Compact"/>
        <w:numPr>
          <w:ilvl w:val="0"/>
          <w:numId w:val="1013"/>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 National Bureau of Economic Research. https://doi.org/10.3386/w9828</w:t>
      </w:r>
    </w:p>
    <w:p>
      <w:pPr>
        <w:pStyle w:val="Compact"/>
        <w:numPr>
          <w:ilvl w:val="0"/>
          <w:numId w:val="1013"/>
        </w:numPr>
      </w:pPr>
      <w:r>
        <w:t xml:space="preserve">Canova, F. (2005). The transmission of US shocks to Latin America.</w:t>
      </w:r>
      <w:r>
        <w:t xml:space="preserve"> </w:t>
      </w:r>
      <w:r>
        <w:rPr>
          <w:i/>
          <w:iCs/>
        </w:rPr>
        <w:t xml:space="preserve">Journal of Applied Econometrics</w:t>
      </w:r>
      <w:r>
        <w:t xml:space="preserve">,</w:t>
      </w:r>
      <w:r>
        <w:t xml:space="preserve"> </w:t>
      </w:r>
      <w:r>
        <w:rPr>
          <w:i/>
          <w:iCs/>
        </w:rPr>
        <w:t xml:space="preserve">20</w:t>
      </w:r>
      <w:r>
        <w:t xml:space="preserve">(2), 229-251. https://doi.org/10.1002/jae.837</w:t>
      </w:r>
    </w:p>
    <w:p>
      <w:pPr>
        <w:pStyle w:val="Compact"/>
        <w:numPr>
          <w:ilvl w:val="0"/>
          <w:numId w:val="1013"/>
        </w:numPr>
      </w:pPr>
      <w:r>
        <w:t xml:space="preserve">Cantamutto, F. J., y Féliz, M. (2021). Argentina entre la sostenibilidad de la deuda y la vida.</w:t>
      </w:r>
      <w:r>
        <w:t xml:space="preserve"> </w:t>
      </w:r>
      <w:r>
        <w:rPr>
          <w:i/>
          <w:iCs/>
        </w:rPr>
        <w:t xml:space="preserve">Revista Nuestramérica</w:t>
      </w:r>
      <w:r>
        <w:t xml:space="preserve">,</w:t>
      </w:r>
      <w:r>
        <w:t xml:space="preserve"> </w:t>
      </w:r>
      <w:r>
        <w:rPr>
          <w:i/>
          <w:iCs/>
        </w:rPr>
        <w:t xml:space="preserve">9</w:t>
      </w:r>
      <w:r>
        <w:t xml:space="preserve">(17), e6167845.</w:t>
      </w:r>
    </w:p>
    <w:p>
      <w:pPr>
        <w:pStyle w:val="Compact"/>
        <w:numPr>
          <w:ilvl w:val="0"/>
          <w:numId w:val="1013"/>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3"/>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No. 06/67). Fondo Monetario Internacional. https://doi.org/10.5089/9781451863277.001</w:t>
      </w:r>
    </w:p>
    <w:p>
      <w:pPr>
        <w:pStyle w:val="Compact"/>
        <w:numPr>
          <w:ilvl w:val="0"/>
          <w:numId w:val="1013"/>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13"/>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3"/>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3"/>
        </w:numPr>
      </w:pPr>
      <w:r>
        <w:t xml:space="preserve">Cushman, D. O., y Zha, T. (1997). Identifying monetary policy in a small open economy under flexible exchange rates.</w:t>
      </w:r>
      <w:r>
        <w:t xml:space="preserve"> </w:t>
      </w:r>
      <w:r>
        <w:rPr>
          <w:i/>
          <w:iCs/>
        </w:rPr>
        <w:t xml:space="preserve">Journal of Monetary Economics</w:t>
      </w:r>
      <w:r>
        <w:t xml:space="preserve">,</w:t>
      </w:r>
      <w:r>
        <w:t xml:space="preserve"> </w:t>
      </w:r>
      <w:r>
        <w:rPr>
          <w:i/>
          <w:iCs/>
        </w:rPr>
        <w:t xml:space="preserve">39</w:t>
      </w:r>
      <w:r>
        <w:t xml:space="preserve">(3), 433-448. https://doi.org/10.1016/S0304-3932(97)00029-9</w:t>
      </w:r>
    </w:p>
    <w:p>
      <w:pPr>
        <w:pStyle w:val="Compact"/>
        <w:numPr>
          <w:ilvl w:val="0"/>
          <w:numId w:val="1013"/>
        </w:numPr>
      </w:pPr>
      <w:r>
        <w:t xml:space="preserve">Damill, M., Frenkel, R., y Rapetti, M. (2015). Macroeconomic policy in Argentina during 2002-2013.</w:t>
      </w:r>
      <w:r>
        <w:t xml:space="preserve"> </w:t>
      </w:r>
      <w:r>
        <w:rPr>
          <w:i/>
          <w:iCs/>
        </w:rPr>
        <w:t xml:space="preserve">Comparative Economic Studies</w:t>
      </w:r>
      <w:r>
        <w:t xml:space="preserve">,</w:t>
      </w:r>
      <w:r>
        <w:t xml:space="preserve"> </w:t>
      </w:r>
      <w:r>
        <w:rPr>
          <w:i/>
          <w:iCs/>
        </w:rPr>
        <w:t xml:space="preserve">57</w:t>
      </w:r>
      <w:r>
        <w:t xml:space="preserve">(3), 369-400. https://doi.org/10.1057/ces.2015.3</w:t>
      </w:r>
    </w:p>
    <w:p>
      <w:pPr>
        <w:pStyle w:val="Compact"/>
        <w:numPr>
          <w:ilvl w:val="0"/>
          <w:numId w:val="1013"/>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3"/>
        </w:numPr>
      </w:pPr>
      <w:r>
        <w:t xml:space="preserve">Diamand, M. (1972). La estructura productiva desequilibrada argentina y el tipo de cambio.</w:t>
      </w:r>
      <w:r>
        <w:t xml:space="preserve"> </w:t>
      </w:r>
      <w:r>
        <w:rPr>
          <w:i/>
          <w:iCs/>
        </w:rPr>
        <w:t xml:space="preserve">Desarrollo Económico</w:t>
      </w:r>
      <w:r>
        <w:t xml:space="preserve">,</w:t>
      </w:r>
      <w:r>
        <w:t xml:space="preserve"> </w:t>
      </w:r>
      <w:r>
        <w:rPr>
          <w:i/>
          <w:iCs/>
        </w:rPr>
        <w:t xml:space="preserve">12</w:t>
      </w:r>
      <w:r>
        <w:t xml:space="preserve">(45), 25-47. https://doi.org/10.2307/3465991</w:t>
      </w:r>
    </w:p>
    <w:p>
      <w:pPr>
        <w:pStyle w:val="Compact"/>
        <w:numPr>
          <w:ilvl w:val="0"/>
          <w:numId w:val="1013"/>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3"/>
        </w:numPr>
      </w:pPr>
      <w:r>
        <w:t xml:space="preserve">Dickey, D. A., y Fuller, W. A. (1979). Distribution of the estimators for autoregressive time series with a unit root.</w:t>
      </w:r>
      <w:r>
        <w:t xml:space="preserve"> </w:t>
      </w:r>
      <w:r>
        <w:rPr>
          <w:i/>
          <w:iCs/>
        </w:rPr>
        <w:t xml:space="preserve">Journal of the American Statistical Association</w:t>
      </w:r>
      <w:r>
        <w:t xml:space="preserve">,</w:t>
      </w:r>
      <w:r>
        <w:t xml:space="preserve"> </w:t>
      </w:r>
      <w:r>
        <w:rPr>
          <w:i/>
          <w:iCs/>
        </w:rPr>
        <w:t xml:space="preserve">74</w:t>
      </w:r>
      <w:r>
        <w:t xml:space="preserve">(366), 427-431. https://doi.org/10.2307/2286348</w:t>
      </w:r>
    </w:p>
    <w:p>
      <w:pPr>
        <w:pStyle w:val="Compact"/>
        <w:numPr>
          <w:ilvl w:val="0"/>
          <w:numId w:val="1013"/>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pStyle w:val="Compact"/>
        <w:numPr>
          <w:ilvl w:val="0"/>
          <w:numId w:val="1013"/>
        </w:numPr>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 https://doi.org/10.2307/1912773</w:t>
      </w:r>
    </w:p>
    <w:p>
      <w:pPr>
        <w:pStyle w:val="Compact"/>
        <w:numPr>
          <w:ilvl w:val="0"/>
          <w:numId w:val="1013"/>
        </w:numPr>
      </w:pPr>
      <w:r>
        <w:t xml:space="preserve">Everaert, G., y Jansen, S. (2018). On the estimation of panel fiscal reaction functions: Heterogeneity or fiscal fatigue?</w:t>
      </w:r>
      <w:r>
        <w:t xml:space="preserve"> </w:t>
      </w:r>
      <w:r>
        <w:rPr>
          <w:i/>
          <w:iCs/>
        </w:rPr>
        <w:t xml:space="preserve">Economic Modelling</w:t>
      </w:r>
      <w:r>
        <w:t xml:space="preserve">,</w:t>
      </w:r>
      <w:r>
        <w:t xml:space="preserve"> </w:t>
      </w:r>
      <w:r>
        <w:rPr>
          <w:i/>
          <w:iCs/>
        </w:rPr>
        <w:t xml:space="preserve">70</w:t>
      </w:r>
      <w:r>
        <w:t xml:space="preserve">, 87-96. https://doi.org/10.1016/j.econmod.2017.10.014</w:t>
      </w:r>
    </w:p>
    <w:p>
      <w:pPr>
        <w:pStyle w:val="Compact"/>
        <w:numPr>
          <w:ilvl w:val="0"/>
          <w:numId w:val="1013"/>
        </w:numPr>
      </w:pPr>
      <w:r>
        <w:t xml:space="preserve">Favero, C., y Giavazzi, F. (2007).</w:t>
      </w:r>
      <w:r>
        <w:t xml:space="preserve"> </w:t>
      </w:r>
      <w:r>
        <w:rPr>
          <w:i/>
          <w:iCs/>
        </w:rPr>
        <w:t xml:space="preserve">Debt and the effects of fiscal policy</w:t>
      </w:r>
      <w:r>
        <w:t xml:space="preserve"> </w:t>
      </w:r>
      <w:r>
        <w:t xml:space="preserve">(NBER Working Paper No. 12822). National Bureau of Economic Research. https://doi.org/10.3386/w12822</w:t>
      </w:r>
    </w:p>
    <w:p>
      <w:pPr>
        <w:pStyle w:val="Compact"/>
        <w:numPr>
          <w:ilvl w:val="0"/>
          <w:numId w:val="1013"/>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3"/>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13"/>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3"/>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13"/>
        </w:numPr>
      </w:pPr>
      <w:r>
        <w:t xml:space="preserve">Fondo Monetario Internacional.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 Anexo: Sovereign Risk and Debt Sustainability Assessment.</w:t>
      </w:r>
    </w:p>
    <w:p>
      <w:pPr>
        <w:pStyle w:val="Compact"/>
        <w:numPr>
          <w:ilvl w:val="0"/>
          <w:numId w:val="1013"/>
        </w:numPr>
      </w:pPr>
      <w:r>
        <w:t xml:space="preserve">Fondo Monetario Internacional [FMI] y Mecanismo Europeo de Estabilidad [ESM].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3"/>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w:t>
      </w:r>
      <w:r>
        <w:t xml:space="preserve"> </w:t>
      </w:r>
      <w:r>
        <w:rPr>
          <w:i/>
          <w:iCs/>
        </w:rPr>
        <w:t xml:space="preserve">123</w:t>
      </w:r>
      <w:r>
        <w:t xml:space="preserve">(566), F4-F30. https://doi.org/10.1111/ecoj.12010</w:t>
      </w:r>
    </w:p>
    <w:p>
      <w:pPr>
        <w:pStyle w:val="Compact"/>
        <w:numPr>
          <w:ilvl w:val="0"/>
          <w:numId w:val="1013"/>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 OECD Publishing.</w:t>
      </w:r>
    </w:p>
    <w:p>
      <w:pPr>
        <w:pStyle w:val="Compact"/>
        <w:numPr>
          <w:ilvl w:val="0"/>
          <w:numId w:val="1013"/>
        </w:numPr>
      </w:pPr>
      <w:r>
        <w:t xml:space="preserve">Gonçalves, S., y Kilian, L. (2004). Bootstrapping autoregressions with conditional heteroskedasticity of unknown form.</w:t>
      </w:r>
      <w:r>
        <w:t xml:space="preserve"> </w:t>
      </w:r>
      <w:r>
        <w:rPr>
          <w:i/>
          <w:iCs/>
        </w:rPr>
        <w:t xml:space="preserve">Journal of Econometrics</w:t>
      </w:r>
      <w:r>
        <w:t xml:space="preserve">,</w:t>
      </w:r>
      <w:r>
        <w:t xml:space="preserve"> </w:t>
      </w:r>
      <w:r>
        <w:rPr>
          <w:i/>
          <w:iCs/>
        </w:rPr>
        <w:t xml:space="preserve">123</w:t>
      </w:r>
      <w:r>
        <w:t xml:space="preserve">(1), 89-120. https://doi.org/10.1016/j.jeconom.2003.10.030</w:t>
      </w:r>
    </w:p>
    <w:p>
      <w:pPr>
        <w:pStyle w:val="Compact"/>
        <w:numPr>
          <w:ilvl w:val="0"/>
          <w:numId w:val="1013"/>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pStyle w:val="Compact"/>
        <w:numPr>
          <w:ilvl w:val="0"/>
          <w:numId w:val="1013"/>
        </w:numPr>
      </w:pPr>
      <w:r>
        <w:t xml:space="preserve">Hakkio, C. S., y Rush, M. (1991). Is the budget deficit</w:t>
      </w:r>
      <w:r>
        <w:t xml:space="preserve"> </w:t>
      </w:r>
      <w:r>
        <w:t xml:space="preserve">“too large?”</w:t>
      </w:r>
      <w:r>
        <w:t xml:space="preserve"> </w:t>
      </w:r>
      <w:r>
        <w:rPr>
          <w:i/>
          <w:iCs/>
        </w:rPr>
        <w:t xml:space="preserve">Economic Inquiry</w:t>
      </w:r>
      <w:r>
        <w:t xml:space="preserve">,</w:t>
      </w:r>
      <w:r>
        <w:t xml:space="preserve"> </w:t>
      </w:r>
      <w:r>
        <w:rPr>
          <w:i/>
          <w:iCs/>
        </w:rPr>
        <w:t xml:space="preserve">29</w:t>
      </w:r>
      <w:r>
        <w:t xml:space="preserve">(3), 429-445. https://doi.org/10.1111/j.1465-7295.1991.tb00837.x</w:t>
      </w:r>
    </w:p>
    <w:p>
      <w:pPr>
        <w:pStyle w:val="Compact"/>
        <w:numPr>
          <w:ilvl w:val="0"/>
          <w:numId w:val="1013"/>
        </w:numPr>
      </w:pPr>
      <w:r>
        <w:t xml:space="preserve">Hébert, B., y Schreger, J. (2017). The costs of sovereign default: Evidence from Argentina.</w:t>
      </w:r>
      <w:r>
        <w:t xml:space="preserve"> </w:t>
      </w:r>
      <w:r>
        <w:rPr>
          <w:i/>
          <w:iCs/>
        </w:rPr>
        <w:t xml:space="preserve">American Economic Review</w:t>
      </w:r>
      <w:r>
        <w:t xml:space="preserve">,</w:t>
      </w:r>
      <w:r>
        <w:t xml:space="preserve"> </w:t>
      </w:r>
      <w:r>
        <w:rPr>
          <w:i/>
          <w:iCs/>
        </w:rPr>
        <w:t xml:space="preserve">107</w:t>
      </w:r>
      <w:r>
        <w:t xml:space="preserve">(10), 3119-3145. https://doi.org/10.1257/aer.20151667</w:t>
      </w:r>
    </w:p>
    <w:p>
      <w:pPr>
        <w:pStyle w:val="Compact"/>
        <w:numPr>
          <w:ilvl w:val="0"/>
          <w:numId w:val="1013"/>
        </w:numPr>
      </w:pPr>
      <w:r>
        <w:t xml:space="preserve">Hodrick, R. J., y Prescott, E. C. (1997). Postwar U.S. business cycles: An empirical investigation.</w:t>
      </w:r>
      <w:r>
        <w:t xml:space="preserve"> </w:t>
      </w:r>
      <w:r>
        <w:rPr>
          <w:i/>
          <w:iCs/>
        </w:rPr>
        <w:t xml:space="preserve">Journal of Money, Credit and Banking</w:t>
      </w:r>
      <w:r>
        <w:t xml:space="preserve">,</w:t>
      </w:r>
      <w:r>
        <w:t xml:space="preserve"> </w:t>
      </w:r>
      <w:r>
        <w:rPr>
          <w:i/>
          <w:iCs/>
        </w:rPr>
        <w:t xml:space="preserve">29</w:t>
      </w:r>
      <w:r>
        <w:t xml:space="preserve">(1), 1-16. https://doi.org/10.2307/2953682</w:t>
      </w:r>
    </w:p>
    <w:p>
      <w:pPr>
        <w:pStyle w:val="Compact"/>
        <w:numPr>
          <w:ilvl w:val="0"/>
          <w:numId w:val="1013"/>
        </w:numPr>
      </w:pPr>
      <w:r>
        <w:t xml:space="preserve">Hosking, J. R. M. (1980). The multivariate portmanteau statistic.</w:t>
      </w:r>
      <w:r>
        <w:t xml:space="preserve"> </w:t>
      </w:r>
      <w:r>
        <w:rPr>
          <w:i/>
          <w:iCs/>
        </w:rPr>
        <w:t xml:space="preserve">Journal of the American Statistical Association</w:t>
      </w:r>
      <w:r>
        <w:t xml:space="preserve">,</w:t>
      </w:r>
      <w:r>
        <w:t xml:space="preserve"> </w:t>
      </w:r>
      <w:r>
        <w:rPr>
          <w:i/>
          <w:iCs/>
        </w:rPr>
        <w:t xml:space="preserve">75</w:t>
      </w:r>
      <w:r>
        <w:t xml:space="preserve">(371), 602-608. https://doi.org/10.1080/01621459.1980.10477520</w:t>
      </w:r>
    </w:p>
    <w:p>
      <w:pPr>
        <w:pStyle w:val="Compact"/>
        <w:numPr>
          <w:ilvl w:val="0"/>
          <w:numId w:val="1013"/>
        </w:numPr>
      </w:pPr>
      <w:r>
        <w:t xml:space="preserve">Infobae. (2026, 23 de septiembre).</w:t>
      </w:r>
      <w:r>
        <w:t xml:space="preserve"> </w:t>
      </w:r>
      <w:r>
        <w:rPr>
          <w:i/>
          <w:iCs/>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pStyle w:val="Compact"/>
        <w:numPr>
          <w:ilvl w:val="0"/>
          <w:numId w:val="1013"/>
        </w:numPr>
      </w:pPr>
      <w:r>
        <w:t xml:space="preserve">Ivanov, V., y Kilian, L. (2005). A practitioner’s guide to lag order selection for VAR impulse response analysis.</w:t>
      </w:r>
      <w:r>
        <w:t xml:space="preserve"> </w:t>
      </w:r>
      <w:r>
        <w:rPr>
          <w:i/>
          <w:iCs/>
        </w:rPr>
        <w:t xml:space="preserve">Studies in Nonlinear Dynamics and Econometrics</w:t>
      </w:r>
      <w:r>
        <w:t xml:space="preserve">,</w:t>
      </w:r>
      <w:r>
        <w:t xml:space="preserve"> </w:t>
      </w:r>
      <w:r>
        <w:rPr>
          <w:i/>
          <w:iCs/>
        </w:rPr>
        <w:t xml:space="preserve">9</w:t>
      </w:r>
      <w:r>
        <w:t xml:space="preserve">(1), artículo 2. https://doi.org/10.2202/1558-3708.1219</w:t>
      </w:r>
    </w:p>
    <w:p>
      <w:pPr>
        <w:pStyle w:val="Compact"/>
        <w:numPr>
          <w:ilvl w:val="0"/>
          <w:numId w:val="1013"/>
        </w:numPr>
      </w:pPr>
      <w:r>
        <w:t xml:space="preserve">Jarque, C. M., y Bera, A. K. (1987). A test for normality of observations and regression residuals.</w:t>
      </w:r>
      <w:r>
        <w:t xml:space="preserve"> </w:t>
      </w:r>
      <w:r>
        <w:rPr>
          <w:i/>
          <w:iCs/>
        </w:rPr>
        <w:t xml:space="preserve">International Statistical Review</w:t>
      </w:r>
      <w:r>
        <w:t xml:space="preserve">,</w:t>
      </w:r>
      <w:r>
        <w:t xml:space="preserve"> </w:t>
      </w:r>
      <w:r>
        <w:rPr>
          <w:i/>
          <w:iCs/>
        </w:rPr>
        <w:t xml:space="preserve">55</w:t>
      </w:r>
      <w:r>
        <w:t xml:space="preserve">(2), 163-172. https://doi.org/10.2307/1403192</w:t>
      </w:r>
    </w:p>
    <w:p>
      <w:pPr>
        <w:pStyle w:val="Compact"/>
        <w:numPr>
          <w:ilvl w:val="0"/>
          <w:numId w:val="1013"/>
        </w:numPr>
      </w:pPr>
      <w:r>
        <w:t xml:space="preserve">Johansen, S. (1991). Estimation and hypothesis testing of cointegration vectors in Gaussian vector autoregressive models.</w:t>
      </w:r>
      <w:r>
        <w:t xml:space="preserve"> </w:t>
      </w:r>
      <w:r>
        <w:rPr>
          <w:i/>
          <w:iCs/>
        </w:rPr>
        <w:t xml:space="preserve">Econometrica</w:t>
      </w:r>
      <w:r>
        <w:t xml:space="preserve">,</w:t>
      </w:r>
      <w:r>
        <w:t xml:space="preserve"> </w:t>
      </w:r>
      <w:r>
        <w:rPr>
          <w:i/>
          <w:iCs/>
        </w:rPr>
        <w:t xml:space="preserve">59</w:t>
      </w:r>
      <w:r>
        <w:t xml:space="preserve">(6), 1551-1580. https://doi.org/10.2307/2938278</w:t>
      </w:r>
    </w:p>
    <w:p>
      <w:pPr>
        <w:pStyle w:val="Compact"/>
        <w:numPr>
          <w:ilvl w:val="0"/>
          <w:numId w:val="1013"/>
        </w:numPr>
      </w:pPr>
      <w:r>
        <w:t xml:space="preserve">Johansen, S., Mosconi, R., y Nielsen, B. (2000). Cointegration analysis in the presence of structural breaks in the deterministic trend.</w:t>
      </w:r>
      <w:r>
        <w:t xml:space="preserve"> </w:t>
      </w:r>
      <w:r>
        <w:rPr>
          <w:i/>
          <w:iCs/>
        </w:rPr>
        <w:t xml:space="preserve">The Econometrics Journal</w:t>
      </w:r>
      <w:r>
        <w:t xml:space="preserve">,</w:t>
      </w:r>
      <w:r>
        <w:t xml:space="preserve"> </w:t>
      </w:r>
      <w:r>
        <w:rPr>
          <w:i/>
          <w:iCs/>
        </w:rPr>
        <w:t xml:space="preserve">3</w:t>
      </w:r>
      <w:r>
        <w:t xml:space="preserve">(2), 216-249. https://doi.org/10.1111/1368-423X.00047</w:t>
      </w:r>
    </w:p>
    <w:p>
      <w:pPr>
        <w:pStyle w:val="Compact"/>
        <w:numPr>
          <w:ilvl w:val="0"/>
          <w:numId w:val="1013"/>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https://doi.org/10.3386/w26297</w:t>
      </w:r>
    </w:p>
    <w:p>
      <w:pPr>
        <w:pStyle w:val="Compact"/>
        <w:numPr>
          <w:ilvl w:val="0"/>
          <w:numId w:val="1013"/>
        </w:numPr>
      </w:pPr>
      <w:r>
        <w:t xml:space="preserve">Kaminsky, G., Lizondo, S., y Reinhart, C. M. (1998). Leading indicators of currency crises.</w:t>
      </w:r>
      <w:r>
        <w:t xml:space="preserve"> </w:t>
      </w:r>
      <w:r>
        <w:rPr>
          <w:i/>
          <w:iCs/>
        </w:rPr>
        <w:t xml:space="preserve">IMF Staff Papers</w:t>
      </w:r>
      <w:r>
        <w:t xml:space="preserve">,</w:t>
      </w:r>
      <w:r>
        <w:t xml:space="preserve"> </w:t>
      </w:r>
      <w:r>
        <w:rPr>
          <w:i/>
          <w:iCs/>
        </w:rPr>
        <w:t xml:space="preserve">45</w:t>
      </w:r>
      <w:r>
        <w:t xml:space="preserve">(1), 1-48. https://doi.org/10.2307/3867328</w:t>
      </w:r>
    </w:p>
    <w:p>
      <w:pPr>
        <w:pStyle w:val="Compact"/>
        <w:numPr>
          <w:ilvl w:val="0"/>
          <w:numId w:val="1013"/>
        </w:numPr>
      </w:pPr>
      <w:r>
        <w:t xml:space="preserve">Kilian, L. (1998). Small-sample confidence intervals for impulse response functions.</w:t>
      </w:r>
      <w:r>
        <w:t xml:space="preserve"> </w:t>
      </w:r>
      <w:r>
        <w:rPr>
          <w:i/>
          <w:iCs/>
        </w:rPr>
        <w:t xml:space="preserve">Review of Economics and Statistics</w:t>
      </w:r>
      <w:r>
        <w:t xml:space="preserve">,</w:t>
      </w:r>
      <w:r>
        <w:t xml:space="preserve"> </w:t>
      </w:r>
      <w:r>
        <w:rPr>
          <w:i/>
          <w:iCs/>
        </w:rPr>
        <w:t xml:space="preserve">80</w:t>
      </w:r>
      <w:r>
        <w:t xml:space="preserve">(2), 218-230. https://doi.org/10.1162/003465398557465</w:t>
      </w:r>
    </w:p>
    <w:p>
      <w:pPr>
        <w:pStyle w:val="Compact"/>
        <w:numPr>
          <w:ilvl w:val="0"/>
          <w:numId w:val="1013"/>
        </w:numPr>
      </w:pPr>
      <w:r>
        <w:t xml:space="preserve">Kwiatkowski, D., Phillips, P. C. B., Schmidt, P., y Shin, Y. (1992). Testing the null hypothesis of stationarity against the alternative of a unit root.</w:t>
      </w:r>
      <w:r>
        <w:t xml:space="preserve"> </w:t>
      </w:r>
      <w:r>
        <w:rPr>
          <w:i/>
          <w:iCs/>
        </w:rPr>
        <w:t xml:space="preserve">Journal of Econometrics</w:t>
      </w:r>
      <w:r>
        <w:t xml:space="preserve">,</w:t>
      </w:r>
      <w:r>
        <w:t xml:space="preserve"> </w:t>
      </w:r>
      <w:r>
        <w:rPr>
          <w:i/>
          <w:iCs/>
        </w:rPr>
        <w:t xml:space="preserve">54</w:t>
      </w:r>
      <w:r>
        <w:t xml:space="preserve">(1-3), 159-178. https://doi.org/10.1016/0304-4076(92)90104-Y</w:t>
      </w:r>
    </w:p>
    <w:p>
      <w:pPr>
        <w:pStyle w:val="Compact"/>
        <w:numPr>
          <w:ilvl w:val="0"/>
          <w:numId w:val="1013"/>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w:t>
      </w:r>
      <w:r>
        <w:t xml:space="preserve">,</w:t>
      </w:r>
      <w:r>
        <w:t xml:space="preserve"> </w:t>
      </w:r>
      <w:r>
        <w:rPr>
          <w:i/>
          <w:iCs/>
        </w:rPr>
        <w:t xml:space="preserve">27</w:t>
      </w:r>
      <w:r>
        <w:t xml:space="preserve">(1), 129-147. https://doi.org/10.1016/0304-3932(91)90007-B</w:t>
      </w:r>
    </w:p>
    <w:p>
      <w:pPr>
        <w:pStyle w:val="Compact"/>
        <w:numPr>
          <w:ilvl w:val="0"/>
          <w:numId w:val="1013"/>
        </w:numPr>
      </w:pPr>
      <w:r>
        <w:t xml:space="preserve">Levy Yeyati, E., y Sturzenegger, F. (2023). A balance-sheet approach to fiscal sustainability.</w:t>
      </w:r>
      <w:r>
        <w:t xml:space="preserve"> </w:t>
      </w:r>
      <w:r>
        <w:rPr>
          <w:i/>
          <w:iCs/>
        </w:rPr>
        <w:t xml:space="preserve">Fiscal Studies</w:t>
      </w:r>
      <w:r>
        <w:t xml:space="preserve">,</w:t>
      </w:r>
      <w:r>
        <w:t xml:space="preserve"> </w:t>
      </w:r>
      <w:r>
        <w:rPr>
          <w:i/>
          <w:iCs/>
        </w:rPr>
        <w:t xml:space="preserve">44</w:t>
      </w:r>
      <w:r>
        <w:t xml:space="preserve">(1), 61-84. https://doi.org/10.1111/1475-5890.12319</w:t>
      </w:r>
    </w:p>
    <w:p>
      <w:pPr>
        <w:pStyle w:val="Compact"/>
        <w:numPr>
          <w:ilvl w:val="0"/>
          <w:numId w:val="1013"/>
        </w:numPr>
      </w:pPr>
      <w:r>
        <w:t xml:space="preserve">Ley 27.541 de Solidaridad Social y Reactivación Productiva en el Marco de la Emergencia Pública. (2019, 23 de diciembre). Boletín Oficial de la República Argentina.</w:t>
      </w:r>
    </w:p>
    <w:p>
      <w:pPr>
        <w:pStyle w:val="Compact"/>
        <w:numPr>
          <w:ilvl w:val="0"/>
          <w:numId w:val="1013"/>
        </w:numPr>
      </w:pPr>
      <w:r>
        <w:t xml:space="preserve">Ley 27.612 de Fortalecimiento de la Sostenibilidad de la Deuda Pública. (2021, 3 de marzo). Boletín Oficial de la República Argentina. https://www.argentina.gob.ar/normativa/nacional/norma-347532/texto</w:t>
      </w:r>
    </w:p>
    <w:p>
      <w:pPr>
        <w:pStyle w:val="Compact"/>
        <w:numPr>
          <w:ilvl w:val="0"/>
          <w:numId w:val="1013"/>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3"/>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No. 459). Comisión Europea.</w:t>
      </w:r>
    </w:p>
    <w:p>
      <w:pPr>
        <w:pStyle w:val="Compact"/>
        <w:numPr>
          <w:ilvl w:val="0"/>
          <w:numId w:val="1013"/>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w:t>
      </w:r>
      <w:r>
        <w:t xml:space="preserve"> </w:t>
      </w:r>
      <w:r>
        <w:rPr>
          <w:i/>
          <w:iCs/>
        </w:rPr>
        <w:t xml:space="preserve">18</w:t>
      </w:r>
      <w:r>
        <w:t xml:space="preserve">(2), 133-177.</w:t>
      </w:r>
    </w:p>
    <w:p>
      <w:pPr>
        <w:pStyle w:val="Compact"/>
        <w:numPr>
          <w:ilvl w:val="0"/>
          <w:numId w:val="1013"/>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w:t>
      </w:r>
    </w:p>
    <w:p>
      <w:pPr>
        <w:pStyle w:val="Compact"/>
        <w:numPr>
          <w:ilvl w:val="0"/>
          <w:numId w:val="1013"/>
        </w:numPr>
      </w:pPr>
      <w:r>
        <w:t xml:space="preserve">Neumeyer, P. A., y Perri, F. (2005). Business cycles in emerging economies: The role of interest rates.</w:t>
      </w:r>
      <w:r>
        <w:t xml:space="preserve"> </w:t>
      </w:r>
      <w:r>
        <w:rPr>
          <w:i/>
          <w:iCs/>
        </w:rPr>
        <w:t xml:space="preserve">Journal of Monetary Economics</w:t>
      </w:r>
      <w:r>
        <w:t xml:space="preserve">,</w:t>
      </w:r>
      <w:r>
        <w:t xml:space="preserve"> </w:t>
      </w:r>
      <w:r>
        <w:rPr>
          <w:i/>
          <w:iCs/>
        </w:rPr>
        <w:t xml:space="preserve">52</w:t>
      </w:r>
      <w:r>
        <w:t xml:space="preserve">(2), 345-380. https://doi.org/10.1016/j.jmoneco.2004.04.011</w:t>
      </w:r>
    </w:p>
    <w:p>
      <w:pPr>
        <w:pStyle w:val="Compact"/>
        <w:numPr>
          <w:ilvl w:val="0"/>
          <w:numId w:val="1013"/>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13"/>
        </w:numPr>
      </w:pPr>
      <w:r>
        <w:t xml:space="preserve">Perron, P. (1989). The great crash, the oil price shock, and the unit root hypothesis.</w:t>
      </w:r>
      <w:r>
        <w:t xml:space="preserve"> </w:t>
      </w:r>
      <w:r>
        <w:rPr>
          <w:i/>
          <w:iCs/>
        </w:rPr>
        <w:t xml:space="preserve">Econometrica</w:t>
      </w:r>
      <w:r>
        <w:t xml:space="preserve">,</w:t>
      </w:r>
      <w:r>
        <w:t xml:space="preserve"> </w:t>
      </w:r>
      <w:r>
        <w:rPr>
          <w:i/>
          <w:iCs/>
        </w:rPr>
        <w:t xml:space="preserve">57</w:t>
      </w:r>
      <w:r>
        <w:t xml:space="preserve">(6), 1361-1401. https://doi.org/10.2307/1913712</w:t>
      </w:r>
    </w:p>
    <w:p>
      <w:pPr>
        <w:pStyle w:val="Compact"/>
        <w:numPr>
          <w:ilvl w:val="0"/>
          <w:numId w:val="1013"/>
        </w:numPr>
      </w:pPr>
      <w:r>
        <w:t xml:space="preserve">Pesaran, M. H., y Smith, R. (1995). Estimating long-run relationships from dynamic heterogeneous panels.</w:t>
      </w:r>
      <w:r>
        <w:t xml:space="preserve"> </w:t>
      </w:r>
      <w:r>
        <w:rPr>
          <w:i/>
          <w:iCs/>
        </w:rPr>
        <w:t xml:space="preserve">Journal of Econometrics</w:t>
      </w:r>
      <w:r>
        <w:t xml:space="preserve">,</w:t>
      </w:r>
      <w:r>
        <w:t xml:space="preserve"> </w:t>
      </w:r>
      <w:r>
        <w:rPr>
          <w:i/>
          <w:iCs/>
        </w:rPr>
        <w:t xml:space="preserve">68</w:t>
      </w:r>
      <w:r>
        <w:t xml:space="preserve">(1), 79-113. https://doi.org/10.1016/0304-4076(94)01644-F</w:t>
      </w:r>
    </w:p>
    <w:p>
      <w:pPr>
        <w:pStyle w:val="Compact"/>
        <w:numPr>
          <w:ilvl w:val="0"/>
          <w:numId w:val="1013"/>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3"/>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13"/>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3"/>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3"/>
        </w:numPr>
      </w:pPr>
      <w:r>
        <w:t xml:space="preserve">Reinhart, C. M., Rogoff, K. S., y Savastano, M. A. (2003). Debt intolerance.</w:t>
      </w:r>
      <w:r>
        <w:t xml:space="preserve"> </w:t>
      </w:r>
      <w:r>
        <w:rPr>
          <w:i/>
          <w:iCs/>
        </w:rPr>
        <w:t xml:space="preserve">Brookings Papers on Economic Activity</w:t>
      </w:r>
      <w:r>
        <w:t xml:space="preserve">,</w:t>
      </w:r>
      <w:r>
        <w:t xml:space="preserve"> </w:t>
      </w:r>
      <w:r>
        <w:rPr>
          <w:i/>
          <w:iCs/>
        </w:rPr>
        <w:t xml:space="preserve">2003</w:t>
      </w:r>
      <w:r>
        <w:t xml:space="preserve">(1), 1-74. https://doi.org/10.1353/eca.2003.0018</w:t>
      </w:r>
    </w:p>
    <w:p>
      <w:pPr>
        <w:pStyle w:val="Compact"/>
        <w:numPr>
          <w:ilvl w:val="0"/>
          <w:numId w:val="1013"/>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3"/>
        </w:numPr>
      </w:pPr>
      <w:r>
        <w:t xml:space="preserve">Rey, H. (2013).</w:t>
      </w:r>
      <w:r>
        <w:t xml:space="preserve"> </w:t>
      </w:r>
      <w:r>
        <w:rPr>
          <w:i/>
          <w:iCs/>
        </w:rPr>
        <w:t xml:space="preserve">Dilemma not trilemma: The global financial cycle and monetary policy independence</w:t>
      </w:r>
      <w:r>
        <w:t xml:space="preserve"> </w:t>
      </w:r>
      <w:r>
        <w:t xml:space="preserve">[Documento presentado en el Simposio de Política Económica de Jackson Hole, 2013]. Federal Reserve Bank of Kansas City. Versión en NBER Working Paper No. 21162 (2015, rev. 2018).</w:t>
      </w:r>
    </w:p>
    <w:p>
      <w:pPr>
        <w:pStyle w:val="Compact"/>
        <w:numPr>
          <w:ilvl w:val="0"/>
          <w:numId w:val="1013"/>
        </w:numPr>
      </w:pPr>
      <w:r>
        <w:t xml:space="preserve">Rigobon, R. (2003). Identification through heteroskedasticity.</w:t>
      </w:r>
      <w:r>
        <w:t xml:space="preserve"> </w:t>
      </w:r>
      <w:r>
        <w:rPr>
          <w:i/>
          <w:iCs/>
        </w:rPr>
        <w:t xml:space="preserve">The Review of Economics and Statistics</w:t>
      </w:r>
      <w:r>
        <w:t xml:space="preserve">,</w:t>
      </w:r>
      <w:r>
        <w:t xml:space="preserve"> </w:t>
      </w:r>
      <w:r>
        <w:rPr>
          <w:i/>
          <w:iCs/>
        </w:rPr>
        <w:t xml:space="preserve">85</w:t>
      </w:r>
      <w:r>
        <w:t xml:space="preserve">(4), 777-792. https://doi.org/10.1162/003465303772815727</w:t>
      </w:r>
    </w:p>
    <w:p>
      <w:pPr>
        <w:pStyle w:val="Compact"/>
        <w:numPr>
          <w:ilvl w:val="0"/>
          <w:numId w:val="1013"/>
        </w:numPr>
      </w:pPr>
      <w:r>
        <w:t xml:space="preserve">Rigobon, R., y Sack, B. (2004). The impact of monetary policy on asset prices.</w:t>
      </w:r>
      <w:r>
        <w:t xml:space="preserve"> </w:t>
      </w:r>
      <w:r>
        <w:rPr>
          <w:i/>
          <w:iCs/>
        </w:rPr>
        <w:t xml:space="preserve">Journal of Monetary Economics</w:t>
      </w:r>
      <w:r>
        <w:t xml:space="preserve">,</w:t>
      </w:r>
      <w:r>
        <w:t xml:space="preserve"> </w:t>
      </w:r>
      <w:r>
        <w:rPr>
          <w:i/>
          <w:iCs/>
        </w:rPr>
        <w:t xml:space="preserve">51</w:t>
      </w:r>
      <w:r>
        <w:t xml:space="preserve">(8), 1553-1575. https://doi.org/10.1016/j.jmoneco.2004.02.004</w:t>
      </w:r>
    </w:p>
    <w:p>
      <w:pPr>
        <w:pStyle w:val="Compact"/>
        <w:numPr>
          <w:ilvl w:val="0"/>
          <w:numId w:val="1013"/>
        </w:numPr>
      </w:pPr>
      <w:r>
        <w:t xml:space="preserve">Rodríguez, A. (2023). Financiamiento y sostenibilidad de la deuda pública: El caso de la economía argentina (2001-2022).</w:t>
      </w:r>
      <w:r>
        <w:t xml:space="preserve"> </w:t>
      </w:r>
      <w:r>
        <w:rPr>
          <w:i/>
          <w:iCs/>
        </w:rPr>
        <w:t xml:space="preserve">Ciencias Económicas</w:t>
      </w:r>
      <w:r>
        <w:t xml:space="preserve">,</w:t>
      </w:r>
      <w:r>
        <w:t xml:space="preserve"> </w:t>
      </w:r>
      <w:r>
        <w:rPr>
          <w:i/>
          <w:iCs/>
        </w:rPr>
        <w:t xml:space="preserve">2</w:t>
      </w:r>
      <w:r>
        <w:t xml:space="preserve">(20), e0032. https://doi.org/10.14409/rce.2023.20.e0032</w:t>
      </w:r>
    </w:p>
    <w:p>
      <w:pPr>
        <w:pStyle w:val="Compact"/>
        <w:numPr>
          <w:ilvl w:val="0"/>
          <w:numId w:val="1013"/>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3"/>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3"/>
        </w:numPr>
      </w:pPr>
      <w:r>
        <w:t xml:space="preserve">Sargent, T. J., y Wallace, N. (1981). Some unpleasant monetarist arithmetic.</w:t>
      </w:r>
      <w:r>
        <w:t xml:space="preserve"> </w:t>
      </w:r>
      <w:r>
        <w:rPr>
          <w:i/>
          <w:iCs/>
        </w:rPr>
        <w:t xml:space="preserve">Federal Reserve Bank of Minneapolis Quarterly Review</w:t>
      </w:r>
      <w:r>
        <w:t xml:space="preserve">,</w:t>
      </w:r>
      <w:r>
        <w:t xml:space="preserve"> </w:t>
      </w:r>
      <w:r>
        <w:rPr>
          <w:i/>
          <w:iCs/>
        </w:rPr>
        <w:t xml:space="preserve">5</w:t>
      </w:r>
      <w:r>
        <w:t xml:space="preserve">(3), 1-17.</w:t>
      </w:r>
    </w:p>
    <w:p>
      <w:pPr>
        <w:pStyle w:val="Compact"/>
        <w:numPr>
          <w:ilvl w:val="0"/>
          <w:numId w:val="1013"/>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3"/>
        </w:numPr>
      </w:pPr>
      <w:r>
        <w:t xml:space="preserve">Sims, C. A., Stock, J. H., y Watson, M. W. (1990). Inference in linear time series models with some unit roots.</w:t>
      </w:r>
      <w:r>
        <w:t xml:space="preserve"> </w:t>
      </w:r>
      <w:r>
        <w:rPr>
          <w:i/>
          <w:iCs/>
        </w:rPr>
        <w:t xml:space="preserve">Econometrica</w:t>
      </w:r>
      <w:r>
        <w:t xml:space="preserve">,</w:t>
      </w:r>
      <w:r>
        <w:t xml:space="preserve"> </w:t>
      </w:r>
      <w:r>
        <w:rPr>
          <w:i/>
          <w:iCs/>
        </w:rPr>
        <w:t xml:space="preserve">58</w:t>
      </w:r>
      <w:r>
        <w:t xml:space="preserve">(1), 113-144. https://doi.org/10.2307/2938337</w:t>
      </w:r>
    </w:p>
    <w:p>
      <w:pPr>
        <w:pStyle w:val="Compact"/>
        <w:numPr>
          <w:ilvl w:val="0"/>
          <w:numId w:val="1013"/>
        </w:numPr>
      </w:pPr>
      <w:r>
        <w:t xml:space="preserve">Thirlwall, A. P. (1979). The balance of payments constraint as an explanation of international growth rate differences.</w:t>
      </w:r>
      <w:r>
        <w:t xml:space="preserve"> </w:t>
      </w:r>
      <w:r>
        <w:rPr>
          <w:i/>
          <w:iCs/>
        </w:rPr>
        <w:t xml:space="preserve">Banca Nazionale del Lavoro Quarterly Review</w:t>
      </w:r>
      <w:r>
        <w:t xml:space="preserve">,</w:t>
      </w:r>
      <w:r>
        <w:t xml:space="preserve"> </w:t>
      </w:r>
      <w:r>
        <w:rPr>
          <w:i/>
          <w:iCs/>
        </w:rPr>
        <w:t xml:space="preserve">32</w:t>
      </w:r>
      <w:r>
        <w:t xml:space="preserve">(128), 45-53.</w:t>
      </w:r>
    </w:p>
    <w:p>
      <w:pPr>
        <w:pStyle w:val="Compact"/>
        <w:numPr>
          <w:ilvl w:val="0"/>
          <w:numId w:val="1013"/>
        </w:numPr>
      </w:pPr>
      <w:r>
        <w:t xml:space="preserve">Trehan, B., y Walsh, C. E. (1991). Testing intertemporal budget constraints: Theory and applications to U.S. federal budget and current account deficits.</w:t>
      </w:r>
      <w:r>
        <w:t xml:space="preserve"> </w:t>
      </w:r>
      <w:r>
        <w:rPr>
          <w:i/>
          <w:iCs/>
        </w:rPr>
        <w:t xml:space="preserve">Journal of Money, Credit and Banking</w:t>
      </w:r>
      <w:r>
        <w:t xml:space="preserve">,</w:t>
      </w:r>
      <w:r>
        <w:t xml:space="preserve"> </w:t>
      </w:r>
      <w:r>
        <w:rPr>
          <w:i/>
          <w:iCs/>
        </w:rPr>
        <w:t xml:space="preserve">23</w:t>
      </w:r>
      <w:r>
        <w:t xml:space="preserve">(2), 206-223. https://doi.org/10.2307/1992777</w:t>
      </w:r>
    </w:p>
    <w:p>
      <w:pPr>
        <w:pStyle w:val="Compact"/>
        <w:numPr>
          <w:ilvl w:val="0"/>
          <w:numId w:val="1013"/>
        </w:numPr>
      </w:pPr>
      <w:r>
        <w:t xml:space="preserve">Uribe, M., y Yue, V. Z. (2006). Country spreads and emerging countries: Who drives whom?</w:t>
      </w:r>
      <w:r>
        <w:t xml:space="preserve"> </w:t>
      </w:r>
      <w:r>
        <w:rPr>
          <w:i/>
          <w:iCs/>
        </w:rPr>
        <w:t xml:space="preserve">Journal of International Economics</w:t>
      </w:r>
      <w:r>
        <w:t xml:space="preserve">,</w:t>
      </w:r>
      <w:r>
        <w:t xml:space="preserve"> </w:t>
      </w:r>
      <w:r>
        <w:rPr>
          <w:i/>
          <w:iCs/>
        </w:rPr>
        <w:t xml:space="preserve">69</w:t>
      </w:r>
      <w:r>
        <w:t xml:space="preserve">(1), 6-36. https://doi.org/10.1016/j.jinteco.2005.04.003</w:t>
      </w:r>
    </w:p>
    <w:p>
      <w:pPr>
        <w:pStyle w:val="Compact"/>
        <w:numPr>
          <w:ilvl w:val="0"/>
          <w:numId w:val="1013"/>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w:t>
      </w:r>
      <w:r>
        <w:t xml:space="preserve"> </w:t>
      </w:r>
      <w:r>
        <w:rPr>
          <w:i/>
          <w:iCs/>
        </w:rPr>
        <w:t xml:space="preserve">9</w:t>
      </w:r>
      <w:r>
        <w:t xml:space="preserve">(número especial 1), 103-124. https://doi.org/10.2478/jcbtp-2020-0025</w:t>
      </w:r>
    </w:p>
    <w:p>
      <w:pPr>
        <w:pStyle w:val="Compact"/>
        <w:numPr>
          <w:ilvl w:val="0"/>
          <w:numId w:val="1013"/>
        </w:numPr>
      </w:pPr>
      <w:r>
        <w:t xml:space="preserve">Wu, J. C., y Xia, F. D. (2016). Measuring the macroeconomic impact of monetary policy at the zero lower bound.</w:t>
      </w:r>
      <w:r>
        <w:t xml:space="preserve"> </w:t>
      </w:r>
      <w:r>
        <w:rPr>
          <w:i/>
          <w:iCs/>
        </w:rPr>
        <w:t xml:space="preserve">Journal of Money, Credit and Banking</w:t>
      </w:r>
      <w:r>
        <w:t xml:space="preserve">,</w:t>
      </w:r>
      <w:r>
        <w:t xml:space="preserve"> </w:t>
      </w:r>
      <w:r>
        <w:rPr>
          <w:i/>
          <w:iCs/>
        </w:rPr>
        <w:t xml:space="preserve">48</w:t>
      </w:r>
      <w:r>
        <w:t xml:space="preserve">(2-3), 253-291. https://doi.org/10.1111/jmcb.12300</w:t>
      </w:r>
    </w:p>
    <w:p>
      <w:pPr>
        <w:pStyle w:val="Compact"/>
        <w:numPr>
          <w:ilvl w:val="0"/>
          <w:numId w:val="1013"/>
        </w:numPr>
      </w:pPr>
      <w:r>
        <w:t xml:space="preserve">Zivot, E., y Andrews, D. W. K. (1992). Further evidence on the great crash, the oil-price shock, and the unit-root hypothesis.</w:t>
      </w:r>
      <w:r>
        <w:t xml:space="preserve"> </w:t>
      </w:r>
      <w:r>
        <w:rPr>
          <w:i/>
          <w:iCs/>
        </w:rPr>
        <w:t xml:space="preserve">Journal of Business and Economic Statistics</w:t>
      </w:r>
      <w:r>
        <w:t xml:space="preserve">,</w:t>
      </w:r>
      <w:r>
        <w:t xml:space="preserve"> </w:t>
      </w:r>
      <w:r>
        <w:rPr>
          <w:i/>
          <w:iCs/>
        </w:rPr>
        <w:t xml:space="preserve">10</w:t>
      </w:r>
      <w:r>
        <w:t xml:space="preserve">(3), 251-270. https://doi.org/10.1080/07350015.1992.10509904</w:t>
      </w:r>
    </w:p>
    <w:p>
      <w:r>
        <w:pict>
          <v:rect style="width:0;height:1.5pt" o:hralign="center" o:hrstd="t" o:hr="t"/>
        </w:pict>
      </w:r>
    </w:p>
    <w:bookmarkEnd w:id="122"/>
    <w:bookmarkStart w:id="128" w:name="X94fa00cbba88d80644c76c995e4abd03512405e"/>
    <w:p>
      <w:pPr>
        <w:pStyle w:val="Heading1"/>
      </w:pPr>
      <w:r>
        <w:t xml:space="preserve">Notas para el grupo (no forman parte del texto de la tesis)</w:t>
      </w:r>
    </w:p>
    <w:bookmarkStart w:id="123" w:name="Xd257d1bb1a88d9ab0c41730ebfc4ce881e14dfa"/>
    <w:p>
      <w:pPr>
        <w:pStyle w:val="Heading2"/>
      </w:pPr>
      <w:r>
        <w:t xml:space="preserve">Nota 1. Criterio de H1b (actualizado el 11/10/2026)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w:t>
      </w:r>
    </w:p>
    <w:p>
      <w:pPr>
        <w:pStyle w:val="BodyText"/>
      </w:pPr>
      <w:r>
        <w:rPr>
          <w:b/>
          <w:bCs/>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(3% a mediano plazo) queda como robustez.</w:t>
      </w:r>
    </w:p>
    <w:p>
      <w:pPr>
        <w:pStyle w:val="BodyText"/>
      </w:pPr>
      <w:r>
        <w:rPr>
          <w:b/>
          <w:bCs/>
        </w:rPr>
        <w:t xml:space="preserve">Cómo se contrasta.</w:t>
      </w:r>
      <w:r>
        <w:t xml:space="preserve"> </w:t>
      </w:r>
      <w:r>
        <w:t xml:space="preserve">H1b se considera respaldada si el límite inferior del intervalo de 90% del</w:t>
      </w:r>
      <w:r>
        <w:t xml:space="preserve"> </w:t>
      </w:r>
      <w:r>
        <w:rPr>
          <w:i/>
          <w:iCs/>
        </w:rPr>
        <w:t xml:space="preserve">bootstrap</w:t>
      </w:r>
      <w:r>
        <w:t xml:space="preserve"> </w:t>
      </w:r>
      <w:r>
        <w:t xml:space="preserve">supera el umbral (contraste unilateral al 5%); se informa además el límite de 2,5% (corrección de Bonferroni por los dos horizontes).</w:t>
      </w:r>
    </w:p>
    <w:p>
      <w:pPr>
        <w:pStyle w:val="BodyText"/>
      </w:pPr>
      <w:r>
        <w:rPr>
          <w:b/>
          <w:bCs/>
        </w:rPr>
        <w:t xml:space="preserve">Condiciones de comparabilidad.</w:t>
      </w:r>
      <w:r>
        <w:t xml:space="preserve"> </w:t>
      </w:r>
      <w:r>
        <w:t xml:space="preserve">El escenario base reproduce los senderos del FMI, incluida la inflación relativa (la valuación de la deuda en moneda extranjera por la depreciación del escenario); la identidad reproduce la senda de deuda del FMI con un desvío máximo de 0,1 puntos. Se informan también la deuda bruta, la deuda solo del Tesoro y un punto de partida igual a la deuda del FMI.</w:t>
      </w:r>
    </w:p>
    <w:bookmarkEnd w:id="123"/>
    <w:bookmarkStart w:id="124" w:name="X516bcb10eb65bb639c4b0de9683673a51efbad9"/>
    <w:p>
      <w:pPr>
        <w:pStyle w:val="Heading2"/>
      </w:pPr>
      <w:r>
        <w:t xml:space="preserve">Nota 2. Tamaño del shock de la FED (decidido el 11/10/2026)</w:t>
      </w:r>
    </w:p>
    <w:p>
      <w:pPr>
        <w:pStyle w:val="FirstParagraph"/>
      </w:pPr>
      <w:r>
        <w:t xml:space="preserve">Los +100 puntos básicos de la versión anterior no estaban justificados y se sacaron. Se usan dos tamaños, los dos con fundamento: un desvío estándar de la variación trimestral de la tasa de política de la FED en 1996-2025 (0,50 puntos), que es la convención de la literatura de VAR, y una repetición del ciclo de subas de 2022-2023 (5,25 puntos en ocho trimestres), que es el episodio histórico más reciente. El primero no tiene un efecto distinguible y el segundo sí (Capítulo 6).</w:t>
      </w:r>
    </w:p>
    <w:bookmarkEnd w:id="124"/>
    <w:bookmarkStart w:id="125"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14"/>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14"/>
        </w:numPr>
      </w:pPr>
      <w:r>
        <w:rPr>
          <w:b/>
          <w:bCs/>
        </w:rPr>
        <w:t xml:space="preserve">Citas corregidas:</w:t>
      </w:r>
    </w:p>
    <w:p>
      <w:pPr>
        <w:pStyle w:val="Compact"/>
        <w:numPr>
          <w:ilvl w:val="1"/>
          <w:numId w:val="1015"/>
        </w:numPr>
      </w:pPr>
      <w:r>
        <w:t xml:space="preserve">Reinhart et al. (2003) se usa ahora para la intolerancia a la deuda.</w:t>
      </w:r>
    </w:p>
    <w:p>
      <w:pPr>
        <w:pStyle w:val="Compact"/>
        <w:numPr>
          <w:ilvl w:val="1"/>
          <w:numId w:val="1015"/>
        </w:numPr>
      </w:pPr>
      <w:r>
        <w:t xml:space="preserve">Mendoza y Oviedo (2007), para la incertidumbre y el límite de deuda.</w:t>
      </w:r>
    </w:p>
    <w:p>
      <w:pPr>
        <w:pStyle w:val="Compact"/>
        <w:numPr>
          <w:ilvl w:val="1"/>
          <w:numId w:val="1015"/>
        </w:numPr>
      </w:pPr>
      <w:r>
        <w:t xml:space="preserve">La fatiga fiscal pasa a Ghosh et al. (2013).</w:t>
      </w:r>
    </w:p>
    <w:p>
      <w:pPr>
        <w:pStyle w:val="Compact"/>
        <w:numPr>
          <w:ilvl w:val="1"/>
          <w:numId w:val="1015"/>
        </w:numPr>
      </w:pPr>
      <w:r>
        <w:t xml:space="preserve">Ando et al. queda con año 2025.</w:t>
      </w:r>
    </w:p>
    <w:p>
      <w:pPr>
        <w:pStyle w:val="Compact"/>
        <w:numPr>
          <w:ilvl w:val="1"/>
          <w:numId w:val="1015"/>
        </w:numPr>
      </w:pPr>
      <w:r>
        <w:t xml:space="preserve">Se sacan Garud y la tesis propia.</w:t>
      </w:r>
    </w:p>
    <w:p>
      <w:pPr>
        <w:pStyle w:val="Compact"/>
        <w:numPr>
          <w:ilvl w:val="0"/>
          <w:numId w:val="1014"/>
        </w:numPr>
      </w:pPr>
      <w:r>
        <w:rPr>
          <w:b/>
          <w:bCs/>
        </w:rPr>
        <w:t xml:space="preserve">Canal cuasifiscal del shock de la FED:</w:t>
      </w:r>
      <w:r>
        <w:t xml:space="preserve"> </w:t>
      </w:r>
      <w:r>
        <w:t xml:space="preserve">se redacta en pasado.</w:t>
      </w:r>
    </w:p>
    <w:p>
      <w:pPr>
        <w:pStyle w:val="Compact"/>
        <w:numPr>
          <w:ilvl w:val="0"/>
          <w:numId w:val="1014"/>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14"/>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16"/>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16"/>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16"/>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17"/>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17"/>
        </w:numPr>
      </w:pPr>
      <w:r>
        <w:rPr>
          <w:b/>
          <w:bCs/>
        </w:rPr>
        <w:t xml:space="preserve">Párrafo cortado:</w:t>
      </w:r>
      <w:r>
        <w:t xml:space="preserve"> </w:t>
      </w:r>
      <w:r>
        <w:t xml:space="preserve">el párrafo de Santiago sobre la subordinación del BCRA, que estaba cortado, se completó y quedó marcado para verificar.</w:t>
      </w:r>
    </w:p>
    <w:bookmarkEnd w:id="125"/>
    <w:bookmarkStart w:id="126" w:name="Xb53a6fa4167288458a71c80ed74e333e2e773f9"/>
    <w:p>
      <w:pPr>
        <w:pStyle w:val="Heading2"/>
      </w:pPr>
      <w:r>
        <w:t xml:space="preserve">Nota 3b. Qué se hizo con cada comentario de Pablo y cada propuesta de Santiago</w:t>
      </w:r>
    </w:p>
    <w:p>
      <w:pPr>
        <w:pStyle w:val="FirstParagraph"/>
      </w:pPr>
      <w:r>
        <w:rPr>
          <w:b/>
          <w:bCs/>
        </w:rPr>
        <w:t xml:space="preserve">Comentarios de Pablo sobre Introducción y Antecedentes (PDF anotado del 15/9/2026)</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Comentario</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Dar citas para el patrón histórico de crisis de deuda</w:t>
            </w:r>
          </w:p>
        </w:tc>
        <w:tc>
          <w:tcPr/>
          <w:p>
            <w:pPr>
              <w:pStyle w:val="Compact"/>
            </w:pPr>
            <w:r>
              <w:rPr>
                <w:rFonts w:ascii="Calibri" w:hAnsi="Calibri"/>
                <w:sz w:val="20"/>
              </w:rPr>
              <w:t xml:space="preserve">Comín Comín (2014), Reinhart y Rogoff (2009), Díaz Alejandro (1970), della Paolera y Taylor (2001), Rapoport (2020)</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La frase sobre que la solvencia no depende solo del saldo fiscal necesita cita</w:t>
            </w:r>
          </w:p>
        </w:tc>
        <w:tc>
          <w:tcPr/>
          <w:p>
            <w:pPr>
              <w:pStyle w:val="Compact"/>
            </w:pPr>
            <w:r>
              <w:rPr>
                <w:rFonts w:ascii="Calibri" w:hAnsi="Calibri"/>
                <w:sz w:val="20"/>
              </w:rPr>
              <w:t xml:space="preserve">Ando et al. (2025), Calvo et al. (2003), Levy Yeyati y Sturzenegger (2023)</w:t>
            </w:r>
          </w:p>
        </w:tc>
        <w:tc>
          <w:tcPr/>
          <w:p>
            <w:pPr>
              <w:pStyle w:val="Compact"/>
            </w:pPr>
            <w:r>
              <w:rPr>
                <w:rFonts w:ascii="Calibri" w:hAnsi="Calibri"/>
                <w:sz w:val="20"/>
              </w:rPr>
              <w:t xml:space="preserve">1.2</w:t>
            </w:r>
          </w:p>
        </w:tc>
      </w:tr>
      <w:tr>
        <w:tc>
          <w:tcPr/>
          <w:p>
            <w:pPr>
              <w:pStyle w:val="Compac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“reabre un interrogante decisivo”</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“Frente a este dilema”</w:t>
            </w:r>
          </w:p>
        </w:tc>
        <w:tc>
          <w:tcPr/>
          <w:p>
            <w:pPr>
              <w:pStyle w:val="Compact"/>
            </w:pPr>
            <w:r>
              <w:rPr>
                <w:rFonts w:ascii="Calibri" w:hAnsi="Calibri"/>
                <w:sz w:val="20"/>
              </w:rPr>
              <w:t xml:space="preserve">Reescrito</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Sacar la parte de</w:t>
            </w:r>
            <w:r>
              <w:rPr>
                <w:rFonts w:ascii="Calibri" w:hAnsi="Calibri"/>
                <w:sz w:val="20"/>
              </w:rPr>
              <w:t xml:space="preserve"> </w:t>
            </w:r>
            <w:r>
              <w:rPr>
                <w:rFonts w:ascii="Calibri" w:hAnsi="Calibri"/>
                <w:sz w:val="20"/>
              </w:rPr>
              <w:t xml:space="preserve">“margen de solvencia para honrar los compromisos”</w:t>
            </w:r>
            <w:r>
              <w:rPr>
                <w:rFonts w:ascii="Calibri" w:hAnsi="Calibri"/>
                <w:sz w:val="20"/>
              </w:rPr>
              <w:t xml:space="preserve"> </w:t>
            </w:r>
            <w:r>
              <w:rPr>
                <w:rFonts w:ascii="Calibri" w:hAnsi="Calibri"/>
                <w:sz w:val="20"/>
              </w:rPr>
              <w:t xml:space="preserve">del objetivo</w:t>
            </w:r>
          </w:p>
        </w:tc>
        <w:tc>
          <w:tcPr/>
          <w:p>
            <w:pPr>
              <w:pStyle w:val="Compact"/>
            </w:pPr>
            <w:r>
              <w:rPr>
                <w:rFonts w:ascii="Calibri" w:hAnsi="Calibri"/>
                <w:sz w:val="20"/>
              </w:rPr>
              <w:t xml:space="preserve">Sacada; el objetivo quedó en evaluar la dinámica y estimar la probabilidad de no estabilización</w:t>
            </w:r>
          </w:p>
        </w:tc>
        <w:tc>
          <w:tcPr/>
          <w:p>
            <w:pPr>
              <w:pStyle w:val="Compact"/>
            </w:pPr>
            <w:r>
              <w:rPr>
                <w:rFonts w:ascii="Calibri" w:hAnsi="Calibri"/>
                <w:sz w:val="20"/>
              </w:rPr>
              <w:t xml:space="preserve">1.4</w:t>
            </w:r>
          </w:p>
        </w:tc>
      </w:tr>
      <w:tr>
        <w:tc>
          <w:tcPr/>
          <w:p>
            <w:pPr>
              <w:pStyle w:val="Compact"/>
            </w:pPr>
            <w:r>
              <w:rPr>
                <w:rFonts w:ascii="Calibri" w:hAnsi="Calibri"/>
                <w:sz w:val="20"/>
              </w:rPr>
              <w:t xml:space="preserve">No escribir entre rayas (delata la IA)</w:t>
            </w:r>
          </w:p>
        </w:tc>
        <w:tc>
          <w:tcPr/>
          <w:p>
            <w:pPr>
              <w:pStyle w:val="Compact"/>
            </w:pPr>
            <w:r>
              <w:rPr>
                <w:rFonts w:ascii="Calibri" w:hAnsi="Calibri"/>
                <w:sz w:val="20"/>
              </w:rPr>
              <w:t xml:space="preserve">No queda ninguna raya en la tesis</w:t>
            </w:r>
          </w:p>
        </w:tc>
        <w:tc>
          <w:tcPr/>
          <w:p>
            <w:pPr>
              <w:pStyle w:val="Compact"/>
            </w:pPr>
            <w:r>
              <w:rPr>
                <w:rFonts w:ascii="Calibri" w:hAnsi="Calibri"/>
                <w:sz w:val="20"/>
              </w:rPr>
              <w:t xml:space="preserve">Todo el texto</w:t>
            </w:r>
          </w:p>
        </w:tc>
      </w:tr>
      <w:tr>
        <w:tc>
          <w:tcPr/>
          <w:p>
            <w:pPr>
              <w:pStyle w:val="Compact"/>
            </w:pPr>
            <w:r>
              <w:rPr>
                <w:rFonts w:ascii="Calibri" w:hAnsi="Calibri"/>
                <w:i/>
                <w:iCs/>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rFonts w:ascii="Calibri" w:hAnsi="Calibri"/>
                <w:i/>
                <w:iCs/>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pPr>
            <w:r>
              <w:rPr>
                <w:rFonts w:ascii="Calibri" w:hAnsi="Calibri"/>
                <w:sz w:val="20"/>
              </w:rPr>
              <w:t xml:space="preserve">Hecho</w:t>
            </w:r>
          </w:p>
        </w:tc>
        <w:tc>
          <w:tcPr/>
          <w:p>
            <w:pPr>
              <w:pStyle w:val="Compact"/>
            </w:pPr>
            <w:r>
              <w:rPr>
                <w:rFonts w:ascii="Calibri" w:hAnsi="Calibri"/>
                <w:sz w:val="20"/>
              </w:rPr>
              <w:t xml:space="preserve">Introducción y 2.5</w:t>
            </w:r>
          </w:p>
        </w:tc>
      </w:tr>
      <w:tr>
        <w:tc>
          <w:tcPr/>
          <w:p>
            <w:pPr>
              <w:pStyle w:val="Compac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“de 36,5% a 50,8%”</w:t>
            </w:r>
          </w:p>
        </w:tc>
        <w:tc>
          <w:tcPr/>
          <w:p>
            <w:pPr>
              <w:pStyle w:val="Compact"/>
            </w:pPr>
            <w:r>
              <w:rPr>
                <w:rFonts w:ascii="Calibri" w:hAnsi="Calibri"/>
                <w:sz w:val="20"/>
              </w:rPr>
              <w:t xml:space="preserve">Sacado</w:t>
            </w:r>
          </w:p>
        </w:tc>
        <w:tc>
          <w:tcPr/>
          <w:p>
            <w:pPr>
              <w:pStyle w:val="Compact"/>
            </w:pPr>
            <w:r>
              <w:rPr>
                <w:rFonts w:ascii="Calibri" w:hAnsi="Calibri"/>
                <w:sz w:val="20"/>
              </w:rPr>
              <w:t xml:space="preserve">2.7</w:t>
            </w:r>
          </w:p>
        </w:tc>
      </w:tr>
      <w:tr>
        <w:tc>
          <w:tcPr/>
          <w:p>
            <w:pPr>
              <w:pStyle w:val="Compact"/>
            </w:pPr>
            <w:r>
              <w:rPr>
                <w:rFonts w:ascii="Calibri" w:hAnsi="Calibri"/>
                <w:sz w:val="20"/>
              </w:rPr>
              <w:t xml:space="preserve">Cerrar Antecedentes con por qué esta metodología y estas variables (no se probó, cambió el contexto, hay una variable nueva)</w:t>
            </w:r>
          </w:p>
        </w:tc>
        <w:tc>
          <w:tcPr/>
          <w:p>
            <w:pPr>
              <w:pStyle w:val="Compact"/>
            </w:pPr>
            <w:r>
              <w:rPr>
                <w:rFonts w:ascii="Calibri" w:hAnsi="Calibri"/>
                <w:sz w:val="20"/>
              </w:rPr>
              <w:t xml:space="preserve">Párrafo con esas tres razones</w:t>
            </w:r>
          </w:p>
        </w:tc>
        <w:tc>
          <w:tcPr/>
          <w:p>
            <w:pPr>
              <w:pStyle w:val="Compact"/>
            </w:pPr>
            <w:r>
              <w:rPr>
                <w:rFonts w:ascii="Calibri" w:hAnsi="Calibri"/>
                <w:sz w:val="20"/>
              </w:rPr>
              <w:t xml:space="preserve">2.9</w:t>
            </w:r>
          </w:p>
        </w:tc>
      </w:tr>
    </w:tbl>
    <w:p>
      <w:pPr>
        <w:pStyle w:val="BodyText"/>
      </w:pPr>
      <w:r>
        <w:rPr>
          <w:b/>
          <w:bCs/>
        </w:rPr>
        <w:t xml:space="preserve">Decisiones de reuniones con Pablo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Decisión</w:t>
            </w:r>
          </w:p>
        </w:tc>
        <w:tc>
          <w:tcPr/>
          <w:p>
            <w:pPr>
              <w:pStyle w:val="Compact"/>
            </w:pPr>
            <w:r>
              <w:rPr>
                <w:rFonts w:ascii="Calibri" w:hAnsi="Calibri"/>
                <w:sz w:val="20"/>
              </w:rPr>
              <w:t xml:space="preserve">Cómo quedó</w:t>
            </w:r>
          </w:p>
        </w:tc>
      </w:tr>
      <w:tr>
        <w:tc>
          <w:tcPr/>
          <w:p>
            <w:pPr>
              <w:pStyle w:val="Compact"/>
            </w:pPr>
            <w:r>
              <w:rPr>
                <w:rFonts w:ascii="Calibri" w:hAnsi="Calibri"/>
                <w:sz w:val="20"/>
              </w:rPr>
              <w:t xml:space="preserve">No nombrar la</w:t>
            </w:r>
            <w:r>
              <w:rPr>
                <w:rFonts w:ascii="Calibri" w:hAnsi="Calibri"/>
                <w:sz w:val="20"/>
              </w:rPr>
              <w:t xml:space="preserve"> </w:t>
            </w:r>
            <w:r>
              <w:rPr>
                <w:rFonts w:ascii="Calibri" w:hAnsi="Calibri"/>
                <w:sz w:val="20"/>
              </w:rPr>
              <w:t xml:space="preserve">“ventana única”</w:t>
            </w:r>
            <w:r>
              <w:rPr>
                <w:rFonts w:ascii="Calibri" w:hAnsi="Calibri"/>
                <w:sz w:val="20"/>
              </w:rPr>
              <w:t xml:space="preserve"> </w:t>
            </w:r>
            <w:r>
              <w:rPr>
                <w:rFonts w:ascii="Calibri" w:hAnsi="Calibri"/>
                <w:sz w:val="20"/>
              </w:rPr>
              <w:t xml:space="preserve">(18/9)</w:t>
            </w:r>
          </w:p>
        </w:tc>
        <w:tc>
          <w:tcPr/>
          <w:p>
            <w:pPr>
              <w:pStyle w:val="Compact"/>
            </w:pPr>
            <w:r>
              <w:rPr>
                <w:rFonts w:ascii="Calibri" w:hAnsi="Calibri"/>
                <w:sz w:val="20"/>
              </w:rPr>
              <w:t xml:space="preserve">No aparece; se habla de</w:t>
            </w:r>
            <w:r>
              <w:rPr>
                <w:rFonts w:ascii="Calibri" w:hAnsi="Calibri"/>
                <w:sz w:val="20"/>
              </w:rPr>
              <w:t xml:space="preserve"> </w:t>
            </w:r>
            <w:r>
              <w:rPr>
                <w:rFonts w:ascii="Calibri" w:hAnsi="Calibri"/>
                <w:sz w:val="20"/>
              </w:rPr>
              <w:t xml:space="preserve">“muestra de estimación”</w:t>
            </w:r>
          </w:p>
        </w:tc>
      </w:tr>
      <w:tr>
        <w:tc>
          <w:tcPr/>
          <w:p>
            <w:pPr>
              <w:pStyle w:val="Compact"/>
            </w:pPr>
            <w:r>
              <w:rPr>
                <w:rFonts w:ascii="Calibri" w:hAnsi="Calibri"/>
                <w:sz w:val="20"/>
              </w:rPr>
              <w:t xml:space="preserve">No discutir en el texto si el riesgo país es endógeno (17/9)</w:t>
            </w:r>
          </w:p>
        </w:tc>
        <w:tc>
          <w:tcPr/>
          <w:p>
            <w:pPr>
              <w:pStyle w:val="Compact"/>
            </w:pPr>
            <w:r>
              <w:rPr>
                <w:rFonts w:ascii="Calibri" w:hAnsi="Calibri"/>
                <w:sz w:val="20"/>
              </w:rPr>
              <w:t xml:space="preserve">No aparece; queda como respuesta oral en la guía de defensa</w:t>
            </w:r>
          </w:p>
        </w:tc>
      </w:tr>
      <w:tr>
        <w:tc>
          <w:tcPr/>
          <w:p>
            <w:pPr>
              <w:pStyle w:val="Compac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“donde gira todo”</w:t>
            </w:r>
          </w:p>
        </w:tc>
        <w:tc>
          <w:tcPr/>
          <w:p>
            <w:pPr>
              <w:pStyle w:val="Compact"/>
            </w:pPr>
            <w:r>
              <w:rPr>
                <w:rFonts w:ascii="Calibri" w:hAnsi="Calibri"/>
                <w:sz w:val="20"/>
              </w:rPr>
              <w:t xml:space="preserve">Secciones 4.4 (identificación) y 4.3 (canales de la FED)</w:t>
            </w:r>
          </w:p>
        </w:tc>
      </w:tr>
      <w:tr>
        <w:tc>
          <w:tcPr/>
          <w:p>
            <w:pPr>
              <w:pStyle w:val="Compact"/>
            </w:pPr>
            <w:r>
              <w:rPr>
                <w:rFonts w:ascii="Calibri" w:hAnsi="Calibri"/>
                <w:sz w:val="20"/>
              </w:rPr>
              <w:t xml:space="preserve">Panel Argentina-Chile como 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Bajar la extensión</w:t>
            </w:r>
          </w:p>
        </w:tc>
        <w:tc>
          <w:tcPr/>
          <w:p>
            <w:pPr>
              <w:pStyle w:val="Compact"/>
            </w:pPr>
            <w:r>
              <w:rPr>
                <w:rFonts w:ascii="Calibri" w:hAnsi="Calibri"/>
                <w:sz w:val="20"/>
              </w:rPr>
              <w:t xml:space="preserve">69 páginas; falta acordar en el grupo qué se recorta para llegar a unas 60</w:t>
            </w:r>
          </w:p>
        </w:tc>
      </w:tr>
    </w:tbl>
    <w:p>
      <w:pPr>
        <w:pStyle w:val="BodyText"/>
      </w:pPr>
      <w:r>
        <w:rPr>
          <w:b/>
          <w:bCs/>
        </w:rPr>
        <w:t xml:space="preserve">Propuestas de la metodología de Santiago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Propuesta</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ADF y KPSS para raíz unitaria, Zivot-Andrews y Bai-Perron para quiebres</w:t>
            </w:r>
          </w:p>
        </w:tc>
        <w:tc>
          <w:tcPr/>
          <w:p>
            <w:pPr>
              <w:pStyle w:val="Compact"/>
            </w:pPr>
            <w:r>
              <w:rPr>
                <w:rFonts w:ascii="Calibri" w:hAnsi="Calibri"/>
                <w:sz w:val="20"/>
              </w:rPr>
              <w:t xml:space="preserve">Hecho; los quiebres de Bai-Perron entran como variables binarias</w:t>
            </w:r>
          </w:p>
        </w:tc>
        <w:tc>
          <w:tcPr/>
          <w:p>
            <w:pPr>
              <w:pStyle w:val="Compact"/>
            </w:pPr>
            <w:r>
              <w:rPr>
                <w:rFonts w:ascii="Calibri" w:hAnsi="Calibri"/>
                <w:sz w:val="20"/>
              </w:rPr>
              <w:t xml:space="preserve">4.2, 6.1 y A.1</w:t>
            </w:r>
          </w:p>
        </w:tc>
      </w:tr>
      <w:tr>
        <w:tc>
          <w:tcPr/>
          <w:p>
            <w:pPr>
              <w:pStyle w:val="Compact"/>
            </w:pPr>
            <w:r>
              <w:rPr>
                <w:rFonts w:ascii="Calibri" w:hAnsi="Calibri"/>
                <w:sz w:val="20"/>
              </w:rPr>
              <w:t xml:space="preserve">Selección de rezagos por AIC y BIC con residuos sin autocorrelación</w:t>
            </w:r>
          </w:p>
        </w:tc>
        <w:tc>
          <w:tcPr/>
          <w:p>
            <w:pPr>
              <w:pStyle w:val="Compact"/>
            </w:pPr>
            <w:r>
              <w:rPr>
                <w:rFonts w:ascii="Calibri" w:hAnsi="Calibri"/>
                <w:sz w:val="20"/>
              </w:rPr>
              <w:t xml:space="preserve">AIC sujeto a estabilidad; BIC y HQ informados. No se lograron residuos sin autocorrelación: la autocorrelación remanente se informa como limitación</w:t>
            </w:r>
          </w:p>
        </w:tc>
        <w:tc>
          <w:tcPr/>
          <w:p>
            <w:pPr>
              <w:pStyle w:val="Compact"/>
            </w:pPr>
            <w:r>
              <w:rPr>
                <w:rFonts w:ascii="Calibri" w:hAnsi="Calibri"/>
                <w:sz w:val="20"/>
              </w:rPr>
              <w:t xml:space="preserve">4.5, A.2 y 7.5</w:t>
            </w:r>
          </w:p>
        </w:tc>
      </w:tr>
      <w:tr>
        <w:tc>
          <w:tcPr/>
          <w:p>
            <w:pPr>
              <w:pStyle w:val="Compact"/>
            </w:pPr>
            <w:r>
              <w:rPr>
                <w:rFonts w:ascii="Calibri" w:hAnsi="Calibri"/>
                <w:sz w:val="20"/>
              </w:rPr>
              <w:t xml:space="preserve">Variables binarias por quiebres</w:t>
            </w:r>
          </w:p>
        </w:tc>
        <w:tc>
          <w:tcPr/>
          <w:p>
            <w:pPr>
              <w:pStyle w:val="Compact"/>
            </w:pPr>
            <w:r>
              <w:rPr>
                <w:rFonts w:ascii="Calibri" w:hAnsi="Calibri"/>
                <w:sz w:val="20"/>
              </w:rPr>
              <w:t xml:space="preserve">Hecho</w:t>
            </w:r>
          </w:p>
        </w:tc>
        <w:tc>
          <w:tcPr/>
          <w:p>
            <w:pPr>
              <w:pStyle w:val="Compact"/>
            </w:pPr>
            <w:r>
              <w:rPr>
                <w:rFonts w:ascii="Calibri" w:hAnsi="Calibri"/>
                <w:sz w:val="20"/>
              </w:rPr>
              <w:t xml:space="preserve">4.2</w:t>
            </w:r>
          </w:p>
        </w:tc>
      </w:tr>
      <w:tr>
        <w:tc>
          <w:tcPr/>
          <w:p>
            <w:pPr>
              <w:pStyle w:val="Compact"/>
            </w:pPr>
            <w:r>
              <w:rPr>
                <w:rFonts w:ascii="Calibri" w:hAnsi="Calibri"/>
                <w:sz w:val="20"/>
              </w:rPr>
              <w:t xml:space="preserve">Deuda consolidada como variable del sistema, la</w:t>
            </w:r>
            <w:r>
              <w:rPr>
                <w:rFonts w:ascii="Calibri" w:hAnsi="Calibri"/>
                <w:sz w:val="20"/>
              </w:rPr>
              <w:t xml:space="preserve"> </w:t>
            </w:r>
            <w:r>
              <w:rPr>
                <w:rFonts w:ascii="Calibri" w:hAnsi="Calibri"/>
                <w:sz w:val="20"/>
              </w:rPr>
              <w:t xml:space="preserve">“esponja contable”</w:t>
            </w:r>
            <w:r>
              <w:rPr>
                <w:rFonts w:ascii="Calibri" w:hAnsi="Calibri"/>
                <w:sz w:val="20"/>
              </w:rPr>
              <w:t xml:space="preserve"> </w:t>
            </w:r>
            <w:r>
              <w:rPr>
                <w:rFonts w:ascii="Calibri" w:hAnsi="Calibri"/>
                <w:sz w:val="20"/>
              </w:rPr>
              <w:t xml:space="preserve">(retroalimentación)</w:t>
            </w:r>
          </w:p>
        </w:tc>
        <w:tc>
          <w:tcPr/>
          <w:p>
            <w:pPr>
              <w:pStyle w:val="Compact"/>
            </w:pPr>
            <w:r>
              <w:rPr>
                <w:rFonts w:ascii="Calibri" w:hAnsi="Calibri"/>
                <w:sz w:val="20"/>
              </w:rPr>
              <w:t xml:space="preserve">La deuda rezagada entra en las cuatro ecuaciones y se acumula con la identidad: un punto más de deuda sube el EMBI+ 22 puntos básicos</w:t>
            </w:r>
          </w:p>
        </w:tc>
        <w:tc>
          <w:tcPr/>
          <w:p>
            <w:pPr>
              <w:pStyle w:val="Compact"/>
            </w:pPr>
            <w:r>
              <w:rPr>
                <w:rFonts w:ascii="Calibri" w:hAnsi="Calibri"/>
                <w:sz w:val="20"/>
              </w:rPr>
              <w:t xml:space="preserve">6.1</w:t>
            </w:r>
          </w:p>
        </w:tc>
      </w:tr>
      <w:tr>
        <w:tc>
          <w:tcPr/>
          <w:p>
            <w:pPr>
              <w:pStyle w:val="Compact"/>
            </w:pPr>
            <w:r>
              <w:rPr>
                <w:rFonts w:ascii="Calibri" w:hAnsi="Calibri"/>
                <w:sz w:val="20"/>
              </w:rPr>
              <w:t xml:space="preserve">Contraste con y sin retroalimentación</w:t>
            </w:r>
          </w:p>
        </w:tc>
        <w:tc>
          <w:tcPr/>
          <w:p>
            <w:pPr>
              <w:pStyle w:val="Compact"/>
            </w:pPr>
            <w:r>
              <w:rPr>
                <w:rFonts w:ascii="Calibri" w:hAnsi="Calibri"/>
                <w:sz w:val="20"/>
              </w:rPr>
              <w:t xml:space="preserve">Hecho; casi no cambia porque el riesgo país y el superávit se compensan</w:t>
            </w:r>
          </w:p>
        </w:tc>
        <w:tc>
          <w:tcPr/>
          <w:p>
            <w:pPr>
              <w:pStyle w:val="Compact"/>
            </w:pPr>
            <w:r>
              <w:rPr>
                <w:rFonts w:ascii="Calibri" w:hAnsi="Calibri"/>
                <w:sz w:val="20"/>
              </w:rPr>
              <w:t xml:space="preserve">6.6</w:t>
            </w:r>
          </w:p>
        </w:tc>
      </w:tr>
      <w:tr>
        <w:tc>
          <w:tcPr/>
          <w:p>
            <w:pPr>
              <w:pStyle w:val="Compact"/>
            </w:pPr>
            <w:r>
              <w:rPr>
                <w:rFonts w:ascii="Calibri" w:hAnsi="Calibri"/>
                <w:sz w:val="20"/>
              </w:rPr>
              <w:t xml:space="preserve">Cholesky con orden crecimiento, TCRM, EMBI+, resultado primario</w:t>
            </w:r>
          </w:p>
        </w:tc>
        <w:tc>
          <w:tcPr/>
          <w:p>
            <w:pPr>
              <w:pStyle w:val="Compact"/>
            </w:pPr>
            <w:r>
              <w:rPr>
                <w:rFonts w:ascii="Calibri" w:hAnsi="Calibri"/>
                <w:sz w:val="20"/>
              </w:rPr>
              <w:t xml:space="preserve">Como robustez; la identificación principal es Blanchard y Perotti, la que aprobó Pablo</w:t>
            </w:r>
          </w:p>
        </w:tc>
        <w:tc>
          <w:tcPr/>
          <w:p>
            <w:pPr>
              <w:pStyle w:val="Compact"/>
            </w:pPr>
            <w:r>
              <w:rPr>
                <w:rFonts w:ascii="Calibri" w:hAnsi="Calibri"/>
                <w:sz w:val="20"/>
              </w:rPr>
              <w:t xml:space="preserve">6.6</w:t>
            </w:r>
          </w:p>
        </w:tc>
      </w:tr>
      <w:tr>
        <w:tc>
          <w:tcPr/>
          <w:p>
            <w:pPr>
              <w:pStyle w:val="Compact"/>
            </w:pPr>
            <w:r>
              <w:rPr>
                <w:rFonts w:ascii="Calibri" w:hAnsi="Calibri"/>
                <w:sz w:val="20"/>
              </w:rPr>
              <w:t xml:space="preserve">Opción B: tasa en dólares desde el EMBI+ y tasa en pesos aparte</w:t>
            </w:r>
          </w:p>
        </w:tc>
        <w:tc>
          <w:tcPr/>
          <w:p>
            <w:pPr>
              <w:pStyle w:val="Compact"/>
            </w:pPr>
            <w:r>
              <w:rPr>
                <w:rFonts w:ascii="Calibri" w:hAnsi="Calibri"/>
                <w:sz w:val="20"/>
              </w:rPr>
              <w:t xml:space="preserve">Es la especificación principal; la variante con el riesgo país en la tasa en pesos se informa como robustez</w:t>
            </w:r>
          </w:p>
        </w:tc>
        <w:tc>
          <w:tcPr/>
          <w:p>
            <w:pPr>
              <w:pStyle w:val="Compact"/>
            </w:pPr>
            <w:r>
              <w:rPr>
                <w:rFonts w:ascii="Calibri" w:hAnsi="Calibri"/>
                <w:sz w:val="20"/>
              </w:rPr>
              <w:t xml:space="preserve">4.6 y 6.6</w:t>
            </w:r>
          </w:p>
        </w:tc>
      </w:tr>
      <w:tr>
        <w:tc>
          <w:tcPr/>
          <w:p>
            <w:pPr>
              <w:pStyle w:val="Compact"/>
            </w:pPr>
            <w:r>
              <w:rPr>
                <w:rFonts w:ascii="Calibri" w:hAnsi="Calibri"/>
                <w:sz w:val="20"/>
              </w:rPr>
              <w:t xml:space="preserve">Shock de la FED con la tasa sombra</w:t>
            </w:r>
          </w:p>
        </w:tc>
        <w:tc>
          <w:tcPr/>
          <w:p>
            <w:pPr>
              <w:pStyle w:val="Compact"/>
            </w:pPr>
            <w:r>
              <w:rPr>
                <w:rFonts w:ascii="Calibri" w:hAnsi="Calibri"/>
                <w:sz w:val="20"/>
              </w:rPr>
              <w:t xml:space="preserve">Hecho (Wu y Xia, 2016)</w:t>
            </w:r>
          </w:p>
        </w:tc>
        <w:tc>
          <w:tcPr/>
          <w:p>
            <w:pPr>
              <w:pStyle w:val="Compact"/>
            </w:pPr>
            <w:r>
              <w:rPr>
                <w:rFonts w:ascii="Calibri" w:hAnsi="Calibri"/>
                <w:sz w:val="20"/>
              </w:rPr>
              <w:t xml:space="preserve">5.4</w:t>
            </w:r>
          </w:p>
        </w:tc>
      </w:tr>
      <w:tr>
        <w:tc>
          <w:tcPr/>
          <w:p>
            <w:pPr>
              <w:pStyle w:val="Compact"/>
            </w:pPr>
            <w:r>
              <w:rPr>
                <w:rFonts w:ascii="Calibri" w:hAnsi="Calibri"/>
                <w:sz w:val="20"/>
              </w:rPr>
              <w:t xml:space="preserve">Shocks de la FED identificados por la literatura (alta frecuencia)</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Términos de intercambio (Lanteri, 2019)</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Probabilidad de que la deuda supere 100% del PIB</w:t>
            </w:r>
          </w:p>
        </w:tc>
        <w:tc>
          <w:tcPr/>
          <w:p>
            <w:pPr>
              <w:pStyle w:val="Compact"/>
            </w:pPr>
            <w:r>
              <w:rPr>
                <w:rFonts w:ascii="Calibri" w:hAnsi="Calibri"/>
                <w:sz w:val="20"/>
              </w:rPr>
              <w:t xml:space="preserve">Reemplazada por la métrica del FMI, porque el 100% no tiene fuente</w:t>
            </w:r>
          </w:p>
        </w:tc>
        <w:tc>
          <w:tcPr/>
          <w:p>
            <w:pPr>
              <w:pStyle w:val="Compact"/>
            </w:pPr>
            <w:r>
              <w:rPr>
                <w:rFonts w:ascii="Calibri" w:hAnsi="Calibri"/>
                <w:sz w:val="20"/>
              </w:rPr>
              <w:t xml:space="preserve">4.7</w:t>
            </w:r>
          </w:p>
        </w:tc>
      </w:tr>
      <w:tr>
        <w:tc>
          <w:tcPr/>
          <w:p>
            <w:pPr>
              <w:pStyle w:val="Compact"/>
            </w:pPr>
            <w:r>
              <w:rPr>
                <w:rFonts w:ascii="Calibri" w:hAnsi="Calibri"/>
                <w:sz w:val="20"/>
              </w:rPr>
              <w:t xml:space="preserve">Módulo de balanza de pagos</w:t>
            </w:r>
          </w:p>
        </w:tc>
        <w:tc>
          <w:tcPr/>
          <w:p>
            <w:pPr>
              <w:pStyle w:val="Compact"/>
            </w:pPr>
            <w:r>
              <w:rPr>
                <w:rFonts w:ascii="Calibri" w:hAnsi="Calibri"/>
                <w:sz w:val="20"/>
              </w:rPr>
              <w:t xml:space="preserve">Fuera del alcance (es otra tesis); 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Restricciones de signo y Blanchard-Quah</w:t>
            </w:r>
          </w:p>
        </w:tc>
        <w:tc>
          <w:tcPr/>
          <w:p>
            <w:pPr>
              <w:pStyle w:val="Compact"/>
            </w:pPr>
            <w:r>
              <w:rPr>
                <w:rFonts w:ascii="Calibri" w:hAnsi="Calibri"/>
                <w:sz w:val="20"/>
              </w:rPr>
              <w:t xml:space="preserve">No se usan: la neutralidad de largo plazo del TCRM es difícil de sostener para Argentina</w:t>
            </w:r>
          </w:p>
        </w:tc>
        <w:tc>
          <w:tcPr/>
          <w:p>
            <w:pPr>
              <w:pStyle w:val="Compact"/>
            </w:pPr>
            <w:r>
              <w:rPr>
                <w:rFonts w:ascii="Calibri" w:hAnsi="Calibri"/>
                <w:sz w:val="20"/>
              </w:rPr>
              <w:t xml:space="preserve">Guía de defensa</w:t>
            </w:r>
          </w:p>
        </w:tc>
      </w:tr>
      <w:tr>
        <w:tc>
          <w:tcPr/>
          <w:p>
            <w:pPr>
              <w:pStyle w:val="Compact"/>
            </w:pPr>
            <w:r>
              <w:rPr>
                <w:rFonts w:ascii="Calibri" w:hAnsi="Calibri"/>
                <w:sz w:val="20"/>
              </w:rPr>
              <w:t xml:space="preserve">X-13 para desestacionalizar</w:t>
            </w:r>
          </w:p>
        </w:tc>
        <w:tc>
          <w:tcPr/>
          <w:p>
            <w:pPr>
              <w:pStyle w:val="Compact"/>
            </w:pPr>
            <w:r>
              <w:rPr>
                <w:rFonts w:ascii="Calibri" w:hAnsi="Calibri"/>
                <w:sz w:val="20"/>
              </w:rPr>
              <w:t xml:space="preserve">Se usan variables binarias estacionales</w:t>
            </w:r>
          </w:p>
        </w:tc>
        <w:tc>
          <w:tcPr/>
          <w:p>
            <w:pPr>
              <w:pStyle w:val="Compact"/>
            </w:pPr>
            <w:r>
              <w:rPr>
                <w:rFonts w:ascii="Calibri" w:hAnsi="Calibri"/>
                <w:sz w:val="20"/>
              </w:rPr>
              <w:t xml:space="preserve">4.2</w:t>
            </w:r>
          </w:p>
        </w:tc>
      </w:tr>
    </w:tbl>
    <w:bookmarkEnd w:id="126"/>
    <w:bookmarkStart w:id="127" w:name="nota-4.-pendientes"/>
    <w:p>
      <w:pPr>
        <w:pStyle w:val="Heading2"/>
      </w:pPr>
      <w:r>
        <w:t xml:space="preserve">Nota 4. Pendientes</w:t>
      </w:r>
    </w:p>
    <w:p>
      <w:pPr>
        <w:pStyle w:val="Compact"/>
        <w:numPr>
          <w:ilvl w:val="0"/>
          <w:numId w:val="1018"/>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18"/>
        </w:numPr>
      </w:pPr>
      <w:r>
        <w:t xml:space="preserve">Klemm et al. (2014) y Adler y Magud (2014) salieron del texto: no se pudo leer el capítulo de Klemm et al., y en Adler y Magud no está definido el índice que se les atribuía.</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11">
    <w:p>
      <w:pPr>
        <w:pStyle w:val="FootnoteText"/>
      </w:pPr>
      <w:r>
        <w:rPr>
          <w:rStyle w:val="FootnoteReference"/>
        </w:rPr>
        <w:footnoteRef/>
      </w:r>
      <w:r>
        <w:t xml:space="preserve"> </w:t>
      </w:r>
      <w:r>
        <w:rPr>
          <w:i/>
          <w:iCs/>
        </w:rPr>
        <w:t xml:space="preserve">Default</w:t>
      </w:r>
      <w:r>
        <w:t xml:space="preserve">: cesación de pagos de la deuda.</w:t>
      </w:r>
    </w:p>
  </w:footnote>
  <w:footnote w:id="12">
    <w:p>
      <w:pPr>
        <w:pStyle w:val="FootnoteText"/>
      </w:pPr>
      <w:r>
        <w:rPr>
          <w:rStyle w:val="FootnoteReference"/>
        </w:rPr>
        <w:footnoteRef/>
      </w:r>
      <w:r>
        <w:t xml:space="preserve"> </w:t>
      </w:r>
      <w:r>
        <w:rPr>
          <w:i/>
          <w:iCs/>
        </w:rPr>
        <w:t xml:space="preserve">Stock</w:t>
      </w:r>
      <w:r>
        <w:t xml:space="preserve">: saldo de una variable en un momento dado, por oposición a un flujo.</w:t>
      </w:r>
    </w:p>
  </w:footnote>
  <w:footnote w:id="16">
    <w:p>
      <w:pPr>
        <w:pStyle w:val="FootnoteText"/>
      </w:pPr>
      <w:r>
        <w:rPr>
          <w:rStyle w:val="FootnoteReference"/>
        </w:rPr>
        <w:footnoteRef/>
      </w:r>
      <w:r>
        <w:t xml:space="preserve"> </w:t>
      </w:r>
      <w:r>
        <w:rPr>
          <w:i/>
          <w:iCs/>
        </w:rPr>
        <w:t xml:space="preserve">Shock</w:t>
      </w:r>
      <w:r>
        <w:t xml:space="preserve">: perturbación inesperada que afecta a una variable del sistema y se transmite a las demás.</w:t>
      </w:r>
    </w:p>
  </w:footnote>
  <w:footnote w:id="19">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5">
    <w:p>
      <w:pPr>
        <w:pStyle w:val="FootnoteText"/>
      </w:pPr>
      <w:r>
        <w:rPr>
          <w:rStyle w:val="FootnoteReference"/>
        </w:rPr>
        <w:footnoteRef/>
      </w:r>
      <w:r>
        <w:t xml:space="preserve"> </w:t>
      </w:r>
      <w:r>
        <w:t xml:space="preserve">Acreedores que rechazan una reestructuración y reclaman judicialmente el pago completo.</w:t>
      </w:r>
    </w:p>
  </w:footnote>
  <w:footnote w:id="29">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30">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33">
    <w:p>
      <w:pPr>
        <w:pStyle w:val="FootnoteText"/>
      </w:pPr>
      <w:r>
        <w:rPr>
          <w:rStyle w:val="FootnoteReference"/>
        </w:rPr>
        <w:footnoteRef/>
      </w:r>
      <w:r>
        <w:t xml:space="preserve"> </w:t>
      </w:r>
      <w:r>
        <w:t xml:space="preserve">El FMI revisó la cifra a 155,4% en su informe de 2025 (FMI, 2025, anexo II, cuadro 2).</w:t>
      </w:r>
    </w:p>
  </w:footnote>
  <w:footnote w:id="34">
    <w:p>
      <w:pPr>
        <w:pStyle w:val="FootnoteText"/>
      </w:pPr>
      <w:r>
        <w:rPr>
          <w:rStyle w:val="FootnoteReference"/>
        </w:rPr>
        <w:footnoteRef/>
      </w:r>
      <w:r>
        <w:t xml:space="preserve"> </w:t>
      </w:r>
      <w:r>
        <w:rPr>
          <w:i/>
          <w:iCs/>
        </w:rPr>
        <w:t xml:space="preserve">Bootstrap</w:t>
      </w:r>
      <w:r>
        <w:t xml:space="preserve">: método de remuestreo que aproxima la distribución de un estimador repitiendo la estimación sobre muestras generadas a partir de los propios datos.</w:t>
      </w:r>
    </w:p>
  </w:footnote>
  <w:footnote w:id="37">
    <w:p>
      <w:pPr>
        <w:pStyle w:val="FootnoteText"/>
      </w:pPr>
      <w:r>
        <w:rPr>
          <w:rStyle w:val="FootnoteReference"/>
        </w:rPr>
        <w:footnoteRef/>
      </w:r>
      <w:r>
        <w:t xml:space="preserve"> </w:t>
      </w:r>
      <w:r>
        <w:rPr>
          <w:i/>
          <w:iCs/>
        </w:rPr>
        <w:t xml:space="preserve">Spread</w:t>
      </w:r>
      <w:r>
        <w:t xml:space="preserve">: diferencia de rendimiento entre un bono y otro de referencia; en el caso soberano, entre los bonos del país y los del Tesoro de Estados Unidos.</w:t>
      </w:r>
    </w:p>
  </w:footnote>
  <w:footnote w:id="62">
    <w:p>
      <w:pPr>
        <w:pStyle w:val="FootnoteText"/>
      </w:pPr>
      <w:r>
        <w:rPr>
          <w:rStyle w:val="FootnoteReference"/>
        </w:rPr>
        <w:footnoteRef/>
      </w:r>
      <w:r>
        <w:t xml:space="preserve"> </w:t>
      </w:r>
      <w:r>
        <w:rPr>
          <w:i/>
          <w:iCs/>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png"/><Relationship Id="rId68" Type="http://schemas.openxmlformats.org/officeDocument/2006/relationships/image" Target="media/rId68.png"/><Relationship Id="rId71" Type="http://schemas.openxmlformats.org/officeDocument/2006/relationships/image" Target="media/rId71.png"/><Relationship Id="rId78" Type="http://schemas.openxmlformats.org/officeDocument/2006/relationships/image" Target="media/rId78.png"/><Relationship Id="rId82" Type="http://schemas.openxmlformats.org/officeDocument/2006/relationships/image" Target="media/rId82.png"/><Relationship Id="rId89" Type="http://schemas.openxmlformats.org/officeDocument/2006/relationships/image" Target="media/rId89.png"/><Relationship Id="rId95" Type="http://schemas.openxmlformats.org/officeDocument/2006/relationships/image" Target="media/rId95.png"/><Relationship Id="rId86" Type="http://schemas.openxmlformats.org/officeDocument/2006/relationships/image" Target="media/rId86.png"/><Relationship Id="rId101" Type="http://schemas.openxmlformats.org/officeDocument/2006/relationships/image" Target="media/rId101.png"/><Relationship Id="rId104" Type="http://schemas.openxmlformats.org/officeDocument/2006/relationships/image" Target="media/rId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2026-10-12T17:49:57Z</dcterms:created>
  <dcterms:modified xsi:type="dcterms:W3CDTF">2026-10-12T17:49:57Z</dcterms:modified>
</cp:coreProperties>
</file>

<file path=docProps/custom.xml><?xml version="1.0" encoding="utf-8"?>
<Properties xmlns="http://schemas.openxmlformats.org/officeDocument/2006/custom-properties" xmlns:vt="http://schemas.openxmlformats.org/officeDocument/2006/docPropsVTypes"/>
</file>