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B3BC" w14:textId="21CB54AF" w:rsidR="00E05DA6" w:rsidRDefault="00E05DA6" w:rsidP="00E05DA6">
      <w:pPr>
        <w:pStyle w:val="NormalWeb"/>
        <w:numPr>
          <w:ilvl w:val="0"/>
          <w:numId w:val="1"/>
        </w:numPr>
        <w:spacing w:before="0" w:beforeAutospacing="0"/>
        <w:rPr>
          <w:rFonts w:ascii="Arial" w:hAnsi="Arial" w:cs="Arial"/>
        </w:rPr>
      </w:pPr>
      <w:r>
        <w:rPr>
          <w:rFonts w:ascii="Arial" w:hAnsi="Arial" w:cs="Arial"/>
        </w:rPr>
        <w:t>Introducción</w:t>
      </w:r>
    </w:p>
    <w:p w14:paraId="4E8A39ED" w14:textId="09CEAF25" w:rsidR="00E05DA6" w:rsidRPr="00D55A96" w:rsidRDefault="00735B84" w:rsidP="00E05DA6">
      <w:pPr>
        <w:pStyle w:val="NormalWeb"/>
        <w:spacing w:before="0" w:beforeAutospacing="0"/>
        <w:rPr>
          <w:rFonts w:ascii="Arial" w:hAnsi="Arial" w:cs="Arial"/>
          <w:sz w:val="20"/>
          <w:szCs w:val="20"/>
        </w:rPr>
      </w:pPr>
      <w:r>
        <w:rPr>
          <w:rFonts w:ascii="Arial" w:hAnsi="Arial" w:cs="Arial"/>
          <w:sz w:val="20"/>
          <w:szCs w:val="20"/>
        </w:rPr>
        <w:t xml:space="preserve">La historia macroeconómica de América Latina —y de la República Argentina en particular— está atravesada por un patrón recurrente de dependencia del crédito externo, vulnerabilidad ante la interrupción repentina del flujo de capitales (sudden stops) y crisis de impago soberano (Comín Comín, 2014, p. 699; Reinhart &amp; Rogoff, 2009). En el caso argentino, la inestabilidad en el acceso al crédito internacional manifestada entre el default de 2001 y la reestructuración de 2020 ha dejado en evidencia la extrema fragilidad de una economía condicionada por la restricción externa de divisas</w:t>
      </w:r>
      <w:r>
        <w:rPr>
          <w:sz w:val="20"/>
          <w:szCs w:val="20"/>
        </w:rPr>
        <w:t>.</w:t>
      </w:r>
      <w:r>
        <w:rPr>
          <w:rFonts w:ascii="Arial" w:hAnsi="Arial" w:cs="Arial"/>
          <w:sz w:val="20"/>
          <w:szCs w:val="20"/>
        </w:rPr>
        <w:t xml:space="preserve"> En la coyuntura actual, la administración ingresante enfrenta una severa encrucijada: la recepción de una abultada herencia de pasivos internacionales, la ausencia de crédito voluntario en los mercados financieros exteriores y un apretado cronograma de vencimientos en moneda extranjera. </w:t>
      </w:r>
    </w:p>
    <w:p w14:paraId="27DD27B2" w14:textId="41F881FC" w:rsidR="00E05DA6" w:rsidRPr="00D55A96" w:rsidRDefault="00735B84" w:rsidP="00E05DA6">
      <w:pPr>
        <w:pStyle w:val="NormalWeb"/>
        <w:spacing w:before="0" w:beforeAutospacing="0"/>
        <w:rPr>
          <w:rFonts w:ascii="Arial" w:hAnsi="Arial" w:cs="Arial"/>
          <w:sz w:val="20"/>
          <w:szCs w:val="20"/>
        </w:rPr>
      </w:pPr>
      <w:r>
        <w:rPr>
          <w:rFonts w:ascii="Arial" w:hAnsi="Arial" w:cs="Arial"/>
          <w:sz w:val="20"/>
          <w:szCs w:val="20"/>
        </w:rPr>
        <w:t xml:space="preserve">Frente a esta coyuntura, surge la necesidad de evaluar si la consecución de un superávit fiscal primario y la voluntad política de pago bastan para asegurar la sostenibilidad de la deuda en el mediano plazo, o si, por el contrario, los determinantes estructurales de la economía argentina condicionan el resultado fiscal e incrementan la probabilidad de un nuevo </w:t>
      </w:r>
      <w:r>
        <w:rPr>
          <w:rFonts w:ascii="Arial" w:hAnsi="Arial" w:cs="Arial"/>
          <w:i/>
          <w:iCs/>
          <w:sz w:val="20"/>
          <w:szCs w:val="20"/>
        </w:rPr>
        <w:t>default</w:t>
      </w:r>
      <w:r>
        <w:rPr>
          <w:rFonts w:ascii="Arial" w:hAnsi="Arial" w:cs="Arial"/>
          <w:sz w:val="20"/>
          <w:szCs w:val="20"/>
        </w:rPr>
        <w:t xml:space="preserve"> o reestructuración soberana. </w:t>
      </w:r>
      <w:r>
        <w:rPr>
          <w:rFonts w:ascii="Arial" w:hAnsi="Arial" w:cs="Arial"/>
          <w:sz w:val="20"/>
          <w:szCs w:val="20"/>
          <w:highlight w:val="yellow"/>
        </w:rPr>
        <w:t xml:space="preserve">Frente a la premisa de que la consolidación presupuestaria constituye una condición suficiente para disipar el riesgo de impago, la evidencia empírica demuestra que la solvencia de la deuda soberana no depende exclusivamente del saldo fiscal primario (Ando et al., 2024). Por el contrario, la sostenibilidad se encuentra condicionada por la capacidad estructural de generación de divisas (Reinhart et al., 2003), los efectos de valoración patrimonial derivados del tipo de cambio real sobre pasivos dolarizados (Levy Yeyati &amp; Sturzenegger, 2023), la volatilidad de los </w:t>
      </w:r>
      <w:r>
        <w:rPr>
          <w:rFonts w:ascii="Arial" w:hAnsi="Arial" w:cs="Arial"/>
          <w:i/>
          <w:iCs/>
          <w:sz w:val="20"/>
          <w:szCs w:val="20"/>
          <w:highlight w:val="yellow"/>
        </w:rPr>
        <w:t>spreads</w:t>
      </w:r>
      <w:r>
        <w:rPr>
          <w:rFonts w:ascii="Arial" w:hAnsi="Arial" w:cs="Arial"/>
          <w:sz w:val="20"/>
          <w:szCs w:val="20"/>
          <w:highlight w:val="yellow"/>
        </w:rPr>
        <w:t xml:space="preserve"> de riesgo país ante shocks financieros exógenos (Adler &amp; Sosa, 2014) y los límites de absorción política e institucional que impone la fatiga fiscal ante ajustes prolongados (Mendoza &amp; Oviedo, 2007).</w:t>
      </w:r>
    </w:p>
    <w:p w14:paraId="59F049F6" w14:textId="7252548E" w:rsidR="0071624A" w:rsidRDefault="0071624A" w:rsidP="0071624A">
      <w:pPr>
        <w:pStyle w:val="NormalWeb"/>
        <w:spacing w:before="0" w:beforeAutospacing="0"/>
        <w:rPr>
          <w:rFonts w:ascii="Arial" w:hAnsi="Arial" w:cs="Arial"/>
          <w:sz w:val="20"/>
          <w:szCs w:val="20"/>
        </w:rPr>
      </w:pPr>
      <w:r>
        <w:rPr>
          <w:rFonts w:ascii="Arial" w:hAnsi="Arial" w:cs="Arial"/>
          <w:sz w:val="20"/>
          <w:szCs w:val="20"/>
        </w:rPr>
        <w:t xml:space="preserve">El objetivo principal de este trabajo es evaluar la dinámica de la deuda pública internacional argentina a partir de sus determinantes macroeconómicos pasados para predecir su sostenibilidad intertemporal en el horizonte post-2025. Específicamente, la investigación busca determinar si la trayectoria fiscal y macroeconómica proyectada ofrece un margen de solvencia real para honrar los compromisos externos.</w:t>
      </w:r>
    </w:p>
    <w:p w14:paraId="7A67FA31" w14:textId="3CCE85D0" w:rsidR="00B55618" w:rsidRPr="00B55618" w:rsidRDefault="00B55618" w:rsidP="0071624A">
      <w:pPr>
        <w:pStyle w:val="NormalWeb"/>
        <w:numPr>
          <w:ilvl w:val="0"/>
          <w:numId w:val="1"/>
        </w:numPr>
        <w:spacing w:before="0" w:beforeAutospacing="0"/>
        <w:rPr>
          <w:rFonts w:ascii="Arial" w:hAnsi="Arial" w:cs="Arial"/>
          <w:kern w:val="36"/>
        </w:rPr>
      </w:pPr>
      <w:r>
        <w:rPr>
          <w:rFonts w:ascii="Arial" w:hAnsi="Arial" w:cs="Arial"/>
          <w:kern w:val="36"/>
        </w:rPr>
        <w:t>Antecedentes</w:t>
      </w:r>
    </w:p>
    <w:p w14:paraId="5CD5AD2D" w14:textId="497F799B"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La literatura empírica sobre sostenibilidad de deuda soberana se desplazó, en la última década y media, de las proyecciones determinísticas de un único escenario base hacia ejercicios de simulación estocástica capaces de generar distribuciones de probabilidad sobre la trayectoria de la deuda. El punto de partida empírico de este giro es Medeiros (2012), quien estimó un modelo VAR irrestricto y una función de reacción fiscal (FRF) de panel para quince países de la Unión Europea, combinando ambos instrumentos para simular miles de trayectorias de deuda/PBI y construir los primeros "</w:t>
      </w:r>
      <w:r>
        <w:rPr>
          <w:rFonts w:ascii="Arial" w:eastAsia="Times New Roman" w:hAnsi="Arial" w:cs="Arial"/>
          <w:i/>
          <w:iCs/>
          <w:kern w:val="0"/>
          <w:sz w:val="20"/>
          <w:szCs w:val="20"/>
          <w:lang w:eastAsia="es-AR"/>
          <w14:ligatures w14:val="none"/>
        </w:rPr>
        <w:t>fancharts</w:t>
      </w:r>
      <w:r>
        <w:rPr>
          <w:rFonts w:ascii="Arial" w:eastAsia="Times New Roman" w:hAnsi="Arial" w:cs="Arial"/>
          <w:kern w:val="0"/>
          <w:sz w:val="20"/>
          <w:szCs w:val="20"/>
          <w:lang w:eastAsia="es-AR"/>
          <w14:ligatures w14:val="none"/>
        </w:rPr>
        <w:t xml:space="preserve">" de uso sistemático en un organismo oficial (la Comisión Europea). Su hallazgo más citado, que el balance primario exhibe "fatiga fiscal", es decir, que la reacción del superávit ante el aumento de la deuda se debilita y eventualmente se revierte por encima de cierto umbral, fue incorporado después como supuesto de comportamiento en marcos de sostenibilidad de organismos multilaterales, entre ellos el Marco de Riesgo Soberano y Sostenibilidad de la Deuda del FMI (SRDSF), aplicado a Argentina en su Octava Revisión del Servicio Ampliado (FMI, 2024).</w:t>
      </w:r>
    </w:p>
    <w:p w14:paraId="0C61819A" w14:textId="464F4071"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sectPr>
          <w:footerReference w:type="default" r:id="rId10"/>
          <w:pgSz w:w="12240" w:h="15840"/>
          <w:pgMar w:top="1417" w:right="1701" w:bottom="1417" w:left="1701" w:header="708" w:footer="708" w:gutter="0"/>
          <w:cols w:space="708"/>
          <w:docGrid w:linePitch="360"/>
        </w:sectPr>
      </w:pPr>
      <w:r>
        <w:rPr>
          <w:rFonts w:ascii="Arial" w:eastAsia="Times New Roman" w:hAnsi="Arial" w:cs="Arial"/>
          <w:kern w:val="0"/>
          <w:sz w:val="20"/>
          <w:szCs w:val="20"/>
          <w:lang w:eastAsia="es-AR"/>
          <w14:ligatures w14:val="none"/>
        </w:rPr>
        <w:t xml:space="preserve">Esa misma "fatiga fiscal" fue puesta en discusión por Everaert y Jansen (2018), quienes retomaron el panel de países de la OCDE (1970-2014) que sirve de base a buena parte de esta literatura y testearon si el patrón no lineal de Medeiros (2012) era una regularidad de comportamiento genuina o un artefacto de agregar países heterogéneos en un único panel. Usando el estimador Mean Group de Pesaran y Smith, que permite una pendiente de reacción fiscal distinta para cada país en</w:t>
      </w:r>
    </w:p>
    <w:p w14:paraId="0C61819B" w14:textId="464F4072"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lugar de imponer un coeficiente común, encontraron heterogeneidad significativa: la fatiga fiscal no es una característica compartida por todos los países del panel, sino el promedio estadístico de comportamientos fiscales muy distintos entre sí. La implicancia directa para cualquier ejercicio de simulación aplicado a un país individual  y en particular a Argentina es que la FRF panel estimada sobre economías avanzadas o de la Unión Europea no es transferible sin más: la propia arquitectura del marco FMI aplicado a Argentina hereda parámetros de comportamiento fiscal calibrados sobre un grupo de países con marcos de disciplina institucional (Pacto de Estabilidad, vigilancia de la Comisión Europea) ausentes en el caso argentino.</w:t>
      </w:r>
    </w:p>
    <w:p w14:paraId="3B65E9EA" w14:textId="54ABC136"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Un segundo cuerpo de literatura empírica trasladó el problema de sostenibilidad a economías emergentes expuestas a shocks externos de términos de intercambio y a interrupciones súbitas del financiamiento. Adler y Sosa (2014), dentro del volumen editado por el FMI sobre América Latina, estimaron modelos VAR globales (GVAR) y de panel (PVAR) para un conjunto de países de la región, introduciendo como variable exógena internacional el Índice de Precios Netos de Materias Primas (NCPI) desarrollado por Adler y Magud (2014), que pondera cada commodity por la posición neta exportadora o importadora del país. El resultado empírico central de ese ejercicio que más de la mitad de la variabilidad de las entradas de capital de corto plazo a economías como la argentina responde a condiciones internacionales (tasa de la Reserva Federal, índice VIX) y no a variables de atracción local reforzó la idea de que la sostenibilidad de la deuda en la región depende en gran medida de factores push ajenos a la política doméstica. El mismo estudio documentó, sin embargo, una asimetría específica de Argentina: mientras que en economías desarrolladas los residentes repatrían activos externos para amortiguar una crisis, en el caso argentino el capital residente tiende a sumarse a la salida, amplificando en lugar de atenuar la inestabilidad financiera.</w:t>
      </w:r>
    </w:p>
    <w:p w14:paraId="4FCB8A60"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En paralelo, la literatura de sistemas de alerta temprana </w:t>
      </w:r>
      <w:r>
        <w:rPr>
          <w:rFonts w:ascii="Arial" w:eastAsia="Times New Roman" w:hAnsi="Arial" w:cs="Arial"/>
          <w:i/>
          <w:iCs/>
          <w:kern w:val="0"/>
          <w:sz w:val="20"/>
          <w:szCs w:val="20"/>
          <w:lang w:eastAsia="es-AR"/>
          <w14:ligatures w14:val="none"/>
        </w:rPr>
        <w:t xml:space="preserve">(early warning systems)</w:t>
      </w:r>
      <w:r>
        <w:rPr>
          <w:rFonts w:ascii="Arial" w:eastAsia="Times New Roman" w:hAnsi="Arial" w:cs="Arial"/>
          <w:kern w:val="0"/>
          <w:sz w:val="20"/>
          <w:szCs w:val="20"/>
          <w:lang w:eastAsia="es-AR"/>
          <w14:ligatures w14:val="none"/>
        </w:rPr>
        <w:t xml:space="preserve"> buscó, con una estrategia metodológica distinta —no explicar mecanismos, sino maximizar poder predictivo—, anticipar crisis de deuda soberana. Wijayanti y Rachmanira (2020) aplicaron el ratio de ruido a señal de Kaminsky, Lizondo y Reinhart y una regresión logística binomial sobre un panel de 43 países en desarrollo entre 1960 y 2017, logrando predecir el 61.5% de las crisis de deuda con dos años de anticipación bajo un umbral de probabilidad del 30%. El resultado, moderado pero no trivial, expone una tensión metodológica relevante para cualquier antecedente que se apoye en el marco del FMI: los sistemas de alerta temprana están diseñados para maximizar poder predictivo agregado sobre un panel amplio de países, mientras que el </w:t>
      </w:r>
      <w:r>
        <w:rPr>
          <w:rFonts w:ascii="Arial" w:eastAsia="Times New Roman" w:hAnsi="Arial" w:cs="Arial"/>
          <w:i/>
          <w:iCs/>
          <w:kern w:val="0"/>
          <w:sz w:val="20"/>
          <w:szCs w:val="20"/>
          <w:lang w:eastAsia="es-AR"/>
          <w14:ligatures w14:val="none"/>
        </w:rPr>
        <w:t xml:space="preserve">fanchart </w:t>
      </w:r>
      <w:r>
        <w:rPr>
          <w:rFonts w:ascii="Arial" w:eastAsia="Times New Roman" w:hAnsi="Arial" w:cs="Arial"/>
          <w:kern w:val="0"/>
          <w:sz w:val="20"/>
          <w:szCs w:val="20"/>
          <w:lang w:eastAsia="es-AR"/>
          <w14:ligatures w14:val="none"/>
        </w:rPr>
        <w:t>estocástico del SRDSF busca representar la distribución de riesgo de un país específico; ambos abordajes pueden, y de hecho suelen, dar señales distintas frente a un mismo episodio.</w:t>
      </w:r>
    </w:p>
    <w:p w14:paraId="63AE813C" w14:textId="53E5FB0A"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sectPr>
          <w:footerReference w:type="default" r:id="rId7"/>
          <w:pgSz w:w="12240" w:h="15840"/>
          <w:pgMar w:top="1417" w:right="1701" w:bottom="1417" w:left="1701" w:header="708" w:footer="708" w:gutter="0"/>
          <w:cols w:space="708"/>
          <w:docGrid w:linePitch="360"/>
        </w:sectPr>
      </w:pPr>
      <w:r>
        <w:rPr>
          <w:rFonts w:ascii="Arial" w:eastAsia="Times New Roman" w:hAnsi="Arial" w:cs="Arial"/>
          <w:kern w:val="0"/>
          <w:sz w:val="20"/>
          <w:szCs w:val="20"/>
          <w:lang w:eastAsia="es-AR"/>
          <w14:ligatures w14:val="none"/>
        </w:rPr>
        <w:t xml:space="preserve">Dentro de la literatura específicamente centrada en Argentina, dos trabajos independientes, con instrumentos metodológicos casi opuestos, llegaron a diagnósticos convergentes en la antesala de la crisis de 2001-2002. Cetrángolo, Damill, Frenkel y Jiménez (1997) reconstruyeron el esquema ahorro-inversión del Sector Público Nacional no Financiero para 1975-1996, desagregaron el presupuesto en ocho rubros de ingresos y siete de gasto, vincularon cada uno a su variable macroeconómica relevante mediante coeficientes fijos, y aplicaron el filtro de Hodrick-Prescott para separar tendencia de ciclo y así calcular un déficit macroeconómicamente ajustado (DMA) y un impulso fiscal (siguiendo la metodología de Blanchard, 1990). Su conclusión fiscal fue tranquilizadora: el riesgo fiscal cíclico bajo Convertibilidad era pequeño (0.3-0.6% del PBI), muy inferior a la volatilidad de los años setenta y ochenta, y la mejora de recaudación 1991-96 era mayoritariamente estructural, no un artefacto del boom económico. Sin embargo, el propio documento advirtió, en su escenario central de proyección para 1997-2001, que el desequilibrio de cuenta corriente externa crecía hasta superar el 7% del PBI hacia 2001 anticipando, desde una lente estrictamente fiscal, que el verdadero riesgo no era fiscal sino de sostenibilidad externa.</w:t>
      </w:r>
    </w:p>
    <w:p w14:paraId="38A0B40A" w14:textId="789F4F40"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lastRenderedPageBreak/>
        <w:t xml:space="preserve">Calvo, Izquierdo y Talvi (2003), trabajando con un instrumental completamente distinto contabilidad de balanza de pagos, calibración de elasticidades de demanda de no transables y la identidad estándar de dinámica de deuda, llegaron a la misma advertencia por otra vía. Su marco "CDM" (economía cerrada, dolarizada y con descalce de balances) mostró que, ante un sudden stop como el desatado por la crisis rusa de 1998, la magnitud del ajuste de tipo de cambio real necesario para restablecer el equilibrio externo dependía críticamente de la apertura comercial y del descalce de moneda de los pasivos dos rasgos en los que Argentina se ubicaba en el peor extremo posible entre los casos comparados (Argentina, Brasil, Chile, Colombia, Ecuador). El diálogo entre ambos trabajos es directo: uno detecta el problema por el lado del flujo (cuenta corriente), el otro por el lado del stock (descalce patrimonial), y ambos, escritos antes o inmediatamente después del default, coinciden en que el diagnóstico fiscal de corto plazo no bastaba para juzgar la sostenibilidad.</w:t>
      </w:r>
    </w:p>
    <w:p w14:paraId="73C868BA"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Dos décadas después, la literatura sobre Argentina se dividió en torno a un problema metodológico específico: si el ratio Deuda/PBI es o no una medida confiable de riesgo cuando media un salto cambiario abrupto. Rodríguez (2023) revisó el financiamiento y la sostenibilidad de la deuda pública argentina entre 2001 y 2022 y mostró que la abrupta caída del ratio Deuda/PBI durante 2003-2011 no reflejó un desendeudamiento estructural, sino un efecto contable de apreciación del tipo de cambio real (el PBI medido en dólares creció más rápido que el stock de deuda). El mismo mecanismo, en sentido inverso, explica por qué el salto cambiario de fines de 2023 llevó mecánicamente el ratio al 156.7% del PBI y disparó, dentro del SRDSF del FMI, una alarma roja de "Riesgo Alto" (ancho de </w:t>
      </w:r>
      <w:r>
        <w:rPr>
          <w:rFonts w:ascii="Arial" w:eastAsia="Times New Roman" w:hAnsi="Arial" w:cs="Arial"/>
          <w:i/>
          <w:iCs/>
          <w:kern w:val="0"/>
          <w:sz w:val="20"/>
          <w:szCs w:val="20"/>
          <w:lang w:eastAsia="es-AR"/>
          <w14:ligatures w14:val="none"/>
        </w:rPr>
        <w:t>fanchart</w:t>
      </w:r>
      <w:r>
        <w:rPr>
          <w:rFonts w:ascii="Arial" w:eastAsia="Times New Roman" w:hAnsi="Arial" w:cs="Arial"/>
          <w:kern w:val="0"/>
          <w:sz w:val="20"/>
          <w:szCs w:val="20"/>
          <w:lang w:eastAsia="es-AR"/>
          <w14:ligatures w14:val="none"/>
        </w:rPr>
        <w:t xml:space="preserve"> de 122.7 puntos) que el propio staff del organismo debió matizar cualitativamente por no reflejar el riesgo real de mediano plazo (FMI, 2024). La controversia queda así planteada de manera explícita entre dos antecedentes: un marco de benchmarking estadístico mecánico (percentiles históricos, umbrales fijos) y una lectura estructural que atribuye buena parte del movimiento del indicador a un efecto de valuación antes que a un cambio genuino de solvencia.</w:t>
      </w:r>
    </w:p>
    <w:p w14:paraId="6A669929" w14:textId="3E1FF69F"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Levy Yeyati y Sturzenegger (2021, publicado en 2023) llevaron esta discusión un paso más allá al proponer reemplazar el ratio Deuda/PBI por el patrimonio neto del sector público valor presente de impuestos menos valor presente de gastos y pasivos explícitos, simulado mediante bootstrap de un VAR de tres variables (PBI, tipo de cambio real, tasa internacional). Aplicado a Argentina, el ejercicio arrojó un patrimonio neto medio de 2.2 veces el PBI sin territorio negativo en la distribución simulada, y un hallazgo llamativo: una devaluación real del 20% apenas mueve ese patrimonio neto (de 2.225 a 2.214 del PBI), porque el mayor costo en dólares de la deuda se compensa con más recaudación de rubros transables y la licuación de gastos en pesos. Este resultado entra en tensión directa con el cálculo tradicional que los propios autores citan de Calvo et al. (2003): bajo el enfoque clásico de descalce de moneda, una devaluación del 50% eleva el ratio Deuda/PBI argentino de 36.5% a 50.8%. Dos antecedentes centrados en el mismo país y el mismo tipo de shock llegan a conclusiones opuestas sobre su severidad fiscal según si el instrumento utilizado es el ratio de deuda o el balance patrimonial completo. Los propios autores advierten, no obstante, que su resultado benigno depende de que Argentina, tras 2001, redujo fuertemente la dolarización de su deuda pública, y que el mismo ejercicio aplicado a la estructura de deuda de 2001 habría arrojado un deterioro fiscal severo ante el mismo shock.</w:t>
      </w:r>
    </w:p>
    <w:p w14:paraId="7D0EA1D1" w14:textId="77777777" w:rsidR="00B55618" w:rsidRPr="00B55618" w:rsidRDefault="00B55618" w:rsidP="00B55618">
      <w:pPr>
        <w:spacing w:before="100" w:beforeAutospacing="1" w:after="100" w:afterAutospacing="1" w:line="240" w:lineRule="auto"/>
        <w:outlineLvl w:val="1"/>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El costo real del evento de default</w:t>
      </w:r>
    </w:p>
    <w:p w14:paraId="3562CCA8" w14:textId="4B31BFAC"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Un último antecedente relevante no discute la sostenibilidad ex ante, sino el costo ex post del evento que estos marcos buscan evitar. Hébert y Schreger (2017) explotaron el litigio República Argentina v. NML Capital como un experimento natural: los fallos judiciales sucesivos alteraron exógenamente la probabilidad de default percibida por el mercado, sin depender de las noticias económicas del día. Mediante identificación por heterocedasticidad (Rigobon y Rigobon-Sack), estimaron que un aumento del 10% en la probabilidad de default (medida por CDS) provocó una caída del 6% en el índice ponderado de acciones argentinas, y que el paso de 40% a 100% de </w:t>
        <w:lastRenderedPageBreak/>
        <w:t xml:space="preserve">probabilidad de default, lo efectivamente observado, implicó una destrucción de valor de mercado de las firmas cotizantes de entre 30% y 45%, concentrada en exportadoras y filiales de multinacionales. Este antecedente complementa, desde el lado de las consecuencias reales, a la literatura de sostenibilidad ex ante revisada arriba: cuantifica el costo del evento de cola que los marcos estocásticos (Medeiros, 2012; FMI, 2024) intentan mantener con baja probabilidad, y que los enfoques de balance completo (Levy Yeyati y Sturzenegger, 2021) sugieren que, bajo la estructura de deuda actual, sería menos probable que en 2001.</w:t>
      </w:r>
    </w:p>
    <w:p w14:paraId="203A00D8"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A5585F3"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0623800F"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2F067E7A"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D0EC442"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7425037A"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59917F27"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3782910B"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03ABB26"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7D7CA278"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74DC3F08"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660E2F92"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CDE78A3"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23143A7E"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65473515"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774FAE06"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F38510B"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B444B71"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598EE8EC"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0F4710D3"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77A4D31C"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08EEC11C"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380B998E"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103138D"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00A9DF83"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12C2B21A"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2E0D8DF6"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39F11417"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11282D0"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75122CEB"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EF0105F"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1FE0B81A"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209C620D"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CA5EE3D"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758E2340"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21F79A50"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7CE2E7D3"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05DCC47C"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3F40C7C9"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7105DF3"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123D41CC"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713F79E0"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717F9BCA"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5D37B622"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37B20D30"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4B2797D2" w14:textId="77777777" w:rsidR="00DF1BC5" w:rsidRPr="00B55618"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2FD28CDF" w14:textId="77777777" w:rsidR="00B55618" w:rsidRPr="00B55618" w:rsidRDefault="00B55618" w:rsidP="00B55618">
      <w:pPr>
        <w:spacing w:before="100" w:beforeAutospacing="1" w:after="100" w:afterAutospacing="1" w:line="240" w:lineRule="auto"/>
        <w:outlineLvl w:val="1"/>
        <w:rPr>
          <w:rFonts w:ascii="Arial" w:eastAsia="Times New Roman" w:hAnsi="Arial" w:cs="Arial"/>
          <w:b/>
          <w:bCs/>
          <w:kern w:val="0"/>
          <w:sz w:val="20"/>
          <w:szCs w:val="20"/>
          <w:lang w:eastAsia="es-AR"/>
          <w14:ligatures w14:val="none"/>
        </w:rPr>
      </w:pPr>
      <w:r>
        <w:rPr>
          <w:rFonts w:ascii="Arial" w:eastAsia="Times New Roman" w:hAnsi="Arial" w:cs="Arial"/>
          <w:b/>
          <w:bCs/>
          <w:kern w:val="0"/>
          <w:sz w:val="20"/>
          <w:szCs w:val="20"/>
          <w:lang w:eastAsia="es-AR"/>
          <w14:ligatures w14:val="none"/>
        </w:rPr>
        <w:t>Bibliografía</w:t>
      </w:r>
    </w:p>
    <w:p w14:paraId="3B730162"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Adler, G., &amp; Magud, N. E. (2014). Terms-of-trade booms: Saving-investment patterns and a new metric of income windfall. En D. Iakova, L. M. Cubeddu, G. Adler, &amp; S. Sosa (Eds.), </w:t>
      </w:r>
      <w:r>
        <w:rPr>
          <w:rFonts w:ascii="Arial" w:eastAsia="Times New Roman" w:hAnsi="Arial" w:cs="Arial"/>
          <w:i/>
          <w:iCs/>
          <w:kern w:val="0"/>
          <w:sz w:val="20"/>
          <w:szCs w:val="20"/>
          <w:lang w:eastAsia="es-AR"/>
          <w14:ligatures w14:val="none"/>
        </w:rPr>
        <w:t xml:space="preserve">Latin America: New challenges to growth and stability</w:t>
      </w:r>
      <w:r>
        <w:rPr>
          <w:rFonts w:ascii="Arial" w:eastAsia="Times New Roman" w:hAnsi="Arial" w:cs="Arial"/>
          <w:kern w:val="0"/>
          <w:sz w:val="20"/>
          <w:szCs w:val="20"/>
          <w:lang w:eastAsia="es-AR"/>
          <w14:ligatures w14:val="none"/>
        </w:rPr>
        <w:t>. Fondo Monetario Internacional.</w:t>
      </w:r>
    </w:p>
    <w:p w14:paraId="4608D32F"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Adler, G., &amp; Sosa, S. (2014). External conditions and debt sustainability in Latin America. En D. Iakova, L. M. Cubeddu, G. Adler, &amp; S. Sosa (Eds.), </w:t>
      </w:r>
      <w:r>
        <w:rPr>
          <w:rFonts w:ascii="Arial" w:eastAsia="Times New Roman" w:hAnsi="Arial" w:cs="Arial"/>
          <w:i/>
          <w:iCs/>
          <w:kern w:val="0"/>
          <w:sz w:val="20"/>
          <w:szCs w:val="20"/>
          <w:lang w:eastAsia="es-AR"/>
          <w14:ligatures w14:val="none"/>
        </w:rPr>
        <w:t xml:space="preserve">Latin America: New challenges to growth and stability</w:t>
      </w:r>
      <w:r>
        <w:rPr>
          <w:rFonts w:ascii="Arial" w:eastAsia="Times New Roman" w:hAnsi="Arial" w:cs="Arial"/>
          <w:kern w:val="0"/>
          <w:sz w:val="20"/>
          <w:szCs w:val="20"/>
          <w:lang w:eastAsia="es-AR"/>
          <w14:ligatures w14:val="none"/>
        </w:rPr>
        <w:t>. Fondo Monetario Internacional.</w:t>
      </w:r>
    </w:p>
    <w:p w14:paraId="5B9A8FF5"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Calvo, G. A., Izquierdo, A., &amp; Talvi, E. (2003). </w:t>
      </w:r>
      <w:r>
        <w:rPr>
          <w:rFonts w:ascii="Arial" w:eastAsia="Times New Roman" w:hAnsi="Arial" w:cs="Arial"/>
          <w:i/>
          <w:iCs/>
          <w:kern w:val="0"/>
          <w:sz w:val="20"/>
          <w:szCs w:val="20"/>
          <w:lang w:eastAsia="es-AR"/>
          <w14:ligatures w14:val="none"/>
        </w:rPr>
        <w:t xml:space="preserve">Sudden stops, the real exchange rate, and fiscal sustainability: Argentina's lessons</w:t>
      </w:r>
      <w:r>
        <w:rPr>
          <w:rFonts w:ascii="Arial" w:eastAsia="Times New Roman" w:hAnsi="Arial" w:cs="Arial"/>
          <w:kern w:val="0"/>
          <w:sz w:val="20"/>
          <w:szCs w:val="20"/>
          <w:lang w:eastAsia="es-AR"/>
          <w14:ligatures w14:val="none"/>
        </w:rPr>
        <w:t xml:space="preserve"> (NBER Working Paper No. 9828). National Bureau of Economic Research.</w:t>
      </w:r>
    </w:p>
    <w:p w14:paraId="53919AB2"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Cetrángolo, O., Damill, M., Frenkel, R., &amp; Jiménez, J. P. (1997). </w:t>
      </w:r>
      <w:r>
        <w:rPr>
          <w:rFonts w:ascii="Arial" w:eastAsia="Times New Roman" w:hAnsi="Arial" w:cs="Arial"/>
          <w:i/>
          <w:iCs/>
          <w:kern w:val="0"/>
          <w:sz w:val="20"/>
          <w:szCs w:val="20"/>
          <w:lang w:eastAsia="es-AR"/>
          <w14:ligatures w14:val="none"/>
        </w:rPr>
        <w:t>La sostenibilidad de la política fiscal en América Latina: El caso argentino</w:t>
      </w:r>
      <w:r>
        <w:rPr>
          <w:rFonts w:ascii="Arial" w:eastAsia="Times New Roman" w:hAnsi="Arial" w:cs="Arial"/>
          <w:kern w:val="0"/>
          <w:sz w:val="20"/>
          <w:szCs w:val="20"/>
          <w:lang w:eastAsia="es-AR"/>
          <w14:ligatures w14:val="none"/>
        </w:rPr>
        <w:t>. Centro de Estudios de Estado y Sociedad (CEDES).</w:t>
      </w:r>
    </w:p>
    <w:p w14:paraId="13E87FB3"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Everaert, G., &amp; Jansen, S. (2018). On the estimation of panel fiscal reaction functions: Heterogeneity or fiscal fatigue? </w:t>
      </w:r>
      <w:r>
        <w:rPr>
          <w:rFonts w:ascii="Arial" w:eastAsia="Times New Roman" w:hAnsi="Arial" w:cs="Arial"/>
          <w:i/>
          <w:iCs/>
          <w:kern w:val="0"/>
          <w:sz w:val="20"/>
          <w:szCs w:val="20"/>
          <w:lang w:eastAsia="es-AR"/>
          <w14:ligatures w14:val="none"/>
        </w:rPr>
        <w:t xml:space="preserve">Economic Modelling</w:t>
      </w:r>
      <w:r>
        <w:rPr>
          <w:rFonts w:ascii="Arial" w:eastAsia="Times New Roman" w:hAnsi="Arial" w:cs="Arial"/>
          <w:kern w:val="0"/>
          <w:sz w:val="20"/>
          <w:szCs w:val="20"/>
          <w:lang w:eastAsia="es-AR"/>
          <w14:ligatures w14:val="none"/>
        </w:rPr>
        <w:t>, 70, 87-96.</w:t>
      </w:r>
    </w:p>
    <w:p w14:paraId="5977B21E"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Fondo Monetario Internacional. (2024). </w:t>
      </w:r>
      <w:r>
        <w:rPr>
          <w:rFonts w:ascii="Arial" w:eastAsia="Times New Roman" w:hAnsi="Arial" w:cs="Arial"/>
          <w:i/>
          <w:iCs/>
          <w:kern w:val="0"/>
          <w:sz w:val="20"/>
          <w:szCs w:val="20"/>
          <w:lang w:eastAsia="es-AR"/>
          <w14:ligatures w14:val="none"/>
        </w:rPr>
        <w:t xml:space="preserve">Argentina: Eighth review under the extended arrangement under the Extended Fund Facility</w:t>
      </w:r>
      <w:r>
        <w:rPr>
          <w:rFonts w:ascii="Arial" w:eastAsia="Times New Roman" w:hAnsi="Arial" w:cs="Arial"/>
          <w:kern w:val="0"/>
          <w:sz w:val="20"/>
          <w:szCs w:val="20"/>
          <w:lang w:eastAsia="es-AR"/>
          <w14:ligatures w14:val="none"/>
        </w:rPr>
        <w:t xml:space="preserve"> (IMF Country Report No. 24/167). Fondo Monetario Internacional.</w:t>
      </w:r>
    </w:p>
    <w:p w14:paraId="5FF91CA9"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Hébert, B., &amp; Schreger, J. (2017). The costs of sovereign default: Evidence from Argentina. </w:t>
      </w:r>
      <w:r>
        <w:rPr>
          <w:rFonts w:ascii="Arial" w:eastAsia="Times New Roman" w:hAnsi="Arial" w:cs="Arial"/>
          <w:i/>
          <w:iCs/>
          <w:kern w:val="0"/>
          <w:sz w:val="20"/>
          <w:szCs w:val="20"/>
          <w:lang w:eastAsia="es-AR"/>
          <w14:ligatures w14:val="none"/>
        </w:rPr>
        <w:t xml:space="preserve">American Economic Review</w:t>
      </w:r>
      <w:r>
        <w:rPr>
          <w:rFonts w:ascii="Arial" w:eastAsia="Times New Roman" w:hAnsi="Arial" w:cs="Arial"/>
          <w:kern w:val="0"/>
          <w:sz w:val="20"/>
          <w:szCs w:val="20"/>
          <w:lang w:eastAsia="es-AR"/>
          <w14:ligatures w14:val="none"/>
        </w:rPr>
        <w:t>, 107(10), 3119-3145. (Versión previa: NBER Working Paper No. 22270, 2016).</w:t>
      </w:r>
    </w:p>
    <w:p w14:paraId="72CD7195"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Levy Yeyati, E., &amp; Sturzenegger, F. (2023). A balance-sheet approach to fiscal sustainability. </w:t>
      </w:r>
      <w:r>
        <w:rPr>
          <w:rFonts w:ascii="Arial" w:eastAsia="Times New Roman" w:hAnsi="Arial" w:cs="Arial"/>
          <w:i/>
          <w:iCs/>
          <w:kern w:val="0"/>
          <w:sz w:val="20"/>
          <w:szCs w:val="20"/>
          <w:lang w:eastAsia="es-AR"/>
          <w14:ligatures w14:val="none"/>
        </w:rPr>
        <w:t xml:space="preserve">Fiscal Studies</w:t>
      </w:r>
      <w:r>
        <w:rPr>
          <w:rFonts w:ascii="Arial" w:eastAsia="Times New Roman" w:hAnsi="Arial" w:cs="Arial"/>
          <w:kern w:val="0"/>
          <w:sz w:val="20"/>
          <w:szCs w:val="20"/>
          <w:lang w:eastAsia="es-AR"/>
          <w14:ligatures w14:val="none"/>
        </w:rPr>
        <w:t>, 44(1), 61-84. (Versión previa: Working Paper, 2021).</w:t>
      </w:r>
    </w:p>
    <w:p w14:paraId="4E8B5A70"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Medeiros, J. (2012). </w:t>
      </w:r>
      <w:r>
        <w:rPr>
          <w:rFonts w:ascii="Arial" w:eastAsia="Times New Roman" w:hAnsi="Arial" w:cs="Arial"/>
          <w:i/>
          <w:iCs/>
          <w:kern w:val="0"/>
          <w:sz w:val="20"/>
          <w:szCs w:val="20"/>
          <w:lang w:eastAsia="es-AR"/>
          <w14:ligatures w14:val="none"/>
        </w:rPr>
        <w:t xml:space="preserve">Stochastic debt simulation using VAR models and a panel fiscal reaction function: Results for a selected number of countries</w:t>
      </w:r>
      <w:r>
        <w:rPr>
          <w:rFonts w:ascii="Arial" w:eastAsia="Times New Roman" w:hAnsi="Arial" w:cs="Arial"/>
          <w:kern w:val="0"/>
          <w:sz w:val="20"/>
          <w:szCs w:val="20"/>
          <w:lang w:eastAsia="es-AR"/>
          <w14:ligatures w14:val="none"/>
        </w:rPr>
        <w:t xml:space="preserve"> (European Economy - Economic Papers 459). Comisión Europea.</w:t>
      </w:r>
    </w:p>
    <w:p w14:paraId="53195786"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Rodríguez, A. (2023). Financiamiento y sostenibilidad de la deuda pública: El caso de la economía argentina (2001-2022). </w:t>
      </w:r>
      <w:r>
        <w:rPr>
          <w:rFonts w:ascii="Arial" w:eastAsia="Times New Roman" w:hAnsi="Arial" w:cs="Arial"/>
          <w:i/>
          <w:iCs/>
          <w:kern w:val="0"/>
          <w:sz w:val="20"/>
          <w:szCs w:val="20"/>
          <w:lang w:eastAsia="es-AR"/>
          <w14:ligatures w14:val="none"/>
        </w:rPr>
        <w:t>Ciencias Económicas</w:t>
      </w:r>
      <w:r>
        <w:rPr>
          <w:rFonts w:ascii="Arial" w:eastAsia="Times New Roman" w:hAnsi="Arial" w:cs="Arial"/>
          <w:kern w:val="0"/>
          <w:sz w:val="20"/>
          <w:szCs w:val="20"/>
          <w:lang w:eastAsia="es-AR"/>
          <w14:ligatures w14:val="none"/>
        </w:rPr>
        <w:t>, 2(20). Universidad Nacional del Litoral.</w:t>
      </w:r>
    </w:p>
    <w:p w14:paraId="0E3F8B8C"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Wijayanti, R., &amp; Rachmanira, S. (2020). Early warning system for government debt crisis in developing countries. </w:t>
      </w:r>
      <w:r>
        <w:rPr>
          <w:rFonts w:ascii="Arial" w:eastAsia="Times New Roman" w:hAnsi="Arial" w:cs="Arial"/>
          <w:i/>
          <w:iCs/>
          <w:kern w:val="0"/>
          <w:sz w:val="20"/>
          <w:szCs w:val="20"/>
          <w:lang w:eastAsia="es-AR"/>
          <w14:ligatures w14:val="none"/>
        </w:rPr>
        <w:t xml:space="preserve">Journal of Central Banking Theory and Practice</w:t>
      </w:r>
      <w:r>
        <w:rPr>
          <w:rFonts w:ascii="Arial" w:eastAsia="Times New Roman" w:hAnsi="Arial" w:cs="Arial"/>
          <w:kern w:val="0"/>
          <w:sz w:val="20"/>
          <w:szCs w:val="20"/>
          <w:lang w:eastAsia="es-AR"/>
          <w14:ligatures w14:val="none"/>
        </w:rPr>
        <w:t>, 9(número especial), 103-124.</w:t>
      </w:r>
    </w:p>
    <w:p w14:paraId="35E12567" w14:textId="70153794" w:rsidR="00D55A96" w:rsidRPr="0066201F" w:rsidRDefault="00D55A96" w:rsidP="0066201F">
      <w:pPr>
        <w:spacing w:after="0" w:line="240" w:lineRule="auto"/>
        <w:rPr>
          <w:rFonts w:ascii="Arial" w:hAnsi="Arial" w:cs="Arial"/>
        </w:rPr>
      </w:pPr>
    </w:p>
    <w:sectPr w:rsidR="00D55A96" w:rsidRPr="0066201F">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57CD7" w14:textId="77777777" w:rsidR="001A76D2" w:rsidRDefault="001A76D2" w:rsidP="00DE6F55">
      <w:pPr>
        <w:spacing w:after="0" w:line="240" w:lineRule="auto"/>
      </w:pPr>
      <w:r>
        <w:separator/>
      </w:r>
    </w:p>
  </w:endnote>
  <w:endnote w:type="continuationSeparator" w:id="0">
    <w:p w14:paraId="2955AC0A" w14:textId="77777777" w:rsidR="001A76D2" w:rsidRDefault="001A76D2" w:rsidP="00DE6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FAFB5" w14:textId="77777777" w:rsidR="00DE6F55" w:rsidRPr="00DE6F55" w:rsidRDefault="00DE6F55" w:rsidP="00DE6F55">
    <w:pPr>
      <w:pStyle w:val="Piedepgina"/>
      <w:rPr>
        <w:rFonts w:ascii="Arial" w:hAnsi="Arial" w:cs="Arial"/>
        <w:sz w:val="16"/>
        <w:szCs w:val="16"/>
      </w:rPr>
    </w:pPr>
    <w:proofErr w:type="spellStart"/>
    <w:r w:rsidRPr="00DE6F55">
      <w:rPr>
        <w:rFonts w:ascii="Arial" w:hAnsi="Arial" w:cs="Arial"/>
        <w:sz w:val="16"/>
        <w:szCs w:val="16"/>
      </w:rPr>
      <w:t>Fanchart</w:t>
    </w:r>
    <w:proofErr w:type="spellEnd"/>
    <w:r w:rsidRPr="00DE6F55">
      <w:rPr>
        <w:rFonts w:ascii="Arial" w:hAnsi="Arial" w:cs="Arial"/>
        <w:sz w:val="16"/>
        <w:szCs w:val="16"/>
      </w:rPr>
      <w:t>: Herramienta de representación gráfica probabilística que proyecta la trayectoria futura de una variable macroeconómica. Que corresponden a diferentes percentiles de distribución obtenidos mediante simulaciones estocásticas, permite visualizar la dispersión de riesgos y la volatilidad alrededor de una proyección central.</w:t>
    </w:r>
  </w:p>
  <w:p w14:paraId="5BF29D30" w14:textId="15EF2BC5" w:rsidR="00DE6F55" w:rsidRPr="00DE6F55" w:rsidRDefault="00DE6F55">
    <w:pPr>
      <w:pStyle w:val="Piedepgina"/>
      <w:rPr>
        <w:rFonts w:ascii="Arial" w:hAnsi="Arial" w:cs="Arial"/>
        <w:sz w:val="16"/>
        <w:szCs w:val="16"/>
      </w:rPr>
    </w:pPr>
    <w:r w:rsidRPr="00DE6F55">
      <w:rPr>
        <w:rFonts w:ascii="Arial" w:hAnsi="Arial" w:cs="Arial"/>
        <w:sz w:val="16"/>
        <w:szCs w:val="16"/>
      </w:rPr>
      <w:t xml:space="preserve">Early Warning </w:t>
    </w:r>
    <w:proofErr w:type="spellStart"/>
    <w:r w:rsidRPr="00DE6F55">
      <w:rPr>
        <w:rFonts w:ascii="Arial" w:hAnsi="Arial" w:cs="Arial"/>
        <w:sz w:val="16"/>
        <w:szCs w:val="16"/>
      </w:rPr>
      <w:t>Systems</w:t>
    </w:r>
    <w:proofErr w:type="spellEnd"/>
    <w:r w:rsidRPr="00DE6F55">
      <w:rPr>
        <w:rFonts w:ascii="Arial" w:hAnsi="Arial" w:cs="Arial"/>
        <w:sz w:val="16"/>
        <w:szCs w:val="16"/>
      </w:rPr>
      <w:t xml:space="preserve">: </w:t>
    </w:r>
    <w:r w:rsidRPr="00DE6F55">
      <w:rPr>
        <w:rFonts w:ascii="Arial" w:hAnsi="Arial" w:cs="Arial"/>
        <w:sz w:val="16"/>
        <w:szCs w:val="16"/>
      </w:rPr>
      <w:t>Modelos econométricos cuantitativos</w:t>
    </w:r>
    <w:r w:rsidRPr="00DE6F55">
      <w:rPr>
        <w:rFonts w:ascii="Arial" w:hAnsi="Arial" w:cs="Arial"/>
        <w:sz w:val="16"/>
        <w:szCs w:val="16"/>
      </w:rPr>
      <w:t xml:space="preserve"> </w:t>
    </w:r>
    <w:r w:rsidRPr="00DE6F55">
      <w:rPr>
        <w:rFonts w:ascii="Arial" w:hAnsi="Arial" w:cs="Arial"/>
        <w:sz w:val="16"/>
        <w:szCs w:val="16"/>
      </w:rPr>
      <w:t xml:space="preserve">diseñados para monitorear indicadores de vulnerabilidad </w:t>
    </w:r>
    <w:proofErr w:type="spellStart"/>
    <w:r w:rsidRPr="00DE6F55">
      <w:rPr>
        <w:rFonts w:ascii="Arial" w:hAnsi="Arial" w:cs="Arial"/>
        <w:sz w:val="16"/>
        <w:szCs w:val="16"/>
      </w:rPr>
      <w:t>macrofinanciera</w:t>
    </w:r>
    <w:proofErr w:type="spellEnd"/>
    <w:r w:rsidRPr="00DE6F55">
      <w:rPr>
        <w:rFonts w:ascii="Arial" w:hAnsi="Arial" w:cs="Arial"/>
        <w:sz w:val="16"/>
        <w:szCs w:val="16"/>
      </w:rPr>
      <w:t xml:space="preserve"> y estimar, con un horizonte de anticipación determinado, la probabilidad de ocurrencia de una crisis de deuda o de liquidez soberana.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3F3C" w14:textId="77777777" w:rsidR="001A76D2" w:rsidRDefault="001A76D2" w:rsidP="00DE6F55">
      <w:pPr>
        <w:spacing w:after="0" w:line="240" w:lineRule="auto"/>
      </w:pPr>
      <w:r>
        <w:separator/>
      </w:r>
    </w:p>
  </w:footnote>
  <w:footnote w:type="continuationSeparator" w:id="0">
    <w:p w14:paraId="3FD44E4D" w14:textId="77777777" w:rsidR="001A76D2" w:rsidRDefault="001A76D2" w:rsidP="00DE6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A8B"/>
    <w:multiLevelType w:val="multilevel"/>
    <w:tmpl w:val="355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2821"/>
    <w:multiLevelType w:val="multilevel"/>
    <w:tmpl w:val="83B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31544"/>
    <w:multiLevelType w:val="multilevel"/>
    <w:tmpl w:val="18C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1768A"/>
    <w:multiLevelType w:val="multilevel"/>
    <w:tmpl w:val="A624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93C99"/>
    <w:multiLevelType w:val="multilevel"/>
    <w:tmpl w:val="F21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158F7"/>
    <w:multiLevelType w:val="multilevel"/>
    <w:tmpl w:val="78B2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F3E1C"/>
    <w:multiLevelType w:val="multilevel"/>
    <w:tmpl w:val="CDE0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C84E7A"/>
    <w:multiLevelType w:val="multilevel"/>
    <w:tmpl w:val="B85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C1FB2"/>
    <w:multiLevelType w:val="multilevel"/>
    <w:tmpl w:val="2EA6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1073F"/>
    <w:multiLevelType w:val="multilevel"/>
    <w:tmpl w:val="339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46650"/>
    <w:multiLevelType w:val="multilevel"/>
    <w:tmpl w:val="9B3A7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A46D20"/>
    <w:multiLevelType w:val="multilevel"/>
    <w:tmpl w:val="7C32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22283F"/>
    <w:multiLevelType w:val="multilevel"/>
    <w:tmpl w:val="75AC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F6D0F"/>
    <w:multiLevelType w:val="multilevel"/>
    <w:tmpl w:val="5FFE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1239B1"/>
    <w:multiLevelType w:val="multilevel"/>
    <w:tmpl w:val="163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B20FD"/>
    <w:multiLevelType w:val="multilevel"/>
    <w:tmpl w:val="8BC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F1CF6"/>
    <w:multiLevelType w:val="multilevel"/>
    <w:tmpl w:val="A5D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F2743"/>
    <w:multiLevelType w:val="hybridMultilevel"/>
    <w:tmpl w:val="F3C8EB6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BA03958"/>
    <w:multiLevelType w:val="multilevel"/>
    <w:tmpl w:val="304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F0244"/>
    <w:multiLevelType w:val="multilevel"/>
    <w:tmpl w:val="29FA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758426">
    <w:abstractNumId w:val="17"/>
  </w:num>
  <w:num w:numId="2" w16cid:durableId="1929729190">
    <w:abstractNumId w:val="4"/>
  </w:num>
  <w:num w:numId="3" w16cid:durableId="144320480">
    <w:abstractNumId w:val="12"/>
  </w:num>
  <w:num w:numId="4" w16cid:durableId="1899244607">
    <w:abstractNumId w:val="18"/>
  </w:num>
  <w:num w:numId="5" w16cid:durableId="917058478">
    <w:abstractNumId w:val="2"/>
  </w:num>
  <w:num w:numId="6" w16cid:durableId="566962085">
    <w:abstractNumId w:val="14"/>
  </w:num>
  <w:num w:numId="7" w16cid:durableId="450055381">
    <w:abstractNumId w:val="5"/>
  </w:num>
  <w:num w:numId="8" w16cid:durableId="1608804452">
    <w:abstractNumId w:val="15"/>
  </w:num>
  <w:num w:numId="9" w16cid:durableId="1641230725">
    <w:abstractNumId w:val="10"/>
  </w:num>
  <w:num w:numId="10" w16cid:durableId="156116421">
    <w:abstractNumId w:val="1"/>
  </w:num>
  <w:num w:numId="11" w16cid:durableId="1882471485">
    <w:abstractNumId w:val="13"/>
  </w:num>
  <w:num w:numId="12" w16cid:durableId="1483697937">
    <w:abstractNumId w:val="8"/>
  </w:num>
  <w:num w:numId="13" w16cid:durableId="1640845671">
    <w:abstractNumId w:val="11"/>
  </w:num>
  <w:num w:numId="14" w16cid:durableId="1988894389">
    <w:abstractNumId w:val="7"/>
  </w:num>
  <w:num w:numId="15" w16cid:durableId="1367683348">
    <w:abstractNumId w:val="0"/>
  </w:num>
  <w:num w:numId="16" w16cid:durableId="1441685581">
    <w:abstractNumId w:val="3"/>
  </w:num>
  <w:num w:numId="17" w16cid:durableId="736904277">
    <w:abstractNumId w:val="16"/>
  </w:num>
  <w:num w:numId="18" w16cid:durableId="1018237687">
    <w:abstractNumId w:val="9"/>
  </w:num>
  <w:num w:numId="19" w16cid:durableId="1291206359">
    <w:abstractNumId w:val="6"/>
  </w:num>
  <w:num w:numId="20" w16cid:durableId="11076546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25B"/>
    <w:rsid w:val="00034215"/>
    <w:rsid w:val="0012620F"/>
    <w:rsid w:val="001A76D2"/>
    <w:rsid w:val="004A014E"/>
    <w:rsid w:val="0066201F"/>
    <w:rsid w:val="0071624A"/>
    <w:rsid w:val="00730DC6"/>
    <w:rsid w:val="00735B84"/>
    <w:rsid w:val="008B5425"/>
    <w:rsid w:val="008C2FCA"/>
    <w:rsid w:val="00920D75"/>
    <w:rsid w:val="009E225B"/>
    <w:rsid w:val="00AC2784"/>
    <w:rsid w:val="00AD1B8D"/>
    <w:rsid w:val="00B55618"/>
    <w:rsid w:val="00B95CA1"/>
    <w:rsid w:val="00CF11AC"/>
    <w:rsid w:val="00D441A6"/>
    <w:rsid w:val="00D55A96"/>
    <w:rsid w:val="00DE6F55"/>
    <w:rsid w:val="00DF1BC5"/>
    <w:rsid w:val="00E05DA6"/>
    <w:rsid w:val="00F90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9688"/>
  <w15:chartTrackingRefBased/>
  <w15:docId w15:val="{07F2B4E9-3545-413E-AFA9-484501841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9E2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E2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E22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22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22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22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22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22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22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225B"/>
    <w:rPr>
      <w:rFonts w:asciiTheme="majorHAnsi" w:eastAsiaTheme="majorEastAsia" w:hAnsiTheme="majorHAnsi" w:cstheme="majorBidi"/>
      <w:color w:val="0F4761" w:themeColor="accent1" w:themeShade="BF"/>
      <w:sz w:val="40"/>
      <w:szCs w:val="40"/>
      <w:lang w:val="es-AR"/>
    </w:rPr>
  </w:style>
  <w:style w:type="character" w:customStyle="1" w:styleId="Ttulo2Car">
    <w:name w:val="Título 2 Car"/>
    <w:basedOn w:val="Fuentedeprrafopredeter"/>
    <w:link w:val="Ttulo2"/>
    <w:uiPriority w:val="9"/>
    <w:rsid w:val="009E225B"/>
    <w:rPr>
      <w:rFonts w:asciiTheme="majorHAnsi" w:eastAsiaTheme="majorEastAsia" w:hAnsiTheme="majorHAnsi" w:cstheme="majorBidi"/>
      <w:color w:val="0F4761" w:themeColor="accent1" w:themeShade="BF"/>
      <w:sz w:val="32"/>
      <w:szCs w:val="32"/>
      <w:lang w:val="es-AR"/>
    </w:rPr>
  </w:style>
  <w:style w:type="character" w:customStyle="1" w:styleId="Ttulo3Car">
    <w:name w:val="Título 3 Car"/>
    <w:basedOn w:val="Fuentedeprrafopredeter"/>
    <w:link w:val="Ttulo3"/>
    <w:uiPriority w:val="9"/>
    <w:rsid w:val="009E225B"/>
    <w:rPr>
      <w:rFonts w:eastAsiaTheme="majorEastAsia" w:cstheme="majorBidi"/>
      <w:color w:val="0F4761" w:themeColor="accent1" w:themeShade="BF"/>
      <w:sz w:val="28"/>
      <w:szCs w:val="28"/>
      <w:lang w:val="es-AR"/>
    </w:rPr>
  </w:style>
  <w:style w:type="character" w:customStyle="1" w:styleId="Ttulo4Car">
    <w:name w:val="Título 4 Car"/>
    <w:basedOn w:val="Fuentedeprrafopredeter"/>
    <w:link w:val="Ttulo4"/>
    <w:uiPriority w:val="9"/>
    <w:semiHidden/>
    <w:rsid w:val="009E225B"/>
    <w:rPr>
      <w:rFonts w:eastAsiaTheme="majorEastAsia" w:cstheme="majorBidi"/>
      <w:i/>
      <w:iCs/>
      <w:color w:val="0F4761" w:themeColor="accent1" w:themeShade="BF"/>
      <w:lang w:val="es-AR"/>
    </w:rPr>
  </w:style>
  <w:style w:type="character" w:customStyle="1" w:styleId="Ttulo5Car">
    <w:name w:val="Título 5 Car"/>
    <w:basedOn w:val="Fuentedeprrafopredeter"/>
    <w:link w:val="Ttulo5"/>
    <w:uiPriority w:val="9"/>
    <w:semiHidden/>
    <w:rsid w:val="009E225B"/>
    <w:rPr>
      <w:rFonts w:eastAsiaTheme="majorEastAsia" w:cstheme="majorBidi"/>
      <w:color w:val="0F4761" w:themeColor="accent1" w:themeShade="BF"/>
      <w:lang w:val="es-AR"/>
    </w:rPr>
  </w:style>
  <w:style w:type="character" w:customStyle="1" w:styleId="Ttulo6Car">
    <w:name w:val="Título 6 Car"/>
    <w:basedOn w:val="Fuentedeprrafopredeter"/>
    <w:link w:val="Ttulo6"/>
    <w:uiPriority w:val="9"/>
    <w:semiHidden/>
    <w:rsid w:val="009E225B"/>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9E225B"/>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9E225B"/>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9E225B"/>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9E2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225B"/>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9E22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225B"/>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9E225B"/>
    <w:pPr>
      <w:spacing w:before="160"/>
      <w:jc w:val="center"/>
    </w:pPr>
    <w:rPr>
      <w:i/>
      <w:iCs/>
      <w:color w:val="404040" w:themeColor="text1" w:themeTint="BF"/>
    </w:rPr>
  </w:style>
  <w:style w:type="character" w:customStyle="1" w:styleId="CitaCar">
    <w:name w:val="Cita Car"/>
    <w:basedOn w:val="Fuentedeprrafopredeter"/>
    <w:link w:val="Cita"/>
    <w:uiPriority w:val="29"/>
    <w:rsid w:val="009E225B"/>
    <w:rPr>
      <w:i/>
      <w:iCs/>
      <w:color w:val="404040" w:themeColor="text1" w:themeTint="BF"/>
      <w:lang w:val="es-AR"/>
    </w:rPr>
  </w:style>
  <w:style w:type="paragraph" w:styleId="Prrafodelista">
    <w:name w:val="List Paragraph"/>
    <w:basedOn w:val="Normal"/>
    <w:uiPriority w:val="34"/>
    <w:qFormat/>
    <w:rsid w:val="009E225B"/>
    <w:pPr>
      <w:ind w:left="720"/>
      <w:contextualSpacing/>
    </w:pPr>
  </w:style>
  <w:style w:type="character" w:styleId="nfasisintenso">
    <w:name w:val="Intense Emphasis"/>
    <w:basedOn w:val="Fuentedeprrafopredeter"/>
    <w:uiPriority w:val="21"/>
    <w:qFormat/>
    <w:rsid w:val="009E225B"/>
    <w:rPr>
      <w:i/>
      <w:iCs/>
      <w:color w:val="0F4761" w:themeColor="accent1" w:themeShade="BF"/>
    </w:rPr>
  </w:style>
  <w:style w:type="paragraph" w:styleId="Citadestacada">
    <w:name w:val="Intense Quote"/>
    <w:basedOn w:val="Normal"/>
    <w:next w:val="Normal"/>
    <w:link w:val="CitadestacadaCar"/>
    <w:uiPriority w:val="30"/>
    <w:qFormat/>
    <w:rsid w:val="009E2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225B"/>
    <w:rPr>
      <w:i/>
      <w:iCs/>
      <w:color w:val="0F4761" w:themeColor="accent1" w:themeShade="BF"/>
      <w:lang w:val="es-AR"/>
    </w:rPr>
  </w:style>
  <w:style w:type="character" w:styleId="Referenciaintensa">
    <w:name w:val="Intense Reference"/>
    <w:basedOn w:val="Fuentedeprrafopredeter"/>
    <w:uiPriority w:val="32"/>
    <w:qFormat/>
    <w:rsid w:val="009E225B"/>
    <w:rPr>
      <w:b/>
      <w:bCs/>
      <w:smallCaps/>
      <w:color w:val="0F4761" w:themeColor="accent1" w:themeShade="BF"/>
      <w:spacing w:val="5"/>
    </w:rPr>
  </w:style>
  <w:style w:type="paragraph" w:styleId="NormalWeb">
    <w:name w:val="Normal (Web)"/>
    <w:basedOn w:val="Normal"/>
    <w:uiPriority w:val="99"/>
    <w:unhideWhenUsed/>
    <w:rsid w:val="00E05DA6"/>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Fuerte">
    <w:name w:val="Strong"/>
    <w:basedOn w:val="Fuentedeprrafopredeter"/>
    <w:uiPriority w:val="22"/>
    <w:qFormat/>
    <w:rsid w:val="00B95CA1"/>
    <w:rPr>
      <w:b/>
      <w:bCs/>
    </w:rPr>
  </w:style>
  <w:style w:type="character" w:styleId="nfasis">
    <w:name w:val="Emphasis"/>
    <w:basedOn w:val="Fuentedeprrafopredeter"/>
    <w:uiPriority w:val="20"/>
    <w:qFormat/>
    <w:rsid w:val="00B95CA1"/>
    <w:rPr>
      <w:i/>
      <w:iCs/>
    </w:rPr>
  </w:style>
  <w:style w:type="paragraph" w:styleId="Encabezado">
    <w:name w:val="header"/>
    <w:basedOn w:val="Normal"/>
    <w:link w:val="EncabezadoCar"/>
    <w:uiPriority w:val="99"/>
    <w:unhideWhenUsed/>
    <w:rsid w:val="00DE6F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6F55"/>
    <w:rPr>
      <w:lang w:val="es-AR"/>
    </w:rPr>
  </w:style>
  <w:style w:type="paragraph" w:styleId="Piedepgina">
    <w:name w:val="footer"/>
    <w:basedOn w:val="Normal"/>
    <w:link w:val="PiedepginaCar"/>
    <w:uiPriority w:val="99"/>
    <w:unhideWhenUsed/>
    <w:rsid w:val="00DE6F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6F55"/>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6</Pages>
  <Words>2449</Words>
  <Characters>13470</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Hernan Paez Albornoz</dc:creator>
  <cp:keywords/>
  <dc:description/>
  <cp:lastModifiedBy>Santiago Hernan Paez Albornoz</cp:lastModifiedBy>
  <cp:revision>8</cp:revision>
  <dcterms:created xsi:type="dcterms:W3CDTF">2026-09-06T20:05:00Z</dcterms:created>
  <dcterms:modified xsi:type="dcterms:W3CDTF">2026-09-19T15:27:00Z</dcterms:modified>
</cp:coreProperties>
</file>