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9863" w14:textId="77777777" w:rsidR="00E05DA6" w:rsidRPr="00ED4BA0" w:rsidRDefault="00E05DA6" w:rsidP="00E05DA6">
      <w:pPr>
        <w:pStyle w:val="NormalWeb"/>
        <w:numPr>
          <w:ilvl w:val="0"/>
          <w:numId w:val="1"/>
        </w:numPr>
        <w:spacing w:before="0" w:beforeAutospacing="0"/>
        <w:rPr>
          <w:rFonts w:ascii="Arial" w:hAnsi="Arial" w:cs="Arial"/>
          <w:b/>
          <w:bCs/>
        </w:rPr>
      </w:pPr>
      <w:r>
        <w:rPr>
          <w:rFonts w:ascii="Arial" w:hAnsi="Arial" w:cs="Arial"/>
          <w:b/>
          <w:bCs/>
        </w:rPr>
        <w:t>Introducción</w:t>
      </w:r>
    </w:p>
    <w:p w14:paraId="7C04EE9E" w14:textId="117273E0" w:rsidR="00E05DA6" w:rsidRPr="00D55A96" w:rsidRDefault="00735B84" w:rsidP="00E05DA6">
      <w:pPr>
        <w:pStyle w:val="NormalWeb"/>
        <w:spacing w:before="0" w:beforeAutospacing="0"/>
        <w:rPr>
          <w:rFonts w:ascii="Arial" w:hAnsi="Arial" w:cs="Arial"/>
          <w:sz w:val="20"/>
          <w:szCs w:val="20"/>
        </w:rPr>
      </w:pPr>
      <w:r>
        <w:rPr>
          <w:rFonts w:ascii="Arial" w:hAnsi="Arial" w:cs="Arial"/>
          <w:sz w:val="20"/>
          <w:szCs w:val="20"/>
        </w:rPr>
        <w:t>La historia macroeconómica de América Latina y de la República Argentina en particular</w:t>
      </w:r>
      <w:r w:rsidR="00A7429E">
        <w:rPr>
          <w:rFonts w:ascii="Arial" w:hAnsi="Arial" w:cs="Arial"/>
          <w:sz w:val="20"/>
          <w:szCs w:val="20"/>
        </w:rPr>
        <w:t xml:space="preserve">, </w:t>
      </w:r>
      <w:r>
        <w:rPr>
          <w:rFonts w:ascii="Arial" w:hAnsi="Arial" w:cs="Arial"/>
          <w:sz w:val="20"/>
          <w:szCs w:val="20"/>
        </w:rPr>
        <w:t xml:space="preserve">está atravesada por un patrón recurrente de dependencia del crédito externo, vulnerabilidad ante la interrupción repentina del flujo de capitales (sudden stops) y crisis de impago soberano (Comín </w:t>
      </w:r>
      <w:proofErr w:type="spellStart"/>
      <w:r>
        <w:rPr>
          <w:rFonts w:ascii="Arial" w:hAnsi="Arial" w:cs="Arial"/>
          <w:sz w:val="20"/>
          <w:szCs w:val="20"/>
        </w:rPr>
        <w:t>Comín</w:t>
      </w:r>
      <w:proofErr w:type="spellEnd"/>
      <w:r>
        <w:rPr>
          <w:rFonts w:ascii="Arial" w:hAnsi="Arial" w:cs="Arial"/>
          <w:sz w:val="20"/>
          <w:szCs w:val="20"/>
        </w:rPr>
        <w:t xml:space="preserve">, 2014, Reinhart &amp; Rogoff, 2009). En el caso argentino, la inestabilidad en el acceso al crédito internacional manifestada </w:t>
      </w:r>
      <w:r w:rsidR="00A7429E">
        <w:rPr>
          <w:rFonts w:ascii="Arial" w:hAnsi="Arial" w:cs="Arial"/>
          <w:sz w:val="20"/>
          <w:szCs w:val="20"/>
        </w:rPr>
        <w:t>en</w:t>
      </w:r>
      <w:r>
        <w:rPr>
          <w:rFonts w:ascii="Arial" w:hAnsi="Arial" w:cs="Arial"/>
          <w:sz w:val="20"/>
          <w:szCs w:val="20"/>
        </w:rPr>
        <w:t xml:space="preserve"> el default de 2001 y la reestructuración de 2020</w:t>
      </w:r>
      <w:r w:rsidR="00A7429E">
        <w:rPr>
          <w:rFonts w:ascii="Arial" w:hAnsi="Arial" w:cs="Arial"/>
          <w:sz w:val="20"/>
          <w:szCs w:val="20"/>
        </w:rPr>
        <w:t>,</w:t>
      </w:r>
      <w:r>
        <w:rPr>
          <w:rFonts w:ascii="Arial" w:hAnsi="Arial" w:cs="Arial"/>
          <w:sz w:val="20"/>
          <w:szCs w:val="20"/>
        </w:rPr>
        <w:t xml:space="preserve"> ha dejado en evidencia la vulnerabilidad</w:t>
      </w:r>
      <w:r>
        <w:t xml:space="preserve"> </w:t>
      </w:r>
      <w:r>
        <w:rPr>
          <w:rFonts w:ascii="Arial" w:hAnsi="Arial" w:cs="Arial"/>
          <w:sz w:val="20"/>
          <w:szCs w:val="20"/>
        </w:rPr>
        <w:t>de una economía</w:t>
      </w:r>
      <w:r w:rsidR="00A7429E">
        <w:rPr>
          <w:rFonts w:ascii="Arial" w:hAnsi="Arial" w:cs="Arial"/>
          <w:sz w:val="20"/>
          <w:szCs w:val="20"/>
        </w:rPr>
        <w:t>,</w:t>
      </w:r>
      <w:r>
        <w:rPr>
          <w:rFonts w:ascii="Arial" w:hAnsi="Arial" w:cs="Arial"/>
          <w:sz w:val="20"/>
          <w:szCs w:val="20"/>
        </w:rPr>
        <w:t xml:space="preserve"> condicionada por la restricción externa de divisas</w:t>
      </w:r>
      <w:r>
        <w:rPr>
          <w:sz w:val="20"/>
          <w:szCs w:val="20"/>
        </w:rPr>
        <w:t>.</w:t>
      </w:r>
      <w:r>
        <w:rPr>
          <w:rFonts w:ascii="Arial" w:hAnsi="Arial" w:cs="Arial"/>
          <w:sz w:val="20"/>
          <w:szCs w:val="20"/>
        </w:rPr>
        <w:t xml:space="preserve"> En la coyuntura actual, la administración ingresante enfrenta un escenario de restricciones simultáneas: la recepción de un elevado stock de pasivos externos, la ausencia de crédito voluntario en los mercados financieros exteriores y un cronograma de vencimientos concentrado en el corto plazo en moneda extranjera. </w:t>
      </w:r>
    </w:p>
    <w:p w14:paraId="64432FBD" w14:textId="0654D009" w:rsidR="00E05DA6" w:rsidRPr="00D55A96" w:rsidRDefault="00735B84" w:rsidP="00E05DA6">
      <w:pPr>
        <w:pStyle w:val="NormalWeb"/>
        <w:spacing w:before="0" w:beforeAutospacing="0"/>
        <w:rPr>
          <w:rFonts w:ascii="Arial" w:hAnsi="Arial" w:cs="Arial"/>
          <w:sz w:val="20"/>
          <w:szCs w:val="20"/>
        </w:rPr>
      </w:pPr>
      <w:r>
        <w:rPr>
          <w:rFonts w:ascii="Arial" w:hAnsi="Arial" w:cs="Arial"/>
          <w:sz w:val="20"/>
          <w:szCs w:val="20"/>
        </w:rPr>
        <w:t xml:space="preserve">Frente a esta coyuntura, surge la necesidad de evaluar si la consecución de un superávit fiscal primario y la voluntad política de pago bastan para asegurar la sostenibilidad de la deuda en el mediano plazo, o si, por el contrario, los determinantes estructurales de la economía argentina condicionan el resultado fiscal e incrementan la probabilidad de un nuevo </w:t>
      </w:r>
      <w:r>
        <w:rPr>
          <w:rFonts w:ascii="Arial" w:hAnsi="Arial" w:cs="Arial"/>
          <w:i/>
          <w:iCs/>
          <w:sz w:val="20"/>
          <w:szCs w:val="20"/>
        </w:rPr>
        <w:t>default</w:t>
      </w:r>
      <w:r>
        <w:rPr>
          <w:rFonts w:ascii="Arial" w:hAnsi="Arial" w:cs="Arial"/>
          <w:sz w:val="20"/>
          <w:szCs w:val="20"/>
        </w:rPr>
        <w:t xml:space="preserve"> o reestructuración soberana. </w:t>
      </w:r>
      <w:r w:rsidRPr="004E4D45">
        <w:rPr>
          <w:rFonts w:ascii="Arial" w:hAnsi="Arial" w:cs="Arial"/>
          <w:sz w:val="20"/>
          <w:szCs w:val="20"/>
        </w:rPr>
        <w:t xml:space="preserve">Ante la premisa de que la consolidación presupuestaria constituye una condición suficiente para disipar el riesgo de impago, la literatura sugiere que la solvencia de la deuda soberana no depende exclusivamente del saldo fiscal primario (Ando et al., 2024). Por el contrario, la sostenibilidad se encuentra condicionada por la capacidad estructural de generación de divisas (Reinhart et al., 2003), los efectos de valoración patrimonial derivados del tipo de cambio real sobre pasivos dolarizados (Calvo et al., 2003), la volatilidad de los </w:t>
      </w:r>
      <w:r w:rsidRPr="004E4D45">
        <w:rPr>
          <w:rFonts w:ascii="Arial" w:hAnsi="Arial" w:cs="Arial"/>
          <w:i/>
          <w:iCs/>
          <w:sz w:val="20"/>
          <w:szCs w:val="20"/>
        </w:rPr>
        <w:t>spreads</w:t>
      </w:r>
      <w:r w:rsidRPr="004E4D45">
        <w:rPr>
          <w:rFonts w:ascii="Arial" w:hAnsi="Arial" w:cs="Arial"/>
          <w:sz w:val="20"/>
          <w:szCs w:val="20"/>
        </w:rPr>
        <w:t xml:space="preserve"> de riesgo país ante shocks financieros exógenos (Adler &amp; Sosa, 2014) y los límites de absorción política e institucional que impone la fatiga fiscal ante ajustes prolongados (Mendoza &amp; Oviedo, 2007).</w:t>
      </w:r>
    </w:p>
    <w:p w14:paraId="7F3759A5" w14:textId="77777777" w:rsidR="00ED4BA0" w:rsidRPr="00ED4BA0" w:rsidRDefault="00ED4BA0" w:rsidP="00ED4BA0">
      <w:pPr>
        <w:pStyle w:val="NormalWeb"/>
        <w:rPr>
          <w:rFonts w:ascii="Arial" w:hAnsi="Arial" w:cs="Arial"/>
          <w:sz w:val="20"/>
          <w:szCs w:val="20"/>
        </w:rPr>
      </w:pPr>
      <w:r>
        <w:rPr>
          <w:rFonts w:ascii="Arial" w:hAnsi="Arial" w:cs="Arial"/>
          <w:sz w:val="20"/>
          <w:szCs w:val="20"/>
        </w:rPr>
        <w:t>Se plantea como pregunta principal: ¿En qué medida los determinantes macroeconómicos históricos de Argentina (1996–2025) condicionan la sostenibilidad intertemporal estocástica de su deuda pública consolidada (SPNF y BCRA) en el horizonte 2026–2035, y en qué medida la trayectoria proyectada ofrece un margen de solvencia suficiente para honrar los compromisos financieros y resistir shocks externos?</w:t>
      </w:r>
    </w:p>
    <w:p w14:paraId="2012ECF4" w14:textId="58C2252C" w:rsidR="004E4D45" w:rsidRDefault="002533FA" w:rsidP="00ED4BA0">
      <w:pPr>
        <w:pStyle w:val="NormalWeb"/>
        <w:rPr>
          <w:rStyle w:val="cf01"/>
        </w:rPr>
      </w:pPr>
      <w:r>
        <w:rPr>
          <w:rFonts w:ascii="Arial" w:hAnsi="Arial" w:cs="Arial"/>
          <w:sz w:val="20"/>
          <w:szCs w:val="20"/>
        </w:rPr>
        <w:t>Como interrogante específico, se plantea: ¿cómo y en qué magnitud impactaría un shock de endurecimiento de la tasa de la Reserva Federal (FED) sobre la dinámica de la deuda pública consolidada argentina y su probabilidad de insolvencia durante el período 2026–2035? La elección de esta perturbación se fundamenta en que opera de manera simultánea sobre cuatro canales críticos: encarece el financiamiento externo y eleva el riesgo soberano (Garud, 202</w:t>
      </w:r>
      <w:r w:rsidR="004E4D45">
        <w:rPr>
          <w:rFonts w:ascii="Arial" w:hAnsi="Arial" w:cs="Arial"/>
          <w:sz w:val="20"/>
          <w:szCs w:val="20"/>
        </w:rPr>
        <w:t>5</w:t>
      </w:r>
      <w:r>
        <w:rPr>
          <w:rFonts w:ascii="Arial" w:hAnsi="Arial" w:cs="Arial"/>
          <w:sz w:val="20"/>
          <w:szCs w:val="20"/>
        </w:rPr>
        <w:t xml:space="preserve">; Klemm, Meier &amp; Sosa, 2014); desencadena una depreciación del tipo de cambio real, con efectos de valoración patrimonial sobre los pasivos dolarizados (Adler &amp; Sosa, 2014; Calvo, Izquierdo &amp; Talvi, 2003); </w:t>
      </w:r>
      <w:r w:rsidR="004E4D45" w:rsidRPr="004E4D45">
        <w:rPr>
          <w:rFonts w:ascii="Arial" w:hAnsi="Arial" w:cs="Arial"/>
          <w:sz w:val="20"/>
          <w:szCs w:val="20"/>
        </w:rPr>
        <w:t>deprime el crecimiento y, con ello, deteriora el diferencial tasa-crecimiento (Blanchard, 2019; Neumeyer &amp; Perri, 2005; Uribe &amp; Yue, 2006); y presiona al alza las tasas de interés domésticas (Renzhi &amp; Beirne, 2024), lo que incrementa la carga cuasifiscal del Banco Central a través del costo de sus pasivos remunerados.</w:t>
      </w:r>
    </w:p>
    <w:p w14:paraId="36BDD980" w14:textId="4809190D" w:rsidR="00ED4BA0" w:rsidRPr="00ED4BA0" w:rsidRDefault="00ED4BA0" w:rsidP="00ED4BA0">
      <w:pPr>
        <w:pStyle w:val="NormalWeb"/>
        <w:rPr>
          <w:rFonts w:ascii="Arial" w:hAnsi="Arial" w:cs="Arial"/>
          <w:sz w:val="20"/>
          <w:szCs w:val="20"/>
        </w:rPr>
      </w:pPr>
      <w:r>
        <w:rPr>
          <w:rFonts w:ascii="Arial" w:hAnsi="Arial" w:cs="Arial"/>
          <w:sz w:val="20"/>
          <w:szCs w:val="20"/>
        </w:rPr>
        <w:t>De estas interrogantes se desprende el objetivo principal del trabajo: evaluar la dinámica de la deuda pública consolidada argentina (Sector Público No Financiero y Banco Central) a partir de sus determinantes macroeconómicos históricos (1996–2025) para proyectar su sostenibilidad intertemporal estocástica en el horizonte 2026–2035, determinando si la trayectoria fiscal y macroeconómica proyectada ofrece un margen de solvencia suficiente para honrar los compromisos financieros y resistir shocks externos.</w:t>
      </w:r>
    </w:p>
    <w:p w14:paraId="1706B25D" w14:textId="453857E0" w:rsidR="00ED4BA0" w:rsidRDefault="00ED4BA0" w:rsidP="00ED4BA0">
      <w:pPr>
        <w:pStyle w:val="NormalWeb"/>
        <w:spacing w:before="0" w:beforeAutospacing="0"/>
        <w:rPr>
          <w:rFonts w:ascii="Arial" w:hAnsi="Arial" w:cs="Arial"/>
          <w:sz w:val="20"/>
          <w:szCs w:val="20"/>
        </w:rPr>
      </w:pPr>
      <w:r>
        <w:rPr>
          <w:rFonts w:ascii="Arial" w:hAnsi="Arial" w:cs="Arial"/>
          <w:sz w:val="20"/>
          <w:szCs w:val="20"/>
        </w:rPr>
        <w:t>Como objetivo específico, se busca estimar el impacto de un shock de endurecimiento de la tasa de la Reserva Federal (FED) sobre la dinámica de la deuda pública consolidada argentina y su probabilidad de insolvencia durante el período 2026–2035.</w:t>
      </w:r>
    </w:p>
    <w:p w14:paraId="31624C45" w14:textId="77777777" w:rsidR="003F0634" w:rsidRDefault="00000000">
      <w:pPr>
        <w:pStyle w:val="NormalWeb"/>
        <w:spacing w:before="0" w:beforeAutospacing="0"/>
        <w:rPr>
          <w:rFonts w:ascii="Arial" w:hAnsi="Arial" w:cs="Arial"/>
          <w:sz w:val="20"/>
          <w:szCs w:val="20"/>
        </w:rPr>
      </w:pPr>
      <w:r>
        <w:rPr>
          <w:rFonts w:ascii="Arial" w:hAnsi="Arial" w:cs="Arial"/>
          <w:sz w:val="20"/>
          <w:szCs w:val="20"/>
        </w:rPr>
        <w:lastRenderedPageBreak/>
        <w:t>Con base en lo anterior, se formulan las siguientes hipótesis de trabajo:</w:t>
      </w:r>
    </w:p>
    <w:p w14:paraId="2314C5A4" w14:textId="77777777" w:rsidR="003F0634" w:rsidRDefault="00000000">
      <w:pPr>
        <w:pStyle w:val="NormalWeb"/>
        <w:spacing w:before="0" w:beforeAutospacing="0"/>
        <w:rPr>
          <w:rFonts w:ascii="Arial" w:hAnsi="Arial" w:cs="Arial"/>
          <w:sz w:val="20"/>
          <w:szCs w:val="20"/>
        </w:rPr>
      </w:pPr>
      <w:r>
        <w:rPr>
          <w:rFonts w:ascii="Arial" w:hAnsi="Arial" w:cs="Arial"/>
          <w:b/>
          <w:bCs/>
          <w:sz w:val="20"/>
          <w:szCs w:val="20"/>
        </w:rPr>
        <w:t xml:space="preserve">H1a. </w:t>
      </w:r>
      <w:r>
        <w:rPr>
          <w:rFonts w:ascii="Arial" w:hAnsi="Arial" w:cs="Arial"/>
          <w:sz w:val="20"/>
          <w:szCs w:val="20"/>
        </w:rPr>
        <w:t xml:space="preserve">Los determinantes macroeconómicos históricos de Argentina (1996–2025) </w:t>
      </w:r>
      <w:r>
        <w:rPr>
          <w:rFonts w:ascii="Arial" w:hAnsi="Arial" w:cs="Arial"/>
          <w:sz w:val="20"/>
          <w:szCs w:val="20"/>
          <w:highlight w:val="yellow"/>
        </w:rPr>
        <w:t>[COMPLETAR: variables que entran en el modelo, p. ej. tipo de cambio real, riesgo país, crecimiento, resultado primario]</w:t>
      </w:r>
      <w:r>
        <w:rPr>
          <w:rFonts w:ascii="Arial" w:hAnsi="Arial" w:cs="Arial"/>
          <w:sz w:val="20"/>
          <w:szCs w:val="20"/>
        </w:rPr>
        <w:t xml:space="preserve"> condicionan la sostenibilidad de la deuda pública consolidada (SPNF y BCRA), de modo que el superávit primario, por sí solo, no basta para estabilizarla en 2026–2035.</w:t>
      </w:r>
    </w:p>
    <w:p w14:paraId="5CDA97A2" w14:textId="77777777" w:rsidR="003F0634" w:rsidRDefault="00000000">
      <w:pPr>
        <w:pStyle w:val="NormalWeb"/>
        <w:spacing w:before="0" w:beforeAutospacing="0"/>
        <w:rPr>
          <w:rFonts w:ascii="Arial" w:hAnsi="Arial" w:cs="Arial"/>
          <w:sz w:val="20"/>
          <w:szCs w:val="20"/>
        </w:rPr>
      </w:pPr>
      <w:r>
        <w:rPr>
          <w:rFonts w:ascii="Arial" w:hAnsi="Arial" w:cs="Arial"/>
          <w:b/>
          <w:bCs/>
          <w:sz w:val="20"/>
          <w:szCs w:val="20"/>
        </w:rPr>
        <w:t xml:space="preserve">H1b. </w:t>
      </w:r>
      <w:r>
        <w:rPr>
          <w:rFonts w:ascii="Arial" w:hAnsi="Arial" w:cs="Arial"/>
          <w:sz w:val="20"/>
          <w:szCs w:val="20"/>
        </w:rPr>
        <w:t xml:space="preserve">La trayectoria proyectada no ofrece un margen de solvencia suficiente para honrar los compromisos financieros y resistir shocks externos: la probabilidad simulada de </w:t>
      </w:r>
      <w:r>
        <w:rPr>
          <w:rFonts w:ascii="Arial" w:hAnsi="Arial" w:cs="Arial"/>
          <w:sz w:val="20"/>
          <w:szCs w:val="20"/>
          <w:highlight w:val="yellow"/>
        </w:rPr>
        <w:t xml:space="preserve">[COMPLETAR: criterio de insolvencia, p. ej. que </w:t>
      </w:r>
      <w:proofErr w:type="gramStart"/>
      <w:r>
        <w:rPr>
          <w:rFonts w:ascii="Arial" w:hAnsi="Arial" w:cs="Arial"/>
          <w:sz w:val="20"/>
          <w:szCs w:val="20"/>
          <w:highlight w:val="yellow"/>
        </w:rPr>
        <w:t>el ratio</w:t>
      </w:r>
      <w:proofErr w:type="gramEnd"/>
      <w:r>
        <w:rPr>
          <w:rFonts w:ascii="Arial" w:hAnsi="Arial" w:cs="Arial"/>
          <w:sz w:val="20"/>
          <w:szCs w:val="20"/>
          <w:highlight w:val="yellow"/>
        </w:rPr>
        <w:t xml:space="preserve"> deuda/PBI supere X% en 2035]</w:t>
      </w:r>
      <w:r>
        <w:rPr>
          <w:rFonts w:ascii="Arial" w:hAnsi="Arial" w:cs="Arial"/>
          <w:sz w:val="20"/>
          <w:szCs w:val="20"/>
        </w:rPr>
        <w:t xml:space="preserve"> excede </w:t>
      </w:r>
      <w:r>
        <w:rPr>
          <w:rFonts w:ascii="Arial" w:hAnsi="Arial" w:cs="Arial"/>
          <w:sz w:val="20"/>
          <w:szCs w:val="20"/>
          <w:highlight w:val="yellow"/>
        </w:rPr>
        <w:t>[COMPLETAR: umbral]</w:t>
      </w:r>
      <w:r>
        <w:rPr>
          <w:rFonts w:ascii="Arial" w:hAnsi="Arial" w:cs="Arial"/>
          <w:sz w:val="20"/>
          <w:szCs w:val="20"/>
        </w:rPr>
        <w:t xml:space="preserve"> en el escenario base y aumenta ante shocks externos.</w:t>
      </w:r>
    </w:p>
    <w:p w14:paraId="70CF554F" w14:textId="77777777" w:rsidR="003F0634" w:rsidRDefault="00000000">
      <w:pPr>
        <w:pStyle w:val="NormalWeb"/>
        <w:spacing w:before="0" w:beforeAutospacing="0"/>
        <w:rPr>
          <w:rFonts w:ascii="Arial" w:hAnsi="Arial" w:cs="Arial"/>
          <w:sz w:val="20"/>
          <w:szCs w:val="20"/>
        </w:rPr>
      </w:pPr>
      <w:r>
        <w:rPr>
          <w:rFonts w:ascii="Arial" w:hAnsi="Arial" w:cs="Arial"/>
          <w:b/>
          <w:bCs/>
          <w:sz w:val="20"/>
          <w:szCs w:val="20"/>
        </w:rPr>
        <w:t xml:space="preserve">H2. </w:t>
      </w:r>
      <w:r>
        <w:rPr>
          <w:rFonts w:ascii="Arial" w:hAnsi="Arial" w:cs="Arial"/>
          <w:sz w:val="20"/>
          <w:szCs w:val="20"/>
        </w:rPr>
        <w:t>Un shock de endurecimiento de la tasa de la FED incrementa la deuda pública consolidada y su probabilidad de insolvencia durante 2026–2035, a través del riesgo soberano, la depreciación del tipo de cambio real, el menor crecimiento y el costo cuasifiscal.</w:t>
      </w:r>
    </w:p>
    <w:p w14:paraId="5D08ADDC" w14:textId="77777777" w:rsidR="003F0634" w:rsidRDefault="00000000">
      <w:pPr>
        <w:pStyle w:val="NormalWeb"/>
        <w:spacing w:before="0" w:beforeAutospacing="0"/>
        <w:rPr>
          <w:rFonts w:ascii="Arial" w:hAnsi="Arial" w:cs="Arial"/>
          <w:sz w:val="20"/>
          <w:szCs w:val="20"/>
        </w:rPr>
      </w:pPr>
      <w:r>
        <w:rPr>
          <w:rFonts w:ascii="Arial" w:hAnsi="Arial" w:cs="Arial"/>
          <w:sz w:val="20"/>
          <w:szCs w:val="20"/>
        </w:rPr>
        <w:t>Para contrastar estas hipótesis se estima un modelo SVARX con datos históricos de Argentina (1996–2025), cuyos resultados alimentan simulaciones de Monte Carlo que generan distribuciones de probabilidad sobre la trayectoria de la deuda pública consolidada en el horizonte 2026–2035.</w:t>
      </w:r>
    </w:p>
    <w:p w14:paraId="7A4C14F1" w14:textId="2EC7D7AB" w:rsidR="00B55618" w:rsidRPr="00B55618" w:rsidRDefault="00B55618" w:rsidP="00ED4BA0">
      <w:pPr>
        <w:pStyle w:val="NormalWeb"/>
        <w:numPr>
          <w:ilvl w:val="0"/>
          <w:numId w:val="23"/>
        </w:numPr>
        <w:spacing w:before="0" w:beforeAutospacing="0"/>
        <w:rPr>
          <w:rFonts w:ascii="Arial" w:hAnsi="Arial" w:cs="Arial"/>
          <w:kern w:val="36"/>
        </w:rPr>
      </w:pPr>
      <w:r>
        <w:rPr>
          <w:rFonts w:ascii="Arial" w:hAnsi="Arial" w:cs="Arial"/>
          <w:kern w:val="36"/>
        </w:rPr>
        <w:t>Antecedentes</w:t>
      </w:r>
    </w:p>
    <w:p w14:paraId="522173B6" w14:textId="77777777" w:rsidR="00F96455" w:rsidRDefault="00F96455" w:rsidP="00B55618">
      <w:pPr>
        <w:spacing w:before="100" w:beforeAutospacing="1" w:after="100" w:afterAutospacing="1" w:line="240" w:lineRule="auto"/>
        <w:rPr>
          <w:rFonts w:ascii="Arial" w:eastAsia="Times New Roman" w:hAnsi="Arial" w:cs="Arial"/>
          <w:kern w:val="0"/>
          <w:sz w:val="20"/>
          <w:szCs w:val="20"/>
          <w:lang w:eastAsia="es-AR"/>
          <w14:ligatures w14:val="none"/>
        </w:rPr>
      </w:pPr>
      <w:r w:rsidRPr="00F96455">
        <w:rPr>
          <w:rFonts w:ascii="Arial" w:eastAsia="Times New Roman" w:hAnsi="Arial" w:cs="Arial"/>
          <w:kern w:val="0"/>
          <w:sz w:val="20"/>
          <w:szCs w:val="20"/>
          <w:lang w:eastAsia="es-AR"/>
          <w14:ligatures w14:val="none"/>
        </w:rPr>
        <w:t>La literatura empírica sobre sostenibilidad de deuda soberana se desplazó, en las últimas dos décadas, desde las proyecciones determinísticas de un único escenario base hacia ejercicios de simulación estocástica capaces de generar distribuciones de probabilidad sobre la trayectoria de la deuda. El punto de partida de este giro hacia los gráficos de abanico (</w:t>
      </w:r>
      <w:proofErr w:type="spellStart"/>
      <w:r w:rsidRPr="00F96455">
        <w:rPr>
          <w:rFonts w:ascii="Arial" w:eastAsia="Times New Roman" w:hAnsi="Arial" w:cs="Arial"/>
          <w:kern w:val="0"/>
          <w:sz w:val="20"/>
          <w:szCs w:val="20"/>
          <w:lang w:eastAsia="es-AR"/>
          <w14:ligatures w14:val="none"/>
        </w:rPr>
        <w:t>fancharts</w:t>
      </w:r>
      <w:proofErr w:type="spellEnd"/>
      <w:r w:rsidRPr="00F96455">
        <w:rPr>
          <w:rFonts w:ascii="Arial" w:eastAsia="Times New Roman" w:hAnsi="Arial" w:cs="Arial"/>
          <w:kern w:val="0"/>
          <w:sz w:val="20"/>
          <w:szCs w:val="20"/>
          <w:lang w:eastAsia="es-AR"/>
          <w14:ligatures w14:val="none"/>
        </w:rPr>
        <w:t xml:space="preserve">) en organismos multilaterales se encuentra en los desarrollos pioneros del Fondo Monetario Internacional (FMI; </w:t>
      </w:r>
      <w:proofErr w:type="spellStart"/>
      <w:r w:rsidRPr="00F96455">
        <w:rPr>
          <w:rFonts w:ascii="Arial" w:eastAsia="Times New Roman" w:hAnsi="Arial" w:cs="Arial"/>
          <w:kern w:val="0"/>
          <w:sz w:val="20"/>
          <w:szCs w:val="20"/>
          <w:lang w:eastAsia="es-AR"/>
          <w14:ligatures w14:val="none"/>
        </w:rPr>
        <w:t>Celasun</w:t>
      </w:r>
      <w:proofErr w:type="spellEnd"/>
      <w:r w:rsidRPr="00F96455">
        <w:rPr>
          <w:rFonts w:ascii="Arial" w:eastAsia="Times New Roman" w:hAnsi="Arial" w:cs="Arial"/>
          <w:kern w:val="0"/>
          <w:sz w:val="20"/>
          <w:szCs w:val="20"/>
          <w:lang w:eastAsia="es-AR"/>
          <w14:ligatures w14:val="none"/>
        </w:rPr>
        <w:t xml:space="preserve"> et al., 2006) y en el trabajo de Medeiros (2012), quien, desde la Comisión Europea, combinó un modelo VAR con una función de reacción fiscal (FRF) de panel para quince países de la Unión Europea y simuló miles de trayectorias de deuda/PIB. Su especificación empírica recogió la hipótesis de fatiga fiscal —según la cual la respuesta del superávit primario se debilita ante niveles elevados de deuda (Ghosh et al., 2013)—, una noción que fue absorbida en los marcos de evaluación de solvencia europeos (Bouabdallah et al., 2017). Por su parte, el FMI consolidó este enfoque probabilístico en su Marco de Riesgo Soberano y Sostenibilidad de la Deuda (SRDSF; FMI, 2021, 2022), que complementa el </w:t>
      </w:r>
      <w:proofErr w:type="spellStart"/>
      <w:r w:rsidRPr="00F96455">
        <w:rPr>
          <w:rFonts w:ascii="Arial" w:eastAsia="Times New Roman" w:hAnsi="Arial" w:cs="Arial"/>
          <w:kern w:val="0"/>
          <w:sz w:val="20"/>
          <w:szCs w:val="20"/>
          <w:lang w:eastAsia="es-AR"/>
          <w14:ligatures w14:val="none"/>
        </w:rPr>
        <w:t>fanchart</w:t>
      </w:r>
      <w:proofErr w:type="spellEnd"/>
      <w:r w:rsidRPr="00F96455">
        <w:rPr>
          <w:rFonts w:ascii="Arial" w:eastAsia="Times New Roman" w:hAnsi="Arial" w:cs="Arial"/>
          <w:kern w:val="0"/>
          <w:sz w:val="20"/>
          <w:szCs w:val="20"/>
          <w:lang w:eastAsia="es-AR"/>
          <w14:ligatures w14:val="none"/>
        </w:rPr>
        <w:t xml:space="preserve"> estocástico con herramientas estandarizadas de realismo sobre el balance primario y se aplicó a la evaluación de la deuda argentina en la Octava Revisión del Servicio Ampliado (FMI, 2024).</w:t>
      </w:r>
    </w:p>
    <w:p w14:paraId="63CBFB04" w14:textId="0BE45870"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sectPr w:rsidR="00B55618" w:rsidRPr="00B55618">
          <w:footerReference w:type="default" r:id="rId7"/>
          <w:pgSz w:w="12240" w:h="15840"/>
          <w:pgMar w:top="1417" w:right="1701" w:bottom="1417" w:left="1701" w:header="708" w:footer="708" w:gutter="0"/>
          <w:cols w:space="708"/>
          <w:docGrid w:linePitch="360"/>
        </w:sectPr>
      </w:pPr>
      <w:r>
        <w:rPr>
          <w:rFonts w:ascii="Arial" w:eastAsia="Times New Roman" w:hAnsi="Arial" w:cs="Arial"/>
          <w:kern w:val="0"/>
          <w:sz w:val="20"/>
          <w:szCs w:val="20"/>
          <w:lang w:eastAsia="es-AR"/>
          <w14:ligatures w14:val="none"/>
        </w:rPr>
        <w:t>Esa misma "fatiga fiscal" fue puesta en discusión por Everaert y Jansen (2018), quienes retomaron el panel de países de la OCDE (1970-2014) que sirve de base a buena parte de esta literatura y testearon si el patrón no lineal de Medeiros (2012) era una regularidad de comportamiento genuina o un artefacto de agregar países heterogéneos en un único panel. Usando el estimador Mean Group de Pesaran y Smith, que permite una pendiente de reacción fiscal distinta para cada país en lugar de imponer un coeficiente común, encontraron heterogeneidad significativa: la fatiga fiscal no es una característica compartida por todos los países del panel, sino el promedio estadístico de comportamientos fiscales muy distintos entre sí. La implicancia directa para cualquier ejercicio de simulación aplicado a un país individual —y en particular a Argentina— es que la FRF panel estimada sobre economías avanzadas o de la Unión Europea no es transferible sin más: la propia arquitectura del marco FMI aplicado a Argentina hereda parámetros de comportamiento fiscal calibrados sobre un grupo de países con marcos de disciplina institucional (Pacto de Estabilidad, vigilancia de la Comisión Europea) ausentes en el caso argentino.</w:t>
      </w:r>
    </w:p>
    <w:p w14:paraId="2A7A9B44"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lastRenderedPageBreak/>
        <w:t>Un segundo cuerpo de literatura empírica trasladó el problema de sostenibilidad a economías emergentes expuestas a shocks externos de términos de intercambio y a interrupciones súbitas del financiamiento. Adler y Sosa (2014), dentro del volumen editado por el FMI sobre América Latina, estimaron modelos VAR globales (GVAR) y de panel (PVAR) para un conjunto de países de la región, introduciendo como variable exógena internacional el Índice de Precios Netos de Materias Primas (NCPI) desarrollado por Adler y Magud (2014), que pondera cada commodity por la posición neta exportadora o importadora del país. El resultado empírico central de ese ejercicio —que más de la mitad de la variabilidad de las entradas de capital de corto plazo a economías como la argentina responde a condiciones internacionales (tasa de la Reserva Federal, índice VIX) y no a variables de atracción local— reforzó la idea de que la sostenibilidad de la deuda en la región depende en gran medida de factores push ajenos a la política doméstica. El mismo estudio documentó, sin embargo, una asimetría específica de Argentina: mientras que en economías desarrolladas los residentes repatrían activos externos para amortiguar una crisis, en el caso argentino el capital residente tiende a sumarse a la salida, amplificando en lugar de atenuar la inestabilidad financiera.</w:t>
      </w:r>
    </w:p>
    <w:p w14:paraId="3CA35C2A"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En paralelo, la literatura de sistemas de alerta temprana </w:t>
      </w:r>
      <w:r>
        <w:rPr>
          <w:rFonts w:ascii="Arial" w:eastAsia="Times New Roman" w:hAnsi="Arial" w:cs="Arial"/>
          <w:i/>
          <w:iCs/>
          <w:kern w:val="0"/>
          <w:sz w:val="20"/>
          <w:szCs w:val="20"/>
          <w:lang w:eastAsia="es-AR"/>
          <w14:ligatures w14:val="none"/>
        </w:rPr>
        <w:t>(early warning systems)</w:t>
      </w:r>
      <w:r>
        <w:rPr>
          <w:rFonts w:ascii="Arial" w:eastAsia="Times New Roman" w:hAnsi="Arial" w:cs="Arial"/>
          <w:kern w:val="0"/>
          <w:sz w:val="20"/>
          <w:szCs w:val="20"/>
          <w:lang w:eastAsia="es-AR"/>
          <w14:ligatures w14:val="none"/>
        </w:rPr>
        <w:t xml:space="preserve"> buscó, con una estrategia metodológica distinta —no explicar mecanismos, sino maximizar poder predictivo—, anticipar crisis de deuda soberana. Wijayanti y Rachmanira (2020) aplicaron el ratio de ruido a señal de Kaminsky, Lizondo y Reinhart y una regresión logística binomial sobre un panel de 43 países en desarrollo entre 1960 y 2017, logrando predecir el 61.5% de las crisis de deuda con dos años de anticipación bajo un umbral de probabilidad del 30%. El resultado, moderado pero no trivial, expone una tensión metodológica relevante para cualquier trabajo que se apoye en el marco del FMI: los sistemas de alerta temprana están diseñados para maximizar poder predictivo agregado sobre un panel amplio de países, mientras que el </w:t>
      </w:r>
      <w:r>
        <w:rPr>
          <w:rFonts w:ascii="Arial" w:eastAsia="Times New Roman" w:hAnsi="Arial" w:cs="Arial"/>
          <w:i/>
          <w:iCs/>
          <w:kern w:val="0"/>
          <w:sz w:val="20"/>
          <w:szCs w:val="20"/>
          <w:lang w:eastAsia="es-AR"/>
          <w14:ligatures w14:val="none"/>
        </w:rPr>
        <w:t>fanchart</w:t>
      </w:r>
      <w:r>
        <w:rPr>
          <w:rFonts w:ascii="Arial" w:eastAsia="Times New Roman" w:hAnsi="Arial" w:cs="Arial"/>
          <w:kern w:val="0"/>
          <w:sz w:val="20"/>
          <w:szCs w:val="20"/>
          <w:lang w:eastAsia="es-AR"/>
          <w14:ligatures w14:val="none"/>
        </w:rPr>
        <w:t xml:space="preserve"> estocástico del SRDSF busca representar la distribución de riesgo de un país específico; ambos abordajes pueden, y de hecho suelen, dar señales distintas frente a un mismo episodio.</w:t>
      </w:r>
    </w:p>
    <w:p w14:paraId="621396A4"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sectPr w:rsidR="00B55618" w:rsidRPr="00B55618">
          <w:footerReference w:type="default" r:id="rId8"/>
          <w:pgSz w:w="12240" w:h="15840"/>
          <w:pgMar w:top="1417" w:right="1701" w:bottom="1417" w:left="1701" w:header="708" w:footer="708" w:gutter="0"/>
          <w:cols w:space="708"/>
          <w:docGrid w:linePitch="360"/>
        </w:sectPr>
      </w:pPr>
      <w:r>
        <w:rPr>
          <w:rFonts w:ascii="Arial" w:eastAsia="Times New Roman" w:hAnsi="Arial" w:cs="Arial"/>
          <w:kern w:val="0"/>
          <w:sz w:val="20"/>
          <w:szCs w:val="20"/>
          <w:lang w:eastAsia="es-AR"/>
          <w14:ligatures w14:val="none"/>
        </w:rPr>
        <w:t>Dentro de la literatura específicamente centrada en Argentina, dos trabajos independientes, con instrumentos metodológicos casi opuestos, llegaron a diagnósticos convergentes en la antesala de la crisis de 2001-2002. Cetrángolo, Damill, Frenkel y Jiménez (1997) reconstruyeron el esquema ahorro-inversión del Sector Público Nacional no Financiero para 1975-1996, desagregaron el presupuesto en ocho rubros de ingresos y siete de gasto, vincularon cada uno a su variable macroeconómica relevante mediante coeficientes fijos, y aplicaron el filtro de Hodrick-Prescott para separar tendencia de ciclo y así calcular un déficit macroeconómicamente ajustado (DMA) y un impulso fiscal (siguiendo la metodología de Blanchard, 1990). Su conclusión fiscal fue tranquilizadora: el riesgo fiscal cíclico bajo Convertibilidad era pequeño (0.3-0.6% del PBI), muy inferior a la volatilidad de los años setenta y ochenta, y la mejora de recaudación 1991-96 era mayoritariamente estructural, no un artefacto del boom económico. Sin embargo, el propio documento advirtió, en su escenario central de proyección para 1997-2001, que el desequilibrio de cuenta corriente externa crecía hasta superar el 7% del PBI hacia 2001, anticipando desde una lente estrictamente fiscal, que el verdadero riesgo no era fiscal sino de sostenibilidad externa.</w:t>
      </w:r>
    </w:p>
    <w:p w14:paraId="2486F430"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lastRenderedPageBreak/>
        <w:t>Calvo, Izquierdo y Talvi (2003), trabajando con un instrumental completamente distinto —contabilidad de balanza de pagos, calibración de elasticidades de demanda de no transables y la identidad estándar de dinámica de deuda—, llegaron a la misma advertencia por otra vía. Su marco "CDM" (economía cerrada, dolarizada y con descalce de balances) mostró que, ante un sudden stop como el desatado por la crisis rusa de 1998, la magnitud del ajuste de tipo de cambio real necesario para restablecer el equilibrio externo dependía críticamente de la apertura comercial y del descalce de moneda de los pasivos: dos rasgos en los que Argentina se ubicaba en el peor extremo posible entre los casos comparados (Argentina, Brasil, Chile, Colombia, Ecuador). El diálogo entre ambos trabajos es directo: uno detecta el problema por el lado del flujo (cuenta corriente), el otro por el lado del stock (descalce patrimonial), y ambos, escritos antes o inmediatamente después del default, coinciden en que el diagnóstico fiscal de corto plazo no bastaba para juzgar la sostenibilidad.</w:t>
      </w:r>
    </w:p>
    <w:p w14:paraId="68528A69"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Dos décadas después, la literatura sobre Argentina se dividió en torno a un problema metodológico específico: si el ratio Deuda/PBI es o no una medida confiable de riesgo cuando media un salto cambiario abrupto. Rodríguez (2023) revisó el financiamiento y la sostenibilidad de la deuda pública argentina entre 2001 y 2022 y mostró que la abrupta caída del ratio Deuda/PBI durante 2003-2011 no reflejó un desendeudamiento estructural, sino un efecto contable de apreciación del tipo de cambio real (el PBI medido en dólares creció más rápido que el stock de deuda). El mismo mecanismo, en sentido inverso, explica por qué el salto cambiario de fines de 2023 llevó mecánicamente el ratio al 156.7% del PBI y disparó, dentro del SRDSF del FMI, una alarma roja de "Riesgo Alto" (ancho de </w:t>
      </w:r>
      <w:r>
        <w:rPr>
          <w:rFonts w:ascii="Arial" w:eastAsia="Times New Roman" w:hAnsi="Arial" w:cs="Arial"/>
          <w:i/>
          <w:iCs/>
          <w:kern w:val="0"/>
          <w:sz w:val="20"/>
          <w:szCs w:val="20"/>
          <w:lang w:eastAsia="es-AR"/>
          <w14:ligatures w14:val="none"/>
        </w:rPr>
        <w:t>fanchart</w:t>
      </w:r>
      <w:r>
        <w:rPr>
          <w:rFonts w:ascii="Arial" w:eastAsia="Times New Roman" w:hAnsi="Arial" w:cs="Arial"/>
          <w:kern w:val="0"/>
          <w:sz w:val="20"/>
          <w:szCs w:val="20"/>
          <w:lang w:eastAsia="es-AR"/>
          <w14:ligatures w14:val="none"/>
        </w:rPr>
        <w:t xml:space="preserve"> de 122.7 puntos) que el propio staff del organismo debió matizar cualitativamente por no reflejar el riesgo real de mediano plazo (FMI, 2024). La controversia queda así planteada de manera explícita entre dos antecedentes: un marco de benchmarking estadístico mecánico (percentiles históricos, umbrales fijos) y una lectura estructural que atribuye buena parte del movimiento del indicador a un efecto de valuación antes que a un cambio genuino de solvencia.</w:t>
      </w:r>
    </w:p>
    <w:p w14:paraId="4194C818"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Levy Yeyati y Sturzenegger (2023) llevaron esta discusión un paso más allá al proponer reemplazar el ratio Deuda/PBI por el patrimonio neto del sector público (valor presente de impuestos menos valor presente de gastos y pasivos explícitos), simulado mediante bootstrap de un VAR de tres variables (PBI, tipo de cambio real, tasa internacional). Aplicado a Argentina, el ejercicio arrojó un patrimonio neto medio de 2.2 veces el PBI sin territorio negativo en la distribución simulada, y un hallazgo llamativo: una devaluación real del 20% apenas mueve ese patrimonio neto (de 2.225 a 2.214 del PBI), porque el mayor costo en dólares de la deuda se compensa con más recaudación de rubros transables y la licuación de gastos en pesos. Este resultado entra en tensión directa con el cálculo tradicional que los propios autores citan de Calvo et al. (2003): bajo el enfoque clásico de descalce de moneda, una devaluación del 50% eleva el ratio Deuda/PBI argentino de 36.5% a 50.8%. Dos antecedentes centrados en el mismo país y el mismo tipo de shock llegan a conclusiones opuestas sobre su severidad fiscal según si el instrumento utilizado es el ratio de deuda o el balance patrimonial completo. Los propios autores advierten, no obstante, que su resultado benigno depende de que Argentina, tras 2001, redujo fuertemente la dolarización de su deuda pública, y que el mismo ejercicio aplicado a la estructura de deuda de 2001 habría arrojado un deterioro fiscal severo ante el mismo shock.</w:t>
      </w:r>
    </w:p>
    <w:p w14:paraId="03CD146B" w14:textId="77777777" w:rsidR="00B55618" w:rsidRPr="00B55618" w:rsidRDefault="00B55618" w:rsidP="00B55618">
      <w:pPr>
        <w:spacing w:before="100" w:beforeAutospacing="1" w:after="100" w:afterAutospacing="1" w:line="240" w:lineRule="auto"/>
        <w:outlineLvl w:val="1"/>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El costo real del evento de default</w:t>
      </w:r>
    </w:p>
    <w:p w14:paraId="35904415" w14:textId="77777777" w:rsidR="00F86676" w:rsidRPr="00F86676" w:rsidRDefault="00F86676" w:rsidP="00BE7E9C">
      <w:pPr>
        <w:spacing w:line="240" w:lineRule="auto"/>
        <w:rPr>
          <w:rFonts w:ascii="Arial" w:hAnsi="Arial" w:cs="Arial"/>
          <w:sz w:val="20"/>
          <w:szCs w:val="20"/>
        </w:rPr>
      </w:pPr>
      <w:r w:rsidRPr="00F86676">
        <w:rPr>
          <w:rFonts w:ascii="Arial" w:hAnsi="Arial" w:cs="Arial"/>
          <w:sz w:val="20"/>
          <w:szCs w:val="20"/>
        </w:rPr>
        <w:t xml:space="preserve">Un último antecedente relevante no discute la sostenibilidad ex ante, sino el costo ex post del evento que estos marcos buscan evitar. Hébert y Schreger (2017) explotaron el litigio </w:t>
      </w:r>
      <w:r w:rsidRPr="00F86676">
        <w:rPr>
          <w:rStyle w:val="nfasis"/>
          <w:rFonts w:ascii="Arial" w:hAnsi="Arial" w:cs="Arial"/>
          <w:sz w:val="20"/>
          <w:szCs w:val="20"/>
        </w:rPr>
        <w:t>República Argentina v. NML Capital</w:t>
      </w:r>
      <w:r w:rsidRPr="00F86676">
        <w:rPr>
          <w:rFonts w:ascii="Arial" w:hAnsi="Arial" w:cs="Arial"/>
          <w:sz w:val="20"/>
          <w:szCs w:val="20"/>
        </w:rPr>
        <w:t xml:space="preserve"> como un experimento natural: los fallos judiciales sucesivos alteraron exógenamente la probabilidad de default percibida por el mercado, sin depender de las noticias económicas del día. Mediante identificación por heterocedasticidad (</w:t>
      </w:r>
      <w:proofErr w:type="spellStart"/>
      <w:r w:rsidRPr="00F86676">
        <w:rPr>
          <w:rFonts w:ascii="Arial" w:hAnsi="Arial" w:cs="Arial"/>
          <w:sz w:val="20"/>
          <w:szCs w:val="20"/>
        </w:rPr>
        <w:t>Rigobon</w:t>
      </w:r>
      <w:proofErr w:type="spellEnd"/>
      <w:r w:rsidRPr="00F86676">
        <w:rPr>
          <w:rFonts w:ascii="Arial" w:hAnsi="Arial" w:cs="Arial"/>
          <w:sz w:val="20"/>
          <w:szCs w:val="20"/>
        </w:rPr>
        <w:t xml:space="preserve">, 2003; </w:t>
      </w:r>
      <w:proofErr w:type="spellStart"/>
      <w:r w:rsidRPr="00F86676">
        <w:rPr>
          <w:rFonts w:ascii="Arial" w:hAnsi="Arial" w:cs="Arial"/>
          <w:sz w:val="20"/>
          <w:szCs w:val="20"/>
        </w:rPr>
        <w:t>Rigobon</w:t>
      </w:r>
      <w:proofErr w:type="spellEnd"/>
      <w:r w:rsidRPr="00F86676">
        <w:rPr>
          <w:rFonts w:ascii="Arial" w:hAnsi="Arial" w:cs="Arial"/>
          <w:sz w:val="20"/>
          <w:szCs w:val="20"/>
        </w:rPr>
        <w:t xml:space="preserve"> y Sack, 2004), estimaron que un aumento de 10 puntos porcentuales en la probabilidad de default (medida por CDS) provocó una caída de aproximadamente 6% en el índice ponderado de acciones argentinas, y que el paso de 40% a 100% de probabilidad de default —lo efectivamente observado— implicó una destrucción de valor de mercado de las firmas cotizantes de entre 30% y </w:t>
      </w:r>
      <w:r w:rsidRPr="00F86676">
        <w:rPr>
          <w:rFonts w:ascii="Arial" w:hAnsi="Arial" w:cs="Arial"/>
          <w:sz w:val="20"/>
          <w:szCs w:val="20"/>
        </w:rPr>
        <w:lastRenderedPageBreak/>
        <w:t>45%, concentrada en exportadoras y filiales de empresas extranjeras. Este antecedente complementa, desde el lado de las consecuencias reales, a la literatura de sostenibilidad ex ante revisada arriba: cuantifica el costo del evento de cola que los marcos estocásticos (Medeiros, 2012; FMI, 2022) intentan mantener con baja probabilidad. A su vez, dialoga con los enfoques de balance completo (Levy Yeyati y Sturzenegger, 2023), que sugieren que, bajo la estructura de deuda actual, el deterioro patrimonial del Estado ante un shock cambiario inicial sería menor que en 2001.</w:t>
      </w:r>
    </w:p>
    <w:p w14:paraId="2F59C7D8" w14:textId="18BA13A4" w:rsidR="00B55618" w:rsidRPr="00BE7E9C" w:rsidRDefault="00BE7E9C" w:rsidP="00BE7E9C">
      <w:pPr>
        <w:spacing w:line="240" w:lineRule="auto"/>
        <w:rPr>
          <w:rFonts w:ascii="Arial" w:eastAsia="Times New Roman" w:hAnsi="Arial" w:cs="Arial"/>
          <w:b/>
          <w:bCs/>
          <w:kern w:val="0"/>
          <w:sz w:val="20"/>
          <w:szCs w:val="20"/>
          <w:lang w:eastAsia="es-AR"/>
          <w14:ligatures w14:val="none"/>
        </w:rPr>
      </w:pPr>
      <w:r>
        <w:rPr>
          <w:rFonts w:ascii="Arial" w:eastAsia="Times New Roman" w:hAnsi="Arial" w:cs="Arial"/>
          <w:b/>
          <w:bCs/>
          <w:kern w:val="0"/>
          <w:sz w:val="20"/>
          <w:szCs w:val="20"/>
          <w:lang w:eastAsia="es-AR"/>
          <w14:ligatures w14:val="none"/>
        </w:rPr>
        <w:t>Área de vacancia</w:t>
      </w:r>
    </w:p>
    <w:p w14:paraId="33533954" w14:textId="77777777" w:rsidR="00C0358D" w:rsidRPr="00C0358D" w:rsidRDefault="00C0358D" w:rsidP="00C0358D">
      <w:pPr>
        <w:spacing w:line="240" w:lineRule="auto"/>
        <w:rPr>
          <w:rFonts w:ascii="Arial" w:eastAsia="Times New Roman" w:hAnsi="Arial" w:cs="Arial"/>
          <w:kern w:val="0"/>
          <w:sz w:val="20"/>
          <w:szCs w:val="20"/>
          <w:lang w:eastAsia="es-AR"/>
          <w14:ligatures w14:val="none"/>
        </w:rPr>
      </w:pPr>
      <w:r w:rsidRPr="00C0358D">
        <w:rPr>
          <w:rFonts w:ascii="Arial" w:eastAsia="Times New Roman" w:hAnsi="Arial" w:cs="Arial"/>
          <w:kern w:val="0"/>
          <w:sz w:val="20"/>
          <w:szCs w:val="20"/>
          <w:lang w:eastAsia="es-AR"/>
          <w14:ligatures w14:val="none"/>
        </w:rPr>
        <w:t xml:space="preserve">A pesar de la profusa literatura sobre simulaciones estocásticas de deuda (Everaert &amp; Jansen, 2018; Medeiros, 2012), descomposiciones contables (Rodríguez, 2023) y balances patrimoniales </w:t>
      </w:r>
      <w:proofErr w:type="spellStart"/>
      <w:r w:rsidRPr="00C0358D">
        <w:rPr>
          <w:rFonts w:ascii="Arial" w:eastAsia="Times New Roman" w:hAnsi="Arial" w:cs="Arial"/>
          <w:kern w:val="0"/>
          <w:sz w:val="20"/>
          <w:szCs w:val="20"/>
          <w:lang w:eastAsia="es-AR"/>
          <w14:ligatures w14:val="none"/>
        </w:rPr>
        <w:t>intertemporales</w:t>
      </w:r>
      <w:proofErr w:type="spellEnd"/>
      <w:r w:rsidRPr="00C0358D">
        <w:rPr>
          <w:rFonts w:ascii="Arial" w:eastAsia="Times New Roman" w:hAnsi="Arial" w:cs="Arial"/>
          <w:kern w:val="0"/>
          <w:sz w:val="20"/>
          <w:szCs w:val="20"/>
          <w:lang w:eastAsia="es-AR"/>
          <w14:ligatures w14:val="none"/>
        </w:rPr>
        <w:t xml:space="preserve"> (Levy Yeyati &amp; Sturzenegger, 2023), persiste una vacancia metodológica central: la restricción del perímetro de análisis al Sector Público No Financiero (SPNF) dentro de los modelos cuantitativos de análisis de sostenibilidad de la deuda (DSA, por sus siglas en inglés). Aunque la dominancia fiscal y el déficit cuasifiscal cuentan con amplio tratamiento descriptivo (</w:t>
      </w:r>
      <w:proofErr w:type="spellStart"/>
      <w:r w:rsidRPr="00C0358D">
        <w:rPr>
          <w:rFonts w:ascii="Arial" w:eastAsia="Times New Roman" w:hAnsi="Arial" w:cs="Arial"/>
          <w:kern w:val="0"/>
          <w:sz w:val="20"/>
          <w:szCs w:val="20"/>
          <w:lang w:eastAsia="es-AR"/>
          <w14:ligatures w14:val="none"/>
        </w:rPr>
        <w:t>Damill</w:t>
      </w:r>
      <w:proofErr w:type="spellEnd"/>
      <w:r w:rsidRPr="00C0358D">
        <w:rPr>
          <w:rFonts w:ascii="Arial" w:eastAsia="Times New Roman" w:hAnsi="Arial" w:cs="Arial"/>
          <w:kern w:val="0"/>
          <w:sz w:val="20"/>
          <w:szCs w:val="20"/>
          <w:lang w:eastAsia="es-AR"/>
          <w14:ligatures w14:val="none"/>
        </w:rPr>
        <w:t>, Frenkel &amp; Rapetti, 2015; Porto, 2020), los marcos estandarizados —incluido el SRDSF del FMI (2022)— excluyen los pasivos remunerados del Banco Central de la trayectoria formal de la deuda.</w:t>
      </w:r>
    </w:p>
    <w:p w14:paraId="3F18D881" w14:textId="77777777" w:rsidR="00C0358D" w:rsidRDefault="00C0358D" w:rsidP="00C0358D">
      <w:pPr>
        <w:spacing w:line="240" w:lineRule="auto"/>
        <w:rPr>
          <w:rFonts w:ascii="Arial" w:eastAsia="Times New Roman" w:hAnsi="Arial" w:cs="Arial"/>
          <w:kern w:val="0"/>
          <w:sz w:val="20"/>
          <w:szCs w:val="20"/>
          <w:lang w:eastAsia="es-AR"/>
          <w14:ligatures w14:val="none"/>
        </w:rPr>
      </w:pPr>
      <w:r w:rsidRPr="00C0358D">
        <w:rPr>
          <w:rFonts w:ascii="Arial" w:eastAsia="Times New Roman" w:hAnsi="Arial" w:cs="Arial"/>
          <w:kern w:val="0"/>
          <w:sz w:val="20"/>
          <w:szCs w:val="20"/>
          <w:lang w:eastAsia="es-AR"/>
          <w14:ligatures w14:val="none"/>
        </w:rPr>
        <w:t xml:space="preserve">La relevancia de este perímetro se explica por el contexto institucional: la subordinación de la autoridad monetaria a la dominancia fiscal. El Banco Central de la República Argentina (BCRA) ha carecido, durante buena parte del período analizado, de independencia funcional y operativa frente a las exigencias del Tesoro. Si bien el régimen de Convertibilidad había procurado restringir el financiamiento monetario al sector público, tras la crisis de 2001-2002 se inició un proceso de paulatina erosión de dicha autonomía. A lo largo del período 2002–2011, la reaparición del déficit presupuestario derivó en un uso creciente del balance de la autoridad monetaria mediante la cancelación de deuda externa con reservas internacionales y la transferencia de utilidades contables extraordinarias. Esta dinámica se consolidó con la reforma de su Carta Orgánica en 2012, la cual flexibilizó los límites legales de asistencia al Ejecutivo, eliminó el mandato exclusivo de preservación del valor de la moneda e institucionalizó el uso discrecional de los adelantos transitorios y la transferencia de utilidades para cubrir las necesidades financieras del Estado (Porto, 2020). Con posterioridad a 2015, dicha subordinación se canalizó a través de una absorción monetaria </w:t>
      </w:r>
      <w:proofErr w:type="gramStart"/>
      <w:r w:rsidRPr="00C0358D">
        <w:rPr>
          <w:rFonts w:ascii="Arial" w:eastAsia="Times New Roman" w:hAnsi="Arial" w:cs="Arial"/>
          <w:kern w:val="0"/>
          <w:sz w:val="20"/>
          <w:szCs w:val="20"/>
          <w:lang w:eastAsia="es-AR"/>
          <w14:ligatures w14:val="none"/>
        </w:rPr>
        <w:t>creciente media</w:t>
      </w:r>
      <w:proofErr w:type="gramEnd"/>
    </w:p>
    <w:p w14:paraId="2FB1AA31" w14:textId="7CBB78DE" w:rsidR="003F0634" w:rsidRDefault="00000000" w:rsidP="00C0358D">
      <w:pPr>
        <w:spacing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En consecuencia, restringir el perímetro de deuda al Sector Público No Financiero (como realiza el estándar SRDSF del FMI, 2024) genera un sesgo de cobertura que ignora la carga cuasifiscal de los pasivos remunerados del BCRA. Esta investigación busca cubrir dicha vacancia evaluando la solvencia intertemporal sobre la Deuda Pública Consolidada (SPNF + BCRA) mediante un modelo estocástico de SVARX y Monte Carlo.</w:t>
      </w:r>
    </w:p>
    <w:p w14:paraId="4DDAF5D0" w14:textId="77777777" w:rsidR="003F0634" w:rsidRDefault="00000000">
      <w:pPr>
        <w:spacing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El resto del trabajo se organiza de la siguiente manera. La sección </w:t>
      </w:r>
      <w:r>
        <w:rPr>
          <w:rFonts w:ascii="Arial" w:eastAsia="Times New Roman" w:hAnsi="Arial" w:cs="Arial"/>
          <w:kern w:val="0"/>
          <w:sz w:val="20"/>
          <w:szCs w:val="20"/>
          <w:highlight w:val="yellow"/>
          <w:lang w:eastAsia="es-AR"/>
          <w14:ligatures w14:val="none"/>
        </w:rPr>
        <w:t>[N]</w:t>
      </w:r>
      <w:r>
        <w:rPr>
          <w:rFonts w:ascii="Arial" w:eastAsia="Times New Roman" w:hAnsi="Arial" w:cs="Arial"/>
          <w:kern w:val="0"/>
          <w:sz w:val="20"/>
          <w:szCs w:val="20"/>
          <w:lang w:eastAsia="es-AR"/>
          <w14:ligatures w14:val="none"/>
        </w:rPr>
        <w:t xml:space="preserve"> presenta </w:t>
      </w:r>
      <w:r>
        <w:rPr>
          <w:rFonts w:ascii="Arial" w:eastAsia="Times New Roman" w:hAnsi="Arial" w:cs="Arial"/>
          <w:kern w:val="0"/>
          <w:sz w:val="20"/>
          <w:szCs w:val="20"/>
          <w:highlight w:val="yellow"/>
          <w:lang w:eastAsia="es-AR"/>
          <w14:ligatures w14:val="none"/>
        </w:rPr>
        <w:t>[COMPLETAR: datos y estrategia metodológica]</w:t>
      </w:r>
      <w:r>
        <w:rPr>
          <w:rFonts w:ascii="Arial" w:eastAsia="Times New Roman" w:hAnsi="Arial" w:cs="Arial"/>
          <w:kern w:val="0"/>
          <w:sz w:val="20"/>
          <w:szCs w:val="20"/>
          <w:lang w:eastAsia="es-AR"/>
          <w14:ligatures w14:val="none"/>
        </w:rPr>
        <w:t xml:space="preserve">; la sección </w:t>
      </w:r>
      <w:r>
        <w:rPr>
          <w:rFonts w:ascii="Arial" w:eastAsia="Times New Roman" w:hAnsi="Arial" w:cs="Arial"/>
          <w:kern w:val="0"/>
          <w:sz w:val="20"/>
          <w:szCs w:val="20"/>
          <w:highlight w:val="yellow"/>
          <w:lang w:eastAsia="es-AR"/>
          <w14:ligatures w14:val="none"/>
        </w:rPr>
        <w:t>[N]</w:t>
      </w:r>
      <w:r>
        <w:rPr>
          <w:rFonts w:ascii="Arial" w:eastAsia="Times New Roman" w:hAnsi="Arial" w:cs="Arial"/>
          <w:kern w:val="0"/>
          <w:sz w:val="20"/>
          <w:szCs w:val="20"/>
          <w:lang w:eastAsia="es-AR"/>
          <w14:ligatures w14:val="none"/>
        </w:rPr>
        <w:t xml:space="preserve"> expone </w:t>
      </w:r>
      <w:r>
        <w:rPr>
          <w:rFonts w:ascii="Arial" w:eastAsia="Times New Roman" w:hAnsi="Arial" w:cs="Arial"/>
          <w:kern w:val="0"/>
          <w:sz w:val="20"/>
          <w:szCs w:val="20"/>
          <w:highlight w:val="yellow"/>
          <w:lang w:eastAsia="es-AR"/>
          <w14:ligatures w14:val="none"/>
        </w:rPr>
        <w:t>[COMPLETAR: resultados, incluido el escenario de shock de la FED]</w:t>
      </w:r>
      <w:r>
        <w:rPr>
          <w:rFonts w:ascii="Arial" w:eastAsia="Times New Roman" w:hAnsi="Arial" w:cs="Arial"/>
          <w:kern w:val="0"/>
          <w:sz w:val="20"/>
          <w:szCs w:val="20"/>
          <w:lang w:eastAsia="es-AR"/>
          <w14:ligatures w14:val="none"/>
        </w:rPr>
        <w:t xml:space="preserve">; y la sección </w:t>
      </w:r>
      <w:r>
        <w:rPr>
          <w:rFonts w:ascii="Arial" w:eastAsia="Times New Roman" w:hAnsi="Arial" w:cs="Arial"/>
          <w:kern w:val="0"/>
          <w:sz w:val="20"/>
          <w:szCs w:val="20"/>
          <w:highlight w:val="yellow"/>
          <w:lang w:eastAsia="es-AR"/>
          <w14:ligatures w14:val="none"/>
        </w:rPr>
        <w:t>[N]</w:t>
      </w:r>
      <w:r>
        <w:rPr>
          <w:rFonts w:ascii="Arial" w:eastAsia="Times New Roman" w:hAnsi="Arial" w:cs="Arial"/>
          <w:kern w:val="0"/>
          <w:sz w:val="20"/>
          <w:szCs w:val="20"/>
          <w:lang w:eastAsia="es-AR"/>
          <w14:ligatures w14:val="none"/>
        </w:rPr>
        <w:t xml:space="preserve"> </w:t>
      </w:r>
      <w:r>
        <w:rPr>
          <w:rFonts w:ascii="Arial" w:eastAsia="Times New Roman" w:hAnsi="Arial" w:cs="Arial"/>
          <w:kern w:val="0"/>
          <w:sz w:val="20"/>
          <w:szCs w:val="20"/>
          <w:highlight w:val="yellow"/>
          <w:lang w:eastAsia="es-AR"/>
          <w14:ligatures w14:val="none"/>
        </w:rPr>
        <w:t>[COMPLETAR: conclusiones y limitaciones]</w:t>
      </w:r>
      <w:r>
        <w:rPr>
          <w:rFonts w:ascii="Arial" w:eastAsia="Times New Roman" w:hAnsi="Arial" w:cs="Arial"/>
          <w:kern w:val="0"/>
          <w:sz w:val="20"/>
          <w:szCs w:val="20"/>
          <w:lang w:eastAsia="es-AR"/>
          <w14:ligatures w14:val="none"/>
        </w:rPr>
        <w:t>.</w:t>
      </w:r>
    </w:p>
    <w:p w14:paraId="67CCC7D7"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E41B0CD"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45B09786" w14:textId="77777777" w:rsidR="00B55618" w:rsidRDefault="00B55618" w:rsidP="00B55618">
      <w:pPr>
        <w:spacing w:after="0" w:line="240" w:lineRule="auto"/>
      </w:pPr>
    </w:p>
    <w:p w14:paraId="061B30C6" w14:textId="77777777" w:rsidR="00711A54" w:rsidRDefault="00711A54" w:rsidP="00B55618">
      <w:pPr>
        <w:spacing w:after="0" w:line="240" w:lineRule="auto"/>
      </w:pPr>
    </w:p>
    <w:p w14:paraId="73DBFE00" w14:textId="77777777" w:rsidR="00711A54" w:rsidRDefault="00711A54" w:rsidP="00B55618">
      <w:pPr>
        <w:spacing w:after="0" w:line="240" w:lineRule="auto"/>
      </w:pPr>
    </w:p>
    <w:p w14:paraId="3D597551" w14:textId="77777777" w:rsidR="00711A54" w:rsidRDefault="00711A54" w:rsidP="00B55618">
      <w:pPr>
        <w:spacing w:after="0" w:line="240" w:lineRule="auto"/>
      </w:pPr>
    </w:p>
    <w:p w14:paraId="28264198" w14:textId="77777777" w:rsidR="00711A54" w:rsidRDefault="00711A54" w:rsidP="00B55618">
      <w:pPr>
        <w:spacing w:after="0" w:line="240" w:lineRule="auto"/>
      </w:pPr>
    </w:p>
    <w:p w14:paraId="038DBB65" w14:textId="77777777" w:rsidR="00711A54" w:rsidRDefault="00711A54" w:rsidP="00B55618">
      <w:pPr>
        <w:spacing w:after="0" w:line="240" w:lineRule="auto"/>
        <w:rPr>
          <w:rFonts w:ascii="Times New Roman" w:eastAsia="Times New Roman" w:hAnsi="Times New Roman" w:cs="Times New Roman"/>
          <w:kern w:val="0"/>
          <w:sz w:val="24"/>
          <w:szCs w:val="24"/>
          <w:lang w:eastAsia="es-AR"/>
          <w14:ligatures w14:val="none"/>
        </w:rPr>
      </w:pPr>
    </w:p>
    <w:p w14:paraId="22B1BDD5"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7CC592A"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585705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B343391"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5CAB19B7"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2B066BBB"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05FAE24"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61A8604F"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383B09C"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E1B1874"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3085F46E"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1DFEF515" w14:textId="77777777" w:rsidR="00B55618" w:rsidRDefault="00B55618" w:rsidP="00B55618">
      <w:pPr>
        <w:spacing w:after="0" w:line="240" w:lineRule="auto"/>
        <w:rPr>
          <w:rFonts w:ascii="Times New Roman" w:eastAsia="Times New Roman" w:hAnsi="Times New Roman" w:cs="Times New Roman"/>
          <w:kern w:val="0"/>
          <w:sz w:val="24"/>
          <w:szCs w:val="24"/>
          <w:lang w:eastAsia="es-AR"/>
          <w14:ligatures w14:val="none"/>
        </w:rPr>
      </w:pPr>
    </w:p>
    <w:p w14:paraId="590CE74A"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5F11F8B8"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4F7F87D4"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6A8AB9D0"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67074CAF"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1E15B389" w14:textId="77777777" w:rsidR="00DF1BC5"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41956011" w14:textId="77777777" w:rsidR="00DF1BC5" w:rsidRPr="00B55618" w:rsidRDefault="00DF1BC5" w:rsidP="00B55618">
      <w:pPr>
        <w:spacing w:after="0" w:line="240" w:lineRule="auto"/>
        <w:rPr>
          <w:rFonts w:ascii="Times New Roman" w:eastAsia="Times New Roman" w:hAnsi="Times New Roman" w:cs="Times New Roman"/>
          <w:kern w:val="0"/>
          <w:sz w:val="24"/>
          <w:szCs w:val="24"/>
          <w:lang w:eastAsia="es-AR"/>
          <w14:ligatures w14:val="none"/>
        </w:rPr>
      </w:pPr>
    </w:p>
    <w:p w14:paraId="1A934917" w14:textId="77777777" w:rsidR="00B55618" w:rsidRPr="00B55618" w:rsidRDefault="00B55618" w:rsidP="00B55618">
      <w:pPr>
        <w:spacing w:before="100" w:beforeAutospacing="1" w:after="100" w:afterAutospacing="1" w:line="240" w:lineRule="auto"/>
        <w:outlineLvl w:val="1"/>
        <w:rPr>
          <w:rFonts w:ascii="Arial" w:eastAsia="Times New Roman" w:hAnsi="Arial" w:cs="Arial"/>
          <w:b/>
          <w:bCs/>
          <w:kern w:val="0"/>
          <w:sz w:val="20"/>
          <w:szCs w:val="20"/>
          <w:lang w:eastAsia="es-AR"/>
          <w14:ligatures w14:val="none"/>
        </w:rPr>
      </w:pPr>
      <w:r>
        <w:rPr>
          <w:rFonts w:ascii="Arial" w:eastAsia="Times New Roman" w:hAnsi="Arial" w:cs="Arial"/>
          <w:b/>
          <w:bCs/>
          <w:kern w:val="0"/>
          <w:sz w:val="20"/>
          <w:szCs w:val="20"/>
          <w:lang w:eastAsia="es-AR"/>
          <w14:ligatures w14:val="none"/>
        </w:rPr>
        <w:t>Bibliografía</w:t>
      </w:r>
    </w:p>
    <w:p w14:paraId="1F67B3D3"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Adler, G., &amp; Magud, N. E. (2014). Terms-of-trade booms: Saving-investment patterns and a new metric of income windfall. En D. Iakova, L. M. Cubeddu, G. Adler, &amp; S. Sosa (Eds.), </w:t>
      </w:r>
      <w:r>
        <w:rPr>
          <w:rFonts w:ascii="Arial" w:eastAsia="Times New Roman" w:hAnsi="Arial" w:cs="Arial"/>
          <w:i/>
          <w:iCs/>
          <w:kern w:val="0"/>
          <w:sz w:val="20"/>
          <w:szCs w:val="20"/>
          <w:lang w:eastAsia="es-AR"/>
          <w14:ligatures w14:val="none"/>
        </w:rPr>
        <w:t>Latin America: New challenges to growth and stability</w:t>
      </w:r>
      <w:r>
        <w:rPr>
          <w:rFonts w:ascii="Arial" w:eastAsia="Times New Roman" w:hAnsi="Arial" w:cs="Arial"/>
          <w:kern w:val="0"/>
          <w:sz w:val="20"/>
          <w:szCs w:val="20"/>
          <w:lang w:eastAsia="es-AR"/>
          <w14:ligatures w14:val="none"/>
        </w:rPr>
        <w:t>. Fondo Monetario Internacional.</w:t>
      </w:r>
    </w:p>
    <w:p w14:paraId="686A6F88"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Adler, G., &amp; Sosa, S. (2014). External conditions and debt sustainability in Latin America. En D. Iakova, L. M. Cubeddu, G. Adler, &amp; S. Sosa (Eds.), </w:t>
      </w:r>
      <w:r>
        <w:rPr>
          <w:rFonts w:ascii="Arial" w:eastAsia="Times New Roman" w:hAnsi="Arial" w:cs="Arial"/>
          <w:i/>
          <w:iCs/>
          <w:kern w:val="0"/>
          <w:sz w:val="20"/>
          <w:szCs w:val="20"/>
          <w:lang w:eastAsia="es-AR"/>
          <w14:ligatures w14:val="none"/>
        </w:rPr>
        <w:t>Latin America: New challenges to growth and stability</w:t>
      </w:r>
      <w:r>
        <w:rPr>
          <w:rFonts w:ascii="Arial" w:eastAsia="Times New Roman" w:hAnsi="Arial" w:cs="Arial"/>
          <w:kern w:val="0"/>
          <w:sz w:val="20"/>
          <w:szCs w:val="20"/>
          <w:lang w:eastAsia="es-AR"/>
          <w14:ligatures w14:val="none"/>
        </w:rPr>
        <w:t>. Fondo Monetario Internacional.</w:t>
      </w:r>
    </w:p>
    <w:p w14:paraId="03C226DB" w14:textId="77777777" w:rsidR="005E3540" w:rsidRPr="005E3540" w:rsidRDefault="005E3540">
      <w:pPr>
        <w:spacing w:before="100" w:beforeAutospacing="1" w:after="100" w:afterAutospacing="1" w:line="240" w:lineRule="auto"/>
        <w:rPr>
          <w:rFonts w:ascii="Arial" w:hAnsi="Arial" w:cs="Arial"/>
          <w:sz w:val="20"/>
          <w:szCs w:val="20"/>
        </w:rPr>
      </w:pPr>
      <w:r w:rsidRPr="005E3540">
        <w:rPr>
          <w:rFonts w:ascii="Arial" w:hAnsi="Arial" w:cs="Arial"/>
          <w:sz w:val="20"/>
          <w:szCs w:val="20"/>
        </w:rPr>
        <w:t xml:space="preserve">Ando, S., Mishra, P., Patel, N., Peralta-Alva, A., &amp; Presbitero, A. F. (2024). Fiscal </w:t>
      </w:r>
      <w:proofErr w:type="spellStart"/>
      <w:r w:rsidRPr="005E3540">
        <w:rPr>
          <w:rFonts w:ascii="Arial" w:hAnsi="Arial" w:cs="Arial"/>
          <w:sz w:val="20"/>
          <w:szCs w:val="20"/>
        </w:rPr>
        <w:t>consolidation</w:t>
      </w:r>
      <w:proofErr w:type="spellEnd"/>
      <w:r w:rsidRPr="005E3540">
        <w:rPr>
          <w:rFonts w:ascii="Arial" w:hAnsi="Arial" w:cs="Arial"/>
          <w:sz w:val="20"/>
          <w:szCs w:val="20"/>
        </w:rPr>
        <w:t xml:space="preserve"> and </w:t>
      </w:r>
      <w:proofErr w:type="spellStart"/>
      <w:r w:rsidRPr="005E3540">
        <w:rPr>
          <w:rFonts w:ascii="Arial" w:hAnsi="Arial" w:cs="Arial"/>
          <w:sz w:val="20"/>
          <w:szCs w:val="20"/>
        </w:rPr>
        <w:t>public</w:t>
      </w:r>
      <w:proofErr w:type="spellEnd"/>
      <w:r w:rsidRPr="005E3540">
        <w:rPr>
          <w:rFonts w:ascii="Arial" w:hAnsi="Arial" w:cs="Arial"/>
          <w:sz w:val="20"/>
          <w:szCs w:val="20"/>
        </w:rPr>
        <w:t xml:space="preserve"> </w:t>
      </w:r>
      <w:proofErr w:type="spellStart"/>
      <w:r w:rsidRPr="005E3540">
        <w:rPr>
          <w:rFonts w:ascii="Arial" w:hAnsi="Arial" w:cs="Arial"/>
          <w:sz w:val="20"/>
          <w:szCs w:val="20"/>
        </w:rPr>
        <w:t>debt</w:t>
      </w:r>
      <w:proofErr w:type="spellEnd"/>
      <w:r w:rsidRPr="005E3540">
        <w:rPr>
          <w:rFonts w:ascii="Arial" w:hAnsi="Arial" w:cs="Arial"/>
          <w:sz w:val="20"/>
          <w:szCs w:val="20"/>
        </w:rPr>
        <w:t xml:space="preserve"> (Ashoka </w:t>
      </w:r>
      <w:proofErr w:type="spellStart"/>
      <w:r w:rsidRPr="005E3540">
        <w:rPr>
          <w:rFonts w:ascii="Arial" w:hAnsi="Arial" w:cs="Arial"/>
          <w:sz w:val="20"/>
          <w:szCs w:val="20"/>
        </w:rPr>
        <w:t>University</w:t>
      </w:r>
      <w:proofErr w:type="spellEnd"/>
      <w:r w:rsidRPr="005E3540">
        <w:rPr>
          <w:rFonts w:ascii="Arial" w:hAnsi="Arial" w:cs="Arial"/>
          <w:sz w:val="20"/>
          <w:szCs w:val="20"/>
        </w:rPr>
        <w:t xml:space="preserve"> </w:t>
      </w:r>
      <w:proofErr w:type="spellStart"/>
      <w:r w:rsidRPr="005E3540">
        <w:rPr>
          <w:rFonts w:ascii="Arial" w:hAnsi="Arial" w:cs="Arial"/>
          <w:sz w:val="20"/>
          <w:szCs w:val="20"/>
        </w:rPr>
        <w:t>Economics</w:t>
      </w:r>
      <w:proofErr w:type="spellEnd"/>
      <w:r w:rsidRPr="005E3540">
        <w:rPr>
          <w:rFonts w:ascii="Arial" w:hAnsi="Arial" w:cs="Arial"/>
          <w:sz w:val="20"/>
          <w:szCs w:val="20"/>
        </w:rPr>
        <w:t xml:space="preserve"> </w:t>
      </w:r>
      <w:proofErr w:type="spellStart"/>
      <w:r w:rsidRPr="005E3540">
        <w:rPr>
          <w:rFonts w:ascii="Arial" w:hAnsi="Arial" w:cs="Arial"/>
          <w:sz w:val="20"/>
          <w:szCs w:val="20"/>
        </w:rPr>
        <w:t>Discussion</w:t>
      </w:r>
      <w:proofErr w:type="spellEnd"/>
      <w:r w:rsidRPr="005E3540">
        <w:rPr>
          <w:rFonts w:ascii="Arial" w:hAnsi="Arial" w:cs="Arial"/>
          <w:sz w:val="20"/>
          <w:szCs w:val="20"/>
        </w:rPr>
        <w:t xml:space="preserve"> Paper No. 126 / IMF Working Paper). Ashoka </w:t>
      </w:r>
      <w:proofErr w:type="spellStart"/>
      <w:r w:rsidRPr="005E3540">
        <w:rPr>
          <w:rFonts w:ascii="Arial" w:hAnsi="Arial" w:cs="Arial"/>
          <w:sz w:val="20"/>
          <w:szCs w:val="20"/>
        </w:rPr>
        <w:t>University</w:t>
      </w:r>
      <w:proofErr w:type="spellEnd"/>
      <w:r w:rsidRPr="005E3540">
        <w:rPr>
          <w:rFonts w:ascii="Arial" w:hAnsi="Arial" w:cs="Arial"/>
          <w:sz w:val="20"/>
          <w:szCs w:val="20"/>
        </w:rPr>
        <w:t xml:space="preserve"> / Fondo Monetario Internacional.</w:t>
      </w:r>
    </w:p>
    <w:p w14:paraId="499D33AF" w14:textId="7DA6D18E"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Blanchard, O. J. (1990). </w:t>
      </w:r>
      <w:r>
        <w:rPr>
          <w:rFonts w:ascii="Arial" w:eastAsia="Times New Roman" w:hAnsi="Arial" w:cs="Arial"/>
          <w:i/>
          <w:iCs/>
          <w:kern w:val="0"/>
          <w:sz w:val="20"/>
          <w:szCs w:val="20"/>
          <w:lang w:eastAsia="es-AR"/>
          <w14:ligatures w14:val="none"/>
        </w:rPr>
        <w:t>Suggestions for a new set of fiscal indicators</w:t>
      </w:r>
      <w:r>
        <w:rPr>
          <w:rFonts w:ascii="Arial" w:eastAsia="Times New Roman" w:hAnsi="Arial" w:cs="Arial"/>
          <w:kern w:val="0"/>
          <w:sz w:val="20"/>
          <w:szCs w:val="20"/>
          <w:lang w:eastAsia="es-AR"/>
          <w14:ligatures w14:val="none"/>
        </w:rPr>
        <w:t xml:space="preserve"> (OECD Economics Department Working Papers No. 79). OECD Publishing.</w:t>
      </w:r>
    </w:p>
    <w:p w14:paraId="2ED4994A"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Blanchard, O. (2019). Public debt and low interest rates. </w:t>
      </w:r>
      <w:r>
        <w:rPr>
          <w:rFonts w:ascii="Arial" w:eastAsia="Times New Roman" w:hAnsi="Arial" w:cs="Arial"/>
          <w:i/>
          <w:iCs/>
          <w:kern w:val="0"/>
          <w:sz w:val="20"/>
          <w:szCs w:val="20"/>
          <w:lang w:eastAsia="es-AR"/>
          <w14:ligatures w14:val="none"/>
        </w:rPr>
        <w:t>American Economic Review</w:t>
      </w:r>
      <w:r>
        <w:rPr>
          <w:rFonts w:ascii="Arial" w:eastAsia="Times New Roman" w:hAnsi="Arial" w:cs="Arial"/>
          <w:kern w:val="0"/>
          <w:sz w:val="20"/>
          <w:szCs w:val="20"/>
          <w:lang w:eastAsia="es-AR"/>
          <w14:ligatures w14:val="none"/>
        </w:rPr>
        <w:t>, 109(4), 1197-1229.</w:t>
      </w:r>
    </w:p>
    <w:p w14:paraId="564591FE"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Calvo, G. A., Izquierdo, A., &amp; Talvi, E. (2003). </w:t>
      </w:r>
      <w:r>
        <w:rPr>
          <w:rFonts w:ascii="Arial" w:eastAsia="Times New Roman" w:hAnsi="Arial" w:cs="Arial"/>
          <w:i/>
          <w:iCs/>
          <w:kern w:val="0"/>
          <w:sz w:val="20"/>
          <w:szCs w:val="20"/>
          <w:lang w:eastAsia="es-AR"/>
          <w14:ligatures w14:val="none"/>
        </w:rPr>
        <w:t>Sudden stops, the real exchange rate, and fiscal sustainability: Argentina's lessons</w:t>
      </w:r>
      <w:r>
        <w:rPr>
          <w:rFonts w:ascii="Arial" w:eastAsia="Times New Roman" w:hAnsi="Arial" w:cs="Arial"/>
          <w:kern w:val="0"/>
          <w:sz w:val="20"/>
          <w:szCs w:val="20"/>
          <w:lang w:eastAsia="es-AR"/>
          <w14:ligatures w14:val="none"/>
        </w:rPr>
        <w:t xml:space="preserve"> (NBER Working Paper No. 9828). National Bureau of Economic Research.</w:t>
      </w:r>
    </w:p>
    <w:p w14:paraId="45FE9218"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Cetrángolo, O., Damill, M., Frenkel, R., &amp; Jiménez, J. P. (1997). </w:t>
      </w:r>
      <w:r>
        <w:rPr>
          <w:rFonts w:ascii="Arial" w:eastAsia="Times New Roman" w:hAnsi="Arial" w:cs="Arial"/>
          <w:i/>
          <w:iCs/>
          <w:kern w:val="0"/>
          <w:sz w:val="20"/>
          <w:szCs w:val="20"/>
          <w:lang w:eastAsia="es-AR"/>
          <w14:ligatures w14:val="none"/>
        </w:rPr>
        <w:t>La sostenibilidad de la política fiscal en América Latina: El caso argentino</w:t>
      </w:r>
      <w:r>
        <w:rPr>
          <w:rFonts w:ascii="Arial" w:eastAsia="Times New Roman" w:hAnsi="Arial" w:cs="Arial"/>
          <w:kern w:val="0"/>
          <w:sz w:val="20"/>
          <w:szCs w:val="20"/>
          <w:lang w:eastAsia="es-AR"/>
          <w14:ligatures w14:val="none"/>
        </w:rPr>
        <w:t>. Centro de Estudios de Estado y Sociedad (CEDES).</w:t>
      </w:r>
    </w:p>
    <w:p w14:paraId="0D62CBF4" w14:textId="77777777" w:rsidR="005E3540" w:rsidRPr="005E3540" w:rsidRDefault="005E3540" w:rsidP="00B55618">
      <w:pPr>
        <w:spacing w:before="100" w:beforeAutospacing="1" w:after="100" w:afterAutospacing="1" w:line="240" w:lineRule="auto"/>
        <w:rPr>
          <w:rFonts w:ascii="Arial" w:hAnsi="Arial" w:cs="Arial"/>
          <w:sz w:val="20"/>
          <w:szCs w:val="20"/>
        </w:rPr>
      </w:pPr>
      <w:r w:rsidRPr="005E3540">
        <w:rPr>
          <w:rFonts w:ascii="Arial" w:hAnsi="Arial" w:cs="Arial"/>
          <w:sz w:val="20"/>
          <w:szCs w:val="20"/>
        </w:rPr>
        <w:t xml:space="preserve">Comín </w:t>
      </w:r>
      <w:proofErr w:type="spellStart"/>
      <w:r w:rsidRPr="005E3540">
        <w:rPr>
          <w:rFonts w:ascii="Arial" w:hAnsi="Arial" w:cs="Arial"/>
          <w:sz w:val="20"/>
          <w:szCs w:val="20"/>
        </w:rPr>
        <w:t>Comín</w:t>
      </w:r>
      <w:proofErr w:type="spellEnd"/>
      <w:r w:rsidRPr="005E3540">
        <w:rPr>
          <w:rFonts w:ascii="Arial" w:hAnsi="Arial" w:cs="Arial"/>
          <w:sz w:val="20"/>
          <w:szCs w:val="20"/>
        </w:rPr>
        <w:t>, F. (2014). Historia económica mundial: De los orígenes a la actualidad. Alianza Editorial</w:t>
      </w:r>
    </w:p>
    <w:p w14:paraId="52376DDF" w14:textId="0986A489"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Everaert, G., &amp; Jansen, S. (2018). On the estimation of panel fiscal reaction functions: Heterogeneity or fiscal fatigue? </w:t>
      </w:r>
      <w:r>
        <w:rPr>
          <w:rFonts w:ascii="Arial" w:eastAsia="Times New Roman" w:hAnsi="Arial" w:cs="Arial"/>
          <w:i/>
          <w:iCs/>
          <w:kern w:val="0"/>
          <w:sz w:val="20"/>
          <w:szCs w:val="20"/>
          <w:lang w:eastAsia="es-AR"/>
          <w14:ligatures w14:val="none"/>
        </w:rPr>
        <w:t>Economic Modelling</w:t>
      </w:r>
      <w:r>
        <w:rPr>
          <w:rFonts w:ascii="Arial" w:eastAsia="Times New Roman" w:hAnsi="Arial" w:cs="Arial"/>
          <w:kern w:val="0"/>
          <w:sz w:val="20"/>
          <w:szCs w:val="20"/>
          <w:lang w:eastAsia="es-AR"/>
          <w14:ligatures w14:val="none"/>
        </w:rPr>
        <w:t>, 70, 87-96.</w:t>
      </w:r>
    </w:p>
    <w:p w14:paraId="337EE4F8"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Fondo Monetario Internacional. (2024). </w:t>
      </w:r>
      <w:r>
        <w:rPr>
          <w:rFonts w:ascii="Arial" w:eastAsia="Times New Roman" w:hAnsi="Arial" w:cs="Arial"/>
          <w:i/>
          <w:iCs/>
          <w:kern w:val="0"/>
          <w:sz w:val="20"/>
          <w:szCs w:val="20"/>
          <w:lang w:eastAsia="es-AR"/>
          <w14:ligatures w14:val="none"/>
        </w:rPr>
        <w:t>Argentina: Eighth review under the extended arrangement under the Extended Fund Facility</w:t>
      </w:r>
      <w:r>
        <w:rPr>
          <w:rFonts w:ascii="Arial" w:eastAsia="Times New Roman" w:hAnsi="Arial" w:cs="Arial"/>
          <w:kern w:val="0"/>
          <w:sz w:val="20"/>
          <w:szCs w:val="20"/>
          <w:lang w:eastAsia="es-AR"/>
          <w14:ligatures w14:val="none"/>
        </w:rPr>
        <w:t xml:space="preserve"> (IMF Country Report No. 24/167). Fondo Monetario Internacional.</w:t>
      </w:r>
    </w:p>
    <w:p w14:paraId="20095D76" w14:textId="77777777" w:rsidR="005E3540" w:rsidRPr="005E3540" w:rsidRDefault="005E3540" w:rsidP="00B55618">
      <w:pPr>
        <w:spacing w:before="100" w:beforeAutospacing="1" w:after="100" w:afterAutospacing="1" w:line="240" w:lineRule="auto"/>
        <w:rPr>
          <w:rFonts w:ascii="Arial" w:hAnsi="Arial" w:cs="Arial"/>
          <w:sz w:val="20"/>
          <w:szCs w:val="20"/>
        </w:rPr>
      </w:pPr>
      <w:r w:rsidRPr="005E3540">
        <w:rPr>
          <w:rFonts w:ascii="Arial" w:hAnsi="Arial" w:cs="Arial"/>
          <w:sz w:val="20"/>
          <w:szCs w:val="20"/>
        </w:rPr>
        <w:lastRenderedPageBreak/>
        <w:t xml:space="preserve">Garud, R. D. (2025). </w:t>
      </w:r>
      <w:proofErr w:type="spellStart"/>
      <w:r w:rsidRPr="005E3540">
        <w:rPr>
          <w:rFonts w:ascii="Arial" w:hAnsi="Arial" w:cs="Arial"/>
          <w:sz w:val="20"/>
          <w:szCs w:val="20"/>
        </w:rPr>
        <w:t>Debt</w:t>
      </w:r>
      <w:proofErr w:type="spellEnd"/>
      <w:r w:rsidRPr="005E3540">
        <w:rPr>
          <w:rFonts w:ascii="Arial" w:hAnsi="Arial" w:cs="Arial"/>
          <w:sz w:val="20"/>
          <w:szCs w:val="20"/>
        </w:rPr>
        <w:t xml:space="preserve"> </w:t>
      </w:r>
      <w:proofErr w:type="spellStart"/>
      <w:r w:rsidRPr="005E3540">
        <w:rPr>
          <w:rFonts w:ascii="Arial" w:hAnsi="Arial" w:cs="Arial"/>
          <w:sz w:val="20"/>
          <w:szCs w:val="20"/>
        </w:rPr>
        <w:t>structure</w:t>
      </w:r>
      <w:proofErr w:type="spellEnd"/>
      <w:r w:rsidRPr="005E3540">
        <w:rPr>
          <w:rFonts w:ascii="Arial" w:hAnsi="Arial" w:cs="Arial"/>
          <w:sz w:val="20"/>
          <w:szCs w:val="20"/>
        </w:rPr>
        <w:t xml:space="preserve"> and </w:t>
      </w:r>
      <w:proofErr w:type="spellStart"/>
      <w:r w:rsidRPr="005E3540">
        <w:rPr>
          <w:rFonts w:ascii="Arial" w:hAnsi="Arial" w:cs="Arial"/>
          <w:sz w:val="20"/>
          <w:szCs w:val="20"/>
        </w:rPr>
        <w:t>sustainability</w:t>
      </w:r>
      <w:proofErr w:type="spellEnd"/>
      <w:r w:rsidRPr="005E3540">
        <w:rPr>
          <w:rFonts w:ascii="Arial" w:hAnsi="Arial" w:cs="Arial"/>
          <w:sz w:val="20"/>
          <w:szCs w:val="20"/>
        </w:rPr>
        <w:t xml:space="preserve"> in </w:t>
      </w:r>
      <w:proofErr w:type="spellStart"/>
      <w:r w:rsidRPr="005E3540">
        <w:rPr>
          <w:rFonts w:ascii="Arial" w:hAnsi="Arial" w:cs="Arial"/>
          <w:sz w:val="20"/>
          <w:szCs w:val="20"/>
        </w:rPr>
        <w:t>emerging</w:t>
      </w:r>
      <w:proofErr w:type="spellEnd"/>
      <w:r w:rsidRPr="005E3540">
        <w:rPr>
          <w:rFonts w:ascii="Arial" w:hAnsi="Arial" w:cs="Arial"/>
          <w:sz w:val="20"/>
          <w:szCs w:val="20"/>
        </w:rPr>
        <w:t xml:space="preserve"> </w:t>
      </w:r>
      <w:proofErr w:type="spellStart"/>
      <w:r w:rsidRPr="005E3540">
        <w:rPr>
          <w:rFonts w:ascii="Arial" w:hAnsi="Arial" w:cs="Arial"/>
          <w:sz w:val="20"/>
          <w:szCs w:val="20"/>
        </w:rPr>
        <w:t>economies</w:t>
      </w:r>
      <w:proofErr w:type="spellEnd"/>
      <w:r w:rsidRPr="005E3540">
        <w:rPr>
          <w:rFonts w:ascii="Arial" w:hAnsi="Arial" w:cs="Arial"/>
          <w:sz w:val="20"/>
          <w:szCs w:val="20"/>
        </w:rPr>
        <w:t xml:space="preserve">: </w:t>
      </w:r>
      <w:proofErr w:type="spellStart"/>
      <w:r w:rsidRPr="005E3540">
        <w:rPr>
          <w:rFonts w:ascii="Arial" w:hAnsi="Arial" w:cs="Arial"/>
          <w:sz w:val="20"/>
          <w:szCs w:val="20"/>
        </w:rPr>
        <w:t>Essays</w:t>
      </w:r>
      <w:proofErr w:type="spellEnd"/>
      <w:r w:rsidRPr="005E3540">
        <w:rPr>
          <w:rFonts w:ascii="Arial" w:hAnsi="Arial" w:cs="Arial"/>
          <w:sz w:val="20"/>
          <w:szCs w:val="20"/>
        </w:rPr>
        <w:t xml:space="preserve"> </w:t>
      </w:r>
      <w:proofErr w:type="spellStart"/>
      <w:r w:rsidRPr="005E3540">
        <w:rPr>
          <w:rFonts w:ascii="Arial" w:hAnsi="Arial" w:cs="Arial"/>
          <w:sz w:val="20"/>
          <w:szCs w:val="20"/>
        </w:rPr>
        <w:t>on</w:t>
      </w:r>
      <w:proofErr w:type="spellEnd"/>
      <w:r w:rsidRPr="005E3540">
        <w:rPr>
          <w:rFonts w:ascii="Arial" w:hAnsi="Arial" w:cs="Arial"/>
          <w:sz w:val="20"/>
          <w:szCs w:val="20"/>
        </w:rPr>
        <w:t xml:space="preserve"> </w:t>
      </w:r>
      <w:proofErr w:type="spellStart"/>
      <w:r w:rsidRPr="005E3540">
        <w:rPr>
          <w:rFonts w:ascii="Arial" w:hAnsi="Arial" w:cs="Arial"/>
          <w:sz w:val="20"/>
          <w:szCs w:val="20"/>
        </w:rPr>
        <w:t>India’s</w:t>
      </w:r>
      <w:proofErr w:type="spellEnd"/>
      <w:r w:rsidRPr="005E3540">
        <w:rPr>
          <w:rFonts w:ascii="Arial" w:hAnsi="Arial" w:cs="Arial"/>
          <w:sz w:val="20"/>
          <w:szCs w:val="20"/>
        </w:rPr>
        <w:t xml:space="preserve"> </w:t>
      </w:r>
      <w:proofErr w:type="spellStart"/>
      <w:r w:rsidRPr="005E3540">
        <w:rPr>
          <w:rFonts w:ascii="Arial" w:hAnsi="Arial" w:cs="Arial"/>
          <w:sz w:val="20"/>
          <w:szCs w:val="20"/>
        </w:rPr>
        <w:t>domestic</w:t>
      </w:r>
      <w:proofErr w:type="spellEnd"/>
      <w:r w:rsidRPr="005E3540">
        <w:rPr>
          <w:rFonts w:ascii="Arial" w:hAnsi="Arial" w:cs="Arial"/>
          <w:sz w:val="20"/>
          <w:szCs w:val="20"/>
        </w:rPr>
        <w:t xml:space="preserve"> </w:t>
      </w:r>
      <w:proofErr w:type="spellStart"/>
      <w:r w:rsidRPr="005E3540">
        <w:rPr>
          <w:rFonts w:ascii="Arial" w:hAnsi="Arial" w:cs="Arial"/>
          <w:sz w:val="20"/>
          <w:szCs w:val="20"/>
        </w:rPr>
        <w:t>borrowing</w:t>
      </w:r>
      <w:proofErr w:type="spellEnd"/>
      <w:r w:rsidRPr="005E3540">
        <w:rPr>
          <w:rFonts w:ascii="Arial" w:hAnsi="Arial" w:cs="Arial"/>
          <w:sz w:val="20"/>
          <w:szCs w:val="20"/>
        </w:rPr>
        <w:t xml:space="preserve"> and </w:t>
      </w:r>
      <w:proofErr w:type="spellStart"/>
      <w:r w:rsidRPr="005E3540">
        <w:rPr>
          <w:rFonts w:ascii="Arial" w:hAnsi="Arial" w:cs="Arial"/>
          <w:sz w:val="20"/>
          <w:szCs w:val="20"/>
        </w:rPr>
        <w:t>Indonesia’s</w:t>
      </w:r>
      <w:proofErr w:type="spellEnd"/>
      <w:r w:rsidRPr="005E3540">
        <w:rPr>
          <w:rFonts w:ascii="Arial" w:hAnsi="Arial" w:cs="Arial"/>
          <w:sz w:val="20"/>
          <w:szCs w:val="20"/>
        </w:rPr>
        <w:t xml:space="preserve"> </w:t>
      </w:r>
      <w:proofErr w:type="spellStart"/>
      <w:r w:rsidRPr="005E3540">
        <w:rPr>
          <w:rFonts w:ascii="Arial" w:hAnsi="Arial" w:cs="Arial"/>
          <w:sz w:val="20"/>
          <w:szCs w:val="20"/>
        </w:rPr>
        <w:t>external</w:t>
      </w:r>
      <w:proofErr w:type="spellEnd"/>
      <w:r w:rsidRPr="005E3540">
        <w:rPr>
          <w:rFonts w:ascii="Arial" w:hAnsi="Arial" w:cs="Arial"/>
          <w:sz w:val="20"/>
          <w:szCs w:val="20"/>
        </w:rPr>
        <w:t xml:space="preserve"> </w:t>
      </w:r>
      <w:proofErr w:type="spellStart"/>
      <w:r w:rsidRPr="005E3540">
        <w:rPr>
          <w:rFonts w:ascii="Arial" w:hAnsi="Arial" w:cs="Arial"/>
          <w:sz w:val="20"/>
          <w:szCs w:val="20"/>
        </w:rPr>
        <w:t>vulnerabilities</w:t>
      </w:r>
      <w:proofErr w:type="spellEnd"/>
      <w:r w:rsidRPr="005E3540">
        <w:rPr>
          <w:rFonts w:ascii="Arial" w:hAnsi="Arial" w:cs="Arial"/>
          <w:sz w:val="20"/>
          <w:szCs w:val="20"/>
        </w:rPr>
        <w:t xml:space="preserve"> [Tesis de maestría, </w:t>
      </w:r>
      <w:proofErr w:type="spellStart"/>
      <w:r w:rsidRPr="005E3540">
        <w:rPr>
          <w:rFonts w:ascii="Arial" w:hAnsi="Arial" w:cs="Arial"/>
          <w:sz w:val="20"/>
          <w:szCs w:val="20"/>
        </w:rPr>
        <w:t>Graduate</w:t>
      </w:r>
      <w:proofErr w:type="spellEnd"/>
      <w:r w:rsidRPr="005E3540">
        <w:rPr>
          <w:rFonts w:ascii="Arial" w:hAnsi="Arial" w:cs="Arial"/>
          <w:sz w:val="20"/>
          <w:szCs w:val="20"/>
        </w:rPr>
        <w:t xml:space="preserve"> School </w:t>
      </w:r>
      <w:proofErr w:type="spellStart"/>
      <w:r w:rsidRPr="005E3540">
        <w:rPr>
          <w:rFonts w:ascii="Arial" w:hAnsi="Arial" w:cs="Arial"/>
          <w:sz w:val="20"/>
          <w:szCs w:val="20"/>
        </w:rPr>
        <w:t>of</w:t>
      </w:r>
      <w:proofErr w:type="spellEnd"/>
      <w:r w:rsidRPr="005E3540">
        <w:rPr>
          <w:rFonts w:ascii="Arial" w:hAnsi="Arial" w:cs="Arial"/>
          <w:sz w:val="20"/>
          <w:szCs w:val="20"/>
        </w:rPr>
        <w:t xml:space="preserve"> Public Policy (</w:t>
      </w:r>
      <w:proofErr w:type="spellStart"/>
      <w:r w:rsidRPr="005E3540">
        <w:rPr>
          <w:rFonts w:ascii="Arial" w:hAnsi="Arial" w:cs="Arial"/>
          <w:sz w:val="20"/>
          <w:szCs w:val="20"/>
        </w:rPr>
        <w:t>GraSPP</w:t>
      </w:r>
      <w:proofErr w:type="spellEnd"/>
      <w:r w:rsidRPr="005E3540">
        <w:rPr>
          <w:rFonts w:ascii="Arial" w:hAnsi="Arial" w:cs="Arial"/>
          <w:sz w:val="20"/>
          <w:szCs w:val="20"/>
        </w:rPr>
        <w:t xml:space="preserve">), The </w:t>
      </w:r>
      <w:proofErr w:type="spellStart"/>
      <w:r w:rsidRPr="005E3540">
        <w:rPr>
          <w:rFonts w:ascii="Arial" w:hAnsi="Arial" w:cs="Arial"/>
          <w:sz w:val="20"/>
          <w:szCs w:val="20"/>
        </w:rPr>
        <w:t>University</w:t>
      </w:r>
      <w:proofErr w:type="spellEnd"/>
      <w:r w:rsidRPr="005E3540">
        <w:rPr>
          <w:rFonts w:ascii="Arial" w:hAnsi="Arial" w:cs="Arial"/>
          <w:sz w:val="20"/>
          <w:szCs w:val="20"/>
        </w:rPr>
        <w:t xml:space="preserve"> </w:t>
      </w:r>
      <w:proofErr w:type="spellStart"/>
      <w:r w:rsidRPr="005E3540">
        <w:rPr>
          <w:rFonts w:ascii="Arial" w:hAnsi="Arial" w:cs="Arial"/>
          <w:sz w:val="20"/>
          <w:szCs w:val="20"/>
        </w:rPr>
        <w:t>of</w:t>
      </w:r>
      <w:proofErr w:type="spellEnd"/>
      <w:r w:rsidRPr="005E3540">
        <w:rPr>
          <w:rFonts w:ascii="Arial" w:hAnsi="Arial" w:cs="Arial"/>
          <w:sz w:val="20"/>
          <w:szCs w:val="20"/>
        </w:rPr>
        <w:t xml:space="preserve"> </w:t>
      </w:r>
      <w:proofErr w:type="spellStart"/>
      <w:r w:rsidRPr="005E3540">
        <w:rPr>
          <w:rFonts w:ascii="Arial" w:hAnsi="Arial" w:cs="Arial"/>
          <w:sz w:val="20"/>
          <w:szCs w:val="20"/>
        </w:rPr>
        <w:t>Tokyo</w:t>
      </w:r>
      <w:proofErr w:type="spellEnd"/>
      <w:r w:rsidRPr="005E3540">
        <w:rPr>
          <w:rFonts w:ascii="Arial" w:hAnsi="Arial" w:cs="Arial"/>
          <w:sz w:val="20"/>
          <w:szCs w:val="20"/>
        </w:rPr>
        <w:t xml:space="preserve">]. Repositorio Institucional </w:t>
      </w:r>
      <w:proofErr w:type="spellStart"/>
      <w:r w:rsidRPr="005E3540">
        <w:rPr>
          <w:rFonts w:ascii="Arial" w:hAnsi="Arial" w:cs="Arial"/>
          <w:sz w:val="20"/>
          <w:szCs w:val="20"/>
        </w:rPr>
        <w:t>GraSPP</w:t>
      </w:r>
      <w:proofErr w:type="spellEnd"/>
      <w:r w:rsidRPr="005E3540">
        <w:rPr>
          <w:rFonts w:ascii="Arial" w:hAnsi="Arial" w:cs="Arial"/>
          <w:sz w:val="20"/>
          <w:szCs w:val="20"/>
        </w:rPr>
        <w:t>.</w:t>
      </w:r>
    </w:p>
    <w:p w14:paraId="2622D995" w14:textId="5A6CEE93"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Hébert, B., &amp; Schreger, J. (2017). The costs of sovereign default: Evidence from Argentina. </w:t>
      </w:r>
      <w:r>
        <w:rPr>
          <w:rFonts w:ascii="Arial" w:eastAsia="Times New Roman" w:hAnsi="Arial" w:cs="Arial"/>
          <w:i/>
          <w:iCs/>
          <w:kern w:val="0"/>
          <w:sz w:val="20"/>
          <w:szCs w:val="20"/>
          <w:lang w:eastAsia="es-AR"/>
          <w14:ligatures w14:val="none"/>
        </w:rPr>
        <w:t>American Economic Review</w:t>
      </w:r>
      <w:r>
        <w:rPr>
          <w:rFonts w:ascii="Arial" w:eastAsia="Times New Roman" w:hAnsi="Arial" w:cs="Arial"/>
          <w:kern w:val="0"/>
          <w:sz w:val="20"/>
          <w:szCs w:val="20"/>
          <w:lang w:eastAsia="es-AR"/>
          <w14:ligatures w14:val="none"/>
        </w:rPr>
        <w:t>, 107(10), 3119-3145. (Versión previa: NBER Working Paper No. 22270, 2016).</w:t>
      </w:r>
    </w:p>
    <w:p w14:paraId="64DC5CA1"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Klemm, A., Meier, A., &amp; Sosa, S. (2014). Spillovers to Latin America from the normalization of U.S. monetary policy. En D. Iakova, L. M. Cubeddu, G. Adler, &amp; S. Sosa (Eds.), </w:t>
      </w:r>
      <w:r>
        <w:rPr>
          <w:rFonts w:ascii="Arial" w:eastAsia="Times New Roman" w:hAnsi="Arial" w:cs="Arial"/>
          <w:i/>
          <w:iCs/>
          <w:kern w:val="0"/>
          <w:sz w:val="20"/>
          <w:szCs w:val="20"/>
          <w:lang w:eastAsia="es-AR"/>
          <w14:ligatures w14:val="none"/>
        </w:rPr>
        <w:t>Latin America: New challenges to growth and stability</w:t>
      </w:r>
      <w:r>
        <w:rPr>
          <w:rFonts w:ascii="Arial" w:eastAsia="Times New Roman" w:hAnsi="Arial" w:cs="Arial"/>
          <w:kern w:val="0"/>
          <w:sz w:val="20"/>
          <w:szCs w:val="20"/>
          <w:lang w:eastAsia="es-AR"/>
          <w14:ligatures w14:val="none"/>
        </w:rPr>
        <w:t>. Fondo Monetario Internacional.</w:t>
      </w:r>
    </w:p>
    <w:p w14:paraId="2201FAA7"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Levy Yeyati, E., &amp; Sturzenegger, F. (2023). A balance-sheet approach to fiscal sustainability. </w:t>
      </w:r>
      <w:r>
        <w:rPr>
          <w:rFonts w:ascii="Arial" w:eastAsia="Times New Roman" w:hAnsi="Arial" w:cs="Arial"/>
          <w:i/>
          <w:iCs/>
          <w:kern w:val="0"/>
          <w:sz w:val="20"/>
          <w:szCs w:val="20"/>
          <w:lang w:eastAsia="es-AR"/>
          <w14:ligatures w14:val="none"/>
        </w:rPr>
        <w:t>Fiscal Studies</w:t>
      </w:r>
      <w:r>
        <w:rPr>
          <w:rFonts w:ascii="Arial" w:eastAsia="Times New Roman" w:hAnsi="Arial" w:cs="Arial"/>
          <w:kern w:val="0"/>
          <w:sz w:val="20"/>
          <w:szCs w:val="20"/>
          <w:lang w:eastAsia="es-AR"/>
          <w14:ligatures w14:val="none"/>
        </w:rPr>
        <w:t>, 44(1), 61-84. (Versión previa: Working Paper, 2021).</w:t>
      </w:r>
    </w:p>
    <w:p w14:paraId="40F9A41F"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Medeiros, J. (2012). </w:t>
      </w:r>
      <w:r>
        <w:rPr>
          <w:rFonts w:ascii="Arial" w:eastAsia="Times New Roman" w:hAnsi="Arial" w:cs="Arial"/>
          <w:i/>
          <w:iCs/>
          <w:kern w:val="0"/>
          <w:sz w:val="20"/>
          <w:szCs w:val="20"/>
          <w:lang w:eastAsia="es-AR"/>
          <w14:ligatures w14:val="none"/>
        </w:rPr>
        <w:t>Stochastic debt simulation using VAR models and a panel fiscal reaction function: Results for a selected number of countries</w:t>
      </w:r>
      <w:r>
        <w:rPr>
          <w:rFonts w:ascii="Arial" w:eastAsia="Times New Roman" w:hAnsi="Arial" w:cs="Arial"/>
          <w:kern w:val="0"/>
          <w:sz w:val="20"/>
          <w:szCs w:val="20"/>
          <w:lang w:eastAsia="es-AR"/>
          <w14:ligatures w14:val="none"/>
        </w:rPr>
        <w:t xml:space="preserve"> (European Economy - Economic Papers 459). Comisión Europea.</w:t>
      </w:r>
    </w:p>
    <w:p w14:paraId="2CA6AF8A" w14:textId="5BE3CD0C" w:rsidR="005E3540" w:rsidRPr="005E3540" w:rsidRDefault="005E3540">
      <w:pPr>
        <w:spacing w:before="100" w:beforeAutospacing="1" w:after="100" w:afterAutospacing="1" w:line="240" w:lineRule="auto"/>
        <w:rPr>
          <w:rFonts w:ascii="Arial" w:hAnsi="Arial" w:cs="Arial"/>
          <w:sz w:val="20"/>
          <w:szCs w:val="20"/>
        </w:rPr>
      </w:pPr>
      <w:r w:rsidRPr="005E3540">
        <w:rPr>
          <w:rFonts w:ascii="Arial" w:hAnsi="Arial" w:cs="Arial"/>
          <w:sz w:val="20"/>
          <w:szCs w:val="20"/>
        </w:rPr>
        <w:t xml:space="preserve">Mendoza, E. G., &amp; Oviedo, P. M. (2007). Public </w:t>
      </w:r>
      <w:proofErr w:type="spellStart"/>
      <w:r w:rsidRPr="005E3540">
        <w:rPr>
          <w:rFonts w:ascii="Arial" w:hAnsi="Arial" w:cs="Arial"/>
          <w:sz w:val="20"/>
          <w:szCs w:val="20"/>
        </w:rPr>
        <w:t>debt</w:t>
      </w:r>
      <w:proofErr w:type="spellEnd"/>
      <w:r w:rsidRPr="005E3540">
        <w:rPr>
          <w:rFonts w:ascii="Arial" w:hAnsi="Arial" w:cs="Arial"/>
          <w:sz w:val="20"/>
          <w:szCs w:val="20"/>
        </w:rPr>
        <w:t xml:space="preserve">, fiscal </w:t>
      </w:r>
      <w:proofErr w:type="spellStart"/>
      <w:r w:rsidRPr="005E3540">
        <w:rPr>
          <w:rFonts w:ascii="Arial" w:hAnsi="Arial" w:cs="Arial"/>
          <w:sz w:val="20"/>
          <w:szCs w:val="20"/>
        </w:rPr>
        <w:t>solvency</w:t>
      </w:r>
      <w:proofErr w:type="spellEnd"/>
      <w:r w:rsidRPr="005E3540">
        <w:rPr>
          <w:rFonts w:ascii="Arial" w:hAnsi="Arial" w:cs="Arial"/>
          <w:sz w:val="20"/>
          <w:szCs w:val="20"/>
        </w:rPr>
        <w:t xml:space="preserve"> and </w:t>
      </w:r>
      <w:proofErr w:type="spellStart"/>
      <w:r w:rsidRPr="005E3540">
        <w:rPr>
          <w:rFonts w:ascii="Arial" w:hAnsi="Arial" w:cs="Arial"/>
          <w:sz w:val="20"/>
          <w:szCs w:val="20"/>
        </w:rPr>
        <w:t>macroeconomic</w:t>
      </w:r>
      <w:proofErr w:type="spellEnd"/>
      <w:r w:rsidRPr="005E3540">
        <w:rPr>
          <w:rFonts w:ascii="Arial" w:hAnsi="Arial" w:cs="Arial"/>
          <w:sz w:val="20"/>
          <w:szCs w:val="20"/>
        </w:rPr>
        <w:t xml:space="preserve"> </w:t>
      </w:r>
      <w:proofErr w:type="spellStart"/>
      <w:r w:rsidRPr="005E3540">
        <w:rPr>
          <w:rFonts w:ascii="Arial" w:hAnsi="Arial" w:cs="Arial"/>
          <w:sz w:val="20"/>
          <w:szCs w:val="20"/>
        </w:rPr>
        <w:t>uncertainty</w:t>
      </w:r>
      <w:proofErr w:type="spellEnd"/>
      <w:r w:rsidRPr="005E3540">
        <w:rPr>
          <w:rFonts w:ascii="Arial" w:hAnsi="Arial" w:cs="Arial"/>
          <w:sz w:val="20"/>
          <w:szCs w:val="20"/>
        </w:rPr>
        <w:t xml:space="preserve"> in </w:t>
      </w:r>
      <w:proofErr w:type="spellStart"/>
      <w:r w:rsidRPr="005E3540">
        <w:rPr>
          <w:rFonts w:ascii="Arial" w:hAnsi="Arial" w:cs="Arial"/>
          <w:sz w:val="20"/>
          <w:szCs w:val="20"/>
        </w:rPr>
        <w:t>Latin</w:t>
      </w:r>
      <w:proofErr w:type="spellEnd"/>
      <w:r w:rsidRPr="005E3540">
        <w:rPr>
          <w:rFonts w:ascii="Arial" w:hAnsi="Arial" w:cs="Arial"/>
          <w:sz w:val="20"/>
          <w:szCs w:val="20"/>
        </w:rPr>
        <w:t xml:space="preserve"> </w:t>
      </w:r>
      <w:proofErr w:type="spellStart"/>
      <w:r w:rsidRPr="005E3540">
        <w:rPr>
          <w:rFonts w:ascii="Arial" w:hAnsi="Arial" w:cs="Arial"/>
          <w:sz w:val="20"/>
          <w:szCs w:val="20"/>
        </w:rPr>
        <w:t>America</w:t>
      </w:r>
      <w:proofErr w:type="spellEnd"/>
      <w:r w:rsidRPr="005E3540">
        <w:rPr>
          <w:rFonts w:ascii="Arial" w:hAnsi="Arial" w:cs="Arial"/>
          <w:sz w:val="20"/>
          <w:szCs w:val="20"/>
        </w:rPr>
        <w:t xml:space="preserve">: The cases </w:t>
      </w:r>
      <w:proofErr w:type="spellStart"/>
      <w:r w:rsidRPr="005E3540">
        <w:rPr>
          <w:rFonts w:ascii="Arial" w:hAnsi="Arial" w:cs="Arial"/>
          <w:sz w:val="20"/>
          <w:szCs w:val="20"/>
        </w:rPr>
        <w:t>of</w:t>
      </w:r>
      <w:proofErr w:type="spellEnd"/>
      <w:r w:rsidRPr="005E3540">
        <w:rPr>
          <w:rFonts w:ascii="Arial" w:hAnsi="Arial" w:cs="Arial"/>
          <w:sz w:val="20"/>
          <w:szCs w:val="20"/>
        </w:rPr>
        <w:t xml:space="preserve"> Brazil, Colombia, Costa Rica and </w:t>
      </w:r>
      <w:proofErr w:type="spellStart"/>
      <w:r w:rsidRPr="005E3540">
        <w:rPr>
          <w:rFonts w:ascii="Arial" w:hAnsi="Arial" w:cs="Arial"/>
          <w:sz w:val="20"/>
          <w:szCs w:val="20"/>
        </w:rPr>
        <w:t>Mexico</w:t>
      </w:r>
      <w:proofErr w:type="spellEnd"/>
      <w:r w:rsidRPr="005E3540">
        <w:rPr>
          <w:rFonts w:ascii="Arial" w:hAnsi="Arial" w:cs="Arial"/>
          <w:sz w:val="20"/>
          <w:szCs w:val="20"/>
        </w:rPr>
        <w:t>. Economía</w:t>
      </w:r>
    </w:p>
    <w:p w14:paraId="79A2D58A" w14:textId="3AE2DF8B"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Neumeyer, P. A., &amp; Perri, F. (2005). Business cycles in emerging economies: The role of interest rates. </w:t>
      </w:r>
      <w:r>
        <w:rPr>
          <w:rFonts w:ascii="Arial" w:eastAsia="Times New Roman" w:hAnsi="Arial" w:cs="Arial"/>
          <w:i/>
          <w:iCs/>
          <w:kern w:val="0"/>
          <w:sz w:val="20"/>
          <w:szCs w:val="20"/>
          <w:lang w:eastAsia="es-AR"/>
          <w14:ligatures w14:val="none"/>
        </w:rPr>
        <w:t>Journal of Monetary Economics</w:t>
      </w:r>
      <w:r>
        <w:rPr>
          <w:rFonts w:ascii="Arial" w:eastAsia="Times New Roman" w:hAnsi="Arial" w:cs="Arial"/>
          <w:kern w:val="0"/>
          <w:sz w:val="20"/>
          <w:szCs w:val="20"/>
          <w:lang w:eastAsia="es-AR"/>
          <w14:ligatures w14:val="none"/>
        </w:rPr>
        <w:t>, 52(2), 345-380.</w:t>
      </w:r>
    </w:p>
    <w:p w14:paraId="42196402" w14:textId="330194C3" w:rsidR="005E3540" w:rsidRPr="005E3540" w:rsidRDefault="005E3540">
      <w:pPr>
        <w:spacing w:before="100" w:beforeAutospacing="1" w:after="100" w:afterAutospacing="1" w:line="240" w:lineRule="auto"/>
        <w:rPr>
          <w:rFonts w:ascii="Arial" w:eastAsia="Times New Roman" w:hAnsi="Arial" w:cs="Arial"/>
          <w:kern w:val="0"/>
          <w:sz w:val="20"/>
          <w:szCs w:val="20"/>
          <w:lang w:eastAsia="es-AR"/>
          <w14:ligatures w14:val="none"/>
        </w:rPr>
      </w:pPr>
      <w:r w:rsidRPr="005E3540">
        <w:rPr>
          <w:rFonts w:ascii="Arial" w:hAnsi="Arial" w:cs="Arial"/>
          <w:sz w:val="20"/>
          <w:szCs w:val="20"/>
        </w:rPr>
        <w:t xml:space="preserve">Porto, A. (2020). Evolución del sector público argentino en el largo plazo (Documento de Trabajo </w:t>
      </w:r>
      <w:proofErr w:type="spellStart"/>
      <w:r w:rsidRPr="005E3540">
        <w:rPr>
          <w:rFonts w:ascii="Arial" w:hAnsi="Arial" w:cs="Arial"/>
          <w:sz w:val="20"/>
          <w:szCs w:val="20"/>
        </w:rPr>
        <w:t>N.°</w:t>
      </w:r>
      <w:proofErr w:type="spellEnd"/>
      <w:r w:rsidRPr="005E3540">
        <w:rPr>
          <w:rFonts w:ascii="Arial" w:hAnsi="Arial" w:cs="Arial"/>
          <w:sz w:val="20"/>
          <w:szCs w:val="20"/>
        </w:rPr>
        <w:t xml:space="preserve"> 36). Centro de Estudios en Finanzas Públicas (CEFIP), Universidad Nacional de La Plata.</w:t>
      </w:r>
    </w:p>
    <w:p w14:paraId="161F4C34" w14:textId="5D8E95E5"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Reinhart, C. M., &amp; Rogoff, K. S. (2009). </w:t>
      </w:r>
      <w:r>
        <w:rPr>
          <w:rFonts w:ascii="Arial" w:eastAsia="Times New Roman" w:hAnsi="Arial" w:cs="Arial"/>
          <w:i/>
          <w:iCs/>
          <w:kern w:val="0"/>
          <w:sz w:val="20"/>
          <w:szCs w:val="20"/>
          <w:lang w:eastAsia="es-AR"/>
          <w14:ligatures w14:val="none"/>
        </w:rPr>
        <w:t>This time is different: Eight centuries of financial folly</w:t>
      </w:r>
      <w:r>
        <w:rPr>
          <w:rFonts w:ascii="Arial" w:eastAsia="Times New Roman" w:hAnsi="Arial" w:cs="Arial"/>
          <w:kern w:val="0"/>
          <w:sz w:val="20"/>
          <w:szCs w:val="20"/>
          <w:lang w:eastAsia="es-AR"/>
          <w14:ligatures w14:val="none"/>
        </w:rPr>
        <w:t>. Princeton University Press.</w:t>
      </w:r>
    </w:p>
    <w:p w14:paraId="49BB23F5"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Reinhart, C. M., Rogoff, K. S., &amp; Savastano, M. A. (2003). Debt intolerance. </w:t>
      </w:r>
      <w:r>
        <w:rPr>
          <w:rFonts w:ascii="Arial" w:eastAsia="Times New Roman" w:hAnsi="Arial" w:cs="Arial"/>
          <w:i/>
          <w:iCs/>
          <w:kern w:val="0"/>
          <w:sz w:val="20"/>
          <w:szCs w:val="20"/>
          <w:lang w:eastAsia="es-AR"/>
          <w14:ligatures w14:val="none"/>
        </w:rPr>
        <w:t>Brookings Papers on Economic Activity</w:t>
      </w:r>
      <w:r>
        <w:rPr>
          <w:rFonts w:ascii="Arial" w:eastAsia="Times New Roman" w:hAnsi="Arial" w:cs="Arial"/>
          <w:kern w:val="0"/>
          <w:sz w:val="20"/>
          <w:szCs w:val="20"/>
          <w:lang w:eastAsia="es-AR"/>
          <w14:ligatures w14:val="none"/>
        </w:rPr>
        <w:t>, 2003(1), 1-74.</w:t>
      </w:r>
    </w:p>
    <w:p w14:paraId="2B5F4945"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Renzhi, N., &amp; Beirne, J. (2024). </w:t>
      </w:r>
      <w:r>
        <w:rPr>
          <w:rFonts w:ascii="Arial" w:eastAsia="Times New Roman" w:hAnsi="Arial" w:cs="Arial"/>
          <w:i/>
          <w:iCs/>
          <w:kern w:val="0"/>
          <w:sz w:val="20"/>
          <w:szCs w:val="20"/>
          <w:lang w:eastAsia="es-AR"/>
          <w14:ligatures w14:val="none"/>
        </w:rPr>
        <w:t>Global shocks and monetary policy transmission in emerging markets</w:t>
      </w:r>
      <w:r>
        <w:rPr>
          <w:rFonts w:ascii="Arial" w:eastAsia="Times New Roman" w:hAnsi="Arial" w:cs="Arial"/>
          <w:kern w:val="0"/>
          <w:sz w:val="20"/>
          <w:szCs w:val="20"/>
          <w:lang w:eastAsia="es-AR"/>
          <w14:ligatures w14:val="none"/>
        </w:rPr>
        <w:t xml:space="preserve"> (ADB Economics Working Paper Series No. 726). Asian Development Bank.</w:t>
      </w:r>
    </w:p>
    <w:p w14:paraId="018A98B0"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Rigobon, R. (2003). Identification through heteroskedasticity. </w:t>
      </w:r>
      <w:r>
        <w:rPr>
          <w:rFonts w:ascii="Arial" w:eastAsia="Times New Roman" w:hAnsi="Arial" w:cs="Arial"/>
          <w:i/>
          <w:iCs/>
          <w:kern w:val="0"/>
          <w:sz w:val="20"/>
          <w:szCs w:val="20"/>
          <w:lang w:eastAsia="es-AR"/>
          <w14:ligatures w14:val="none"/>
        </w:rPr>
        <w:t>The Review of Economics and Statistics</w:t>
      </w:r>
      <w:r>
        <w:rPr>
          <w:rFonts w:ascii="Arial" w:eastAsia="Times New Roman" w:hAnsi="Arial" w:cs="Arial"/>
          <w:kern w:val="0"/>
          <w:sz w:val="20"/>
          <w:szCs w:val="20"/>
          <w:lang w:eastAsia="es-AR"/>
          <w14:ligatures w14:val="none"/>
        </w:rPr>
        <w:t>, 85(4), 777-792.</w:t>
      </w:r>
    </w:p>
    <w:p w14:paraId="3D104964"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Rigobon, R., &amp; Sack, B. (2004). The impact of monetary policy on asset prices. </w:t>
      </w:r>
      <w:r>
        <w:rPr>
          <w:rFonts w:ascii="Arial" w:eastAsia="Times New Roman" w:hAnsi="Arial" w:cs="Arial"/>
          <w:i/>
          <w:iCs/>
          <w:kern w:val="0"/>
          <w:sz w:val="20"/>
          <w:szCs w:val="20"/>
          <w:lang w:eastAsia="es-AR"/>
          <w14:ligatures w14:val="none"/>
        </w:rPr>
        <w:t>Journal of Monetary Economics</w:t>
      </w:r>
      <w:r>
        <w:rPr>
          <w:rFonts w:ascii="Arial" w:eastAsia="Times New Roman" w:hAnsi="Arial" w:cs="Arial"/>
          <w:kern w:val="0"/>
          <w:sz w:val="20"/>
          <w:szCs w:val="20"/>
          <w:lang w:eastAsia="es-AR"/>
          <w14:ligatures w14:val="none"/>
        </w:rPr>
        <w:t>, 51(8), 1553-1575.</w:t>
      </w:r>
    </w:p>
    <w:p w14:paraId="441A0FBB" w14:textId="77777777" w:rsidR="00B55618" w:rsidRPr="00B55618" w:rsidRDefault="00B55618" w:rsidP="00B55618">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Rodríguez, A. (2023). Financiamiento y sostenibilidad de la deuda pública: El caso de la economía argentina (2001-2022). </w:t>
      </w:r>
      <w:r>
        <w:rPr>
          <w:rFonts w:ascii="Arial" w:eastAsia="Times New Roman" w:hAnsi="Arial" w:cs="Arial"/>
          <w:i/>
          <w:iCs/>
          <w:kern w:val="0"/>
          <w:sz w:val="20"/>
          <w:szCs w:val="20"/>
          <w:lang w:eastAsia="es-AR"/>
          <w14:ligatures w14:val="none"/>
        </w:rPr>
        <w:t>Ciencias Económicas</w:t>
      </w:r>
      <w:r>
        <w:rPr>
          <w:rFonts w:ascii="Arial" w:eastAsia="Times New Roman" w:hAnsi="Arial" w:cs="Arial"/>
          <w:kern w:val="0"/>
          <w:sz w:val="20"/>
          <w:szCs w:val="20"/>
          <w:lang w:eastAsia="es-AR"/>
          <w14:ligatures w14:val="none"/>
        </w:rPr>
        <w:t>, 2(20). Universidad Nacional del Litoral.</w:t>
      </w:r>
    </w:p>
    <w:p w14:paraId="34DC56AC" w14:textId="77777777" w:rsidR="003F0634" w:rsidRDefault="0000000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Uribe, M., &amp; Yue, V. Z. (2006). Country spreads and emerging countries: Who drives whom? </w:t>
      </w:r>
      <w:r>
        <w:rPr>
          <w:rFonts w:ascii="Arial" w:eastAsia="Times New Roman" w:hAnsi="Arial" w:cs="Arial"/>
          <w:i/>
          <w:iCs/>
          <w:kern w:val="0"/>
          <w:sz w:val="20"/>
          <w:szCs w:val="20"/>
          <w:lang w:eastAsia="es-AR"/>
          <w14:ligatures w14:val="none"/>
        </w:rPr>
        <w:t>Journal of International Economics</w:t>
      </w:r>
      <w:r>
        <w:rPr>
          <w:rFonts w:ascii="Arial" w:eastAsia="Times New Roman" w:hAnsi="Arial" w:cs="Arial"/>
          <w:kern w:val="0"/>
          <w:sz w:val="20"/>
          <w:szCs w:val="20"/>
          <w:lang w:eastAsia="es-AR"/>
          <w14:ligatures w14:val="none"/>
        </w:rPr>
        <w:t>, 69(1), 6-36.</w:t>
      </w:r>
    </w:p>
    <w:p w14:paraId="6E6D2135" w14:textId="4D3E2425" w:rsidR="00D55A96" w:rsidRPr="005E3540" w:rsidRDefault="00B55618" w:rsidP="005E3540">
      <w:pPr>
        <w:spacing w:before="100" w:beforeAutospacing="1" w:after="100" w:afterAutospacing="1" w:line="240" w:lineRule="auto"/>
        <w:rPr>
          <w:rFonts w:ascii="Arial" w:eastAsia="Times New Roman" w:hAnsi="Arial" w:cs="Arial"/>
          <w:kern w:val="0"/>
          <w:sz w:val="20"/>
          <w:szCs w:val="20"/>
          <w:lang w:eastAsia="es-AR"/>
          <w14:ligatures w14:val="none"/>
        </w:rPr>
      </w:pPr>
      <w:r>
        <w:rPr>
          <w:rFonts w:ascii="Arial" w:eastAsia="Times New Roman" w:hAnsi="Arial" w:cs="Arial"/>
          <w:kern w:val="0"/>
          <w:sz w:val="20"/>
          <w:szCs w:val="20"/>
          <w:lang w:eastAsia="es-AR"/>
          <w14:ligatures w14:val="none"/>
        </w:rPr>
        <w:t xml:space="preserve">Wijayanti, R., &amp; Rachmanira, S. (2020). Early warning system for government debt crisis in developing countries. </w:t>
      </w:r>
      <w:r>
        <w:rPr>
          <w:rFonts w:ascii="Arial" w:eastAsia="Times New Roman" w:hAnsi="Arial" w:cs="Arial"/>
          <w:i/>
          <w:iCs/>
          <w:kern w:val="0"/>
          <w:sz w:val="20"/>
          <w:szCs w:val="20"/>
          <w:lang w:eastAsia="es-AR"/>
          <w14:ligatures w14:val="none"/>
        </w:rPr>
        <w:t>Journal of Central Banking Theory and Practice</w:t>
      </w:r>
      <w:r>
        <w:rPr>
          <w:rFonts w:ascii="Arial" w:eastAsia="Times New Roman" w:hAnsi="Arial" w:cs="Arial"/>
          <w:kern w:val="0"/>
          <w:sz w:val="20"/>
          <w:szCs w:val="20"/>
          <w:lang w:eastAsia="es-AR"/>
          <w14:ligatures w14:val="none"/>
        </w:rPr>
        <w:t>, 9(número especial), 103-124.</w:t>
      </w:r>
    </w:p>
    <w:sectPr w:rsidR="00D55A96" w:rsidRPr="005E3540">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8639" w14:textId="77777777" w:rsidR="00212923" w:rsidRDefault="00212923" w:rsidP="00DE6F55">
      <w:pPr>
        <w:spacing w:after="0" w:line="240" w:lineRule="auto"/>
      </w:pPr>
      <w:r>
        <w:separator/>
      </w:r>
    </w:p>
  </w:endnote>
  <w:endnote w:type="continuationSeparator" w:id="0">
    <w:p w14:paraId="7AC4AB7B" w14:textId="77777777" w:rsidR="00212923" w:rsidRDefault="00212923" w:rsidP="00DE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7481" w14:textId="77777777" w:rsidR="0060560A" w:rsidRDefault="0060560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AFF6" w14:textId="77777777" w:rsidR="00DE6F55" w:rsidRPr="00DE6F55" w:rsidRDefault="00DE6F55" w:rsidP="00DE6F55">
    <w:pPr>
      <w:pStyle w:val="Piedepgina"/>
      <w:rPr>
        <w:rFonts w:ascii="Arial" w:hAnsi="Arial" w:cs="Arial"/>
        <w:sz w:val="16"/>
        <w:szCs w:val="16"/>
      </w:rPr>
    </w:pPr>
    <w:proofErr w:type="spellStart"/>
    <w:r w:rsidRPr="00DE6F55">
      <w:rPr>
        <w:rFonts w:ascii="Arial" w:hAnsi="Arial" w:cs="Arial"/>
        <w:sz w:val="16"/>
        <w:szCs w:val="16"/>
      </w:rPr>
      <w:t>Fanchart</w:t>
    </w:r>
    <w:proofErr w:type="spellEnd"/>
    <w:r w:rsidRPr="00DE6F55">
      <w:rPr>
        <w:rFonts w:ascii="Arial" w:hAnsi="Arial" w:cs="Arial"/>
        <w:sz w:val="16"/>
        <w:szCs w:val="16"/>
      </w:rPr>
      <w:t>: Herramienta de representación gráfica probabilística que proyecta la trayectoria futura de una variable macroeconómica. Se construye a partir de diferentes percentiles de la distribución obtenida mediante simulaciones estocásticas y permite visualizar la dispersión de riesgos y la volatilidad alrededor de una proyección central.</w:t>
    </w:r>
  </w:p>
  <w:p w14:paraId="6DFB56F1" w14:textId="77777777" w:rsidR="00DE6F55" w:rsidRPr="00DE6F55" w:rsidRDefault="00DE6F55">
    <w:pPr>
      <w:pStyle w:val="Piedepgina"/>
      <w:rPr>
        <w:rFonts w:ascii="Arial" w:hAnsi="Arial" w:cs="Arial"/>
        <w:sz w:val="16"/>
        <w:szCs w:val="16"/>
      </w:rPr>
    </w:pPr>
    <w:r w:rsidRPr="00DE6F55">
      <w:rPr>
        <w:rFonts w:ascii="Arial" w:hAnsi="Arial" w:cs="Arial"/>
        <w:sz w:val="16"/>
        <w:szCs w:val="16"/>
      </w:rPr>
      <w:t xml:space="preserve">Early Warning </w:t>
    </w:r>
    <w:proofErr w:type="spellStart"/>
    <w:r w:rsidRPr="00DE6F55">
      <w:rPr>
        <w:rFonts w:ascii="Arial" w:hAnsi="Arial" w:cs="Arial"/>
        <w:sz w:val="16"/>
        <w:szCs w:val="16"/>
      </w:rPr>
      <w:t>Systems</w:t>
    </w:r>
    <w:proofErr w:type="spellEnd"/>
    <w:r w:rsidRPr="00DE6F55">
      <w:rPr>
        <w:rFonts w:ascii="Arial" w:hAnsi="Arial" w:cs="Arial"/>
        <w:sz w:val="16"/>
        <w:szCs w:val="16"/>
      </w:rPr>
      <w:t>: Modelos econométricos cuantitativos diseñados para monitorear indicadores de vulnerabilidad macrofinanciera y estimar, con un horizonte de anticipación determinado, la probabilidad de ocurrencia de una crisis de deuda o de liquidez soberana.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22D8" w14:textId="77777777" w:rsidR="0060560A" w:rsidRDefault="006056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5ACCB" w14:textId="77777777" w:rsidR="00212923" w:rsidRDefault="00212923" w:rsidP="00DE6F55">
      <w:pPr>
        <w:spacing w:after="0" w:line="240" w:lineRule="auto"/>
      </w:pPr>
      <w:r>
        <w:separator/>
      </w:r>
    </w:p>
  </w:footnote>
  <w:footnote w:type="continuationSeparator" w:id="0">
    <w:p w14:paraId="687808D5" w14:textId="77777777" w:rsidR="00212923" w:rsidRDefault="00212923" w:rsidP="00DE6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D8"/>
    <w:multiLevelType w:val="multilevel"/>
    <w:tmpl w:val="2E2A85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93A8B"/>
    <w:multiLevelType w:val="multilevel"/>
    <w:tmpl w:val="355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821"/>
    <w:multiLevelType w:val="multilevel"/>
    <w:tmpl w:val="83B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31544"/>
    <w:multiLevelType w:val="multilevel"/>
    <w:tmpl w:val="18C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1768A"/>
    <w:multiLevelType w:val="multilevel"/>
    <w:tmpl w:val="A624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93C99"/>
    <w:multiLevelType w:val="multilevel"/>
    <w:tmpl w:val="F21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8F7"/>
    <w:multiLevelType w:val="multilevel"/>
    <w:tmpl w:val="78B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F3E1C"/>
    <w:multiLevelType w:val="multilevel"/>
    <w:tmpl w:val="CDE0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84E7A"/>
    <w:multiLevelType w:val="multilevel"/>
    <w:tmpl w:val="B85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1FB2"/>
    <w:multiLevelType w:val="multilevel"/>
    <w:tmpl w:val="2EA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1073F"/>
    <w:multiLevelType w:val="multilevel"/>
    <w:tmpl w:val="339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46650"/>
    <w:multiLevelType w:val="multilevel"/>
    <w:tmpl w:val="9B3A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46D20"/>
    <w:multiLevelType w:val="multilevel"/>
    <w:tmpl w:val="7C3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2283F"/>
    <w:multiLevelType w:val="multilevel"/>
    <w:tmpl w:val="75A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F6D0F"/>
    <w:multiLevelType w:val="multilevel"/>
    <w:tmpl w:val="5FF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1239B1"/>
    <w:multiLevelType w:val="multilevel"/>
    <w:tmpl w:val="163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B20FD"/>
    <w:multiLevelType w:val="multilevel"/>
    <w:tmpl w:val="8BC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F1CF6"/>
    <w:multiLevelType w:val="multilevel"/>
    <w:tmpl w:val="A5D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06474"/>
    <w:multiLevelType w:val="hybridMultilevel"/>
    <w:tmpl w:val="D2BAE4CC"/>
    <w:lvl w:ilvl="0" w:tplc="2C0A000F">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8F2743"/>
    <w:multiLevelType w:val="multilevel"/>
    <w:tmpl w:val="2E2A85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8606DCC"/>
    <w:multiLevelType w:val="multilevel"/>
    <w:tmpl w:val="2E2A85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BA03958"/>
    <w:multiLevelType w:val="multilevel"/>
    <w:tmpl w:val="304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F0244"/>
    <w:multiLevelType w:val="multilevel"/>
    <w:tmpl w:val="29FA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8426">
    <w:abstractNumId w:val="19"/>
  </w:num>
  <w:num w:numId="2" w16cid:durableId="1929729190">
    <w:abstractNumId w:val="5"/>
  </w:num>
  <w:num w:numId="3" w16cid:durableId="144320480">
    <w:abstractNumId w:val="13"/>
  </w:num>
  <w:num w:numId="4" w16cid:durableId="1899244607">
    <w:abstractNumId w:val="21"/>
  </w:num>
  <w:num w:numId="5" w16cid:durableId="917058478">
    <w:abstractNumId w:val="3"/>
  </w:num>
  <w:num w:numId="6" w16cid:durableId="566962085">
    <w:abstractNumId w:val="15"/>
  </w:num>
  <w:num w:numId="7" w16cid:durableId="450055381">
    <w:abstractNumId w:val="6"/>
  </w:num>
  <w:num w:numId="8" w16cid:durableId="1608804452">
    <w:abstractNumId w:val="16"/>
  </w:num>
  <w:num w:numId="9" w16cid:durableId="1641230725">
    <w:abstractNumId w:val="11"/>
  </w:num>
  <w:num w:numId="10" w16cid:durableId="156116421">
    <w:abstractNumId w:val="2"/>
  </w:num>
  <w:num w:numId="11" w16cid:durableId="1882471485">
    <w:abstractNumId w:val="14"/>
  </w:num>
  <w:num w:numId="12" w16cid:durableId="1483697937">
    <w:abstractNumId w:val="9"/>
  </w:num>
  <w:num w:numId="13" w16cid:durableId="1640845671">
    <w:abstractNumId w:val="12"/>
  </w:num>
  <w:num w:numId="14" w16cid:durableId="1988894389">
    <w:abstractNumId w:val="8"/>
  </w:num>
  <w:num w:numId="15" w16cid:durableId="1367683348">
    <w:abstractNumId w:val="1"/>
  </w:num>
  <w:num w:numId="16" w16cid:durableId="1441685581">
    <w:abstractNumId w:val="4"/>
  </w:num>
  <w:num w:numId="17" w16cid:durableId="736904277">
    <w:abstractNumId w:val="17"/>
  </w:num>
  <w:num w:numId="18" w16cid:durableId="1018237687">
    <w:abstractNumId w:val="10"/>
  </w:num>
  <w:num w:numId="19" w16cid:durableId="1291206359">
    <w:abstractNumId w:val="7"/>
  </w:num>
  <w:num w:numId="20" w16cid:durableId="1107654642">
    <w:abstractNumId w:val="22"/>
  </w:num>
  <w:num w:numId="21" w16cid:durableId="1802725999">
    <w:abstractNumId w:val="20"/>
  </w:num>
  <w:num w:numId="22" w16cid:durableId="1260216829">
    <w:abstractNumId w:val="0"/>
  </w:num>
  <w:num w:numId="23" w16cid:durableId="19128893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5B"/>
    <w:rsid w:val="00034215"/>
    <w:rsid w:val="000A4F54"/>
    <w:rsid w:val="000D3783"/>
    <w:rsid w:val="0012620F"/>
    <w:rsid w:val="00135A64"/>
    <w:rsid w:val="001A76D2"/>
    <w:rsid w:val="001B1DC6"/>
    <w:rsid w:val="001F3E48"/>
    <w:rsid w:val="00212923"/>
    <w:rsid w:val="002533FA"/>
    <w:rsid w:val="003C46FF"/>
    <w:rsid w:val="003F0634"/>
    <w:rsid w:val="004A014E"/>
    <w:rsid w:val="004E4D45"/>
    <w:rsid w:val="005E3540"/>
    <w:rsid w:val="0060560A"/>
    <w:rsid w:val="0066201F"/>
    <w:rsid w:val="00711A54"/>
    <w:rsid w:val="0071624A"/>
    <w:rsid w:val="00730DC6"/>
    <w:rsid w:val="00735B84"/>
    <w:rsid w:val="0075510D"/>
    <w:rsid w:val="007F2354"/>
    <w:rsid w:val="00834F4D"/>
    <w:rsid w:val="00862958"/>
    <w:rsid w:val="00895B4F"/>
    <w:rsid w:val="008B5425"/>
    <w:rsid w:val="008C2FCA"/>
    <w:rsid w:val="008D1F48"/>
    <w:rsid w:val="00920D75"/>
    <w:rsid w:val="00953D3F"/>
    <w:rsid w:val="009E225B"/>
    <w:rsid w:val="00A05888"/>
    <w:rsid w:val="00A52591"/>
    <w:rsid w:val="00A7429E"/>
    <w:rsid w:val="00AC2784"/>
    <w:rsid w:val="00AD1B8D"/>
    <w:rsid w:val="00B55618"/>
    <w:rsid w:val="00B95CA1"/>
    <w:rsid w:val="00BA5383"/>
    <w:rsid w:val="00BE7E9C"/>
    <w:rsid w:val="00C0358D"/>
    <w:rsid w:val="00C16ED6"/>
    <w:rsid w:val="00C355B3"/>
    <w:rsid w:val="00CF11AC"/>
    <w:rsid w:val="00D441A6"/>
    <w:rsid w:val="00D55A96"/>
    <w:rsid w:val="00D95D9A"/>
    <w:rsid w:val="00DE6F55"/>
    <w:rsid w:val="00DF1BC5"/>
    <w:rsid w:val="00E05DA6"/>
    <w:rsid w:val="00E97457"/>
    <w:rsid w:val="00ED4BA0"/>
    <w:rsid w:val="00F86676"/>
    <w:rsid w:val="00F90677"/>
    <w:rsid w:val="00F96455"/>
    <w:rsid w:val="00FF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2E77"/>
  <w15:chartTrackingRefBased/>
  <w15:docId w15:val="{07F2B4E9-3545-413E-AFA9-48450184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9E2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2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22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22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22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22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22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22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22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225B"/>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rsid w:val="009E225B"/>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rsid w:val="009E225B"/>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semiHidden/>
    <w:rsid w:val="009E225B"/>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9E225B"/>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9E225B"/>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9E225B"/>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9E225B"/>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9E225B"/>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9E2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225B"/>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9E22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225B"/>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9E225B"/>
    <w:pPr>
      <w:spacing w:before="160"/>
      <w:jc w:val="center"/>
    </w:pPr>
    <w:rPr>
      <w:i/>
      <w:iCs/>
      <w:color w:val="404040" w:themeColor="text1" w:themeTint="BF"/>
    </w:rPr>
  </w:style>
  <w:style w:type="character" w:customStyle="1" w:styleId="CitaCar">
    <w:name w:val="Cita Car"/>
    <w:basedOn w:val="Fuentedeprrafopredeter"/>
    <w:link w:val="Cita"/>
    <w:uiPriority w:val="29"/>
    <w:rsid w:val="009E225B"/>
    <w:rPr>
      <w:i/>
      <w:iCs/>
      <w:color w:val="404040" w:themeColor="text1" w:themeTint="BF"/>
      <w:lang w:val="es-AR"/>
    </w:rPr>
  </w:style>
  <w:style w:type="paragraph" w:styleId="Prrafodelista">
    <w:name w:val="List Paragraph"/>
    <w:basedOn w:val="Normal"/>
    <w:uiPriority w:val="34"/>
    <w:qFormat/>
    <w:rsid w:val="009E225B"/>
    <w:pPr>
      <w:ind w:left="720"/>
      <w:contextualSpacing/>
    </w:pPr>
  </w:style>
  <w:style w:type="character" w:styleId="nfasisintenso">
    <w:name w:val="Intense Emphasis"/>
    <w:basedOn w:val="Fuentedeprrafopredeter"/>
    <w:uiPriority w:val="21"/>
    <w:qFormat/>
    <w:rsid w:val="009E225B"/>
    <w:rPr>
      <w:i/>
      <w:iCs/>
      <w:color w:val="0F4761" w:themeColor="accent1" w:themeShade="BF"/>
    </w:rPr>
  </w:style>
  <w:style w:type="paragraph" w:styleId="Citadestacada">
    <w:name w:val="Intense Quote"/>
    <w:basedOn w:val="Normal"/>
    <w:next w:val="Normal"/>
    <w:link w:val="CitadestacadaCar"/>
    <w:uiPriority w:val="30"/>
    <w:qFormat/>
    <w:rsid w:val="009E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225B"/>
    <w:rPr>
      <w:i/>
      <w:iCs/>
      <w:color w:val="0F4761" w:themeColor="accent1" w:themeShade="BF"/>
      <w:lang w:val="es-AR"/>
    </w:rPr>
  </w:style>
  <w:style w:type="character" w:styleId="Referenciaintensa">
    <w:name w:val="Intense Reference"/>
    <w:basedOn w:val="Fuentedeprrafopredeter"/>
    <w:uiPriority w:val="32"/>
    <w:qFormat/>
    <w:rsid w:val="009E225B"/>
    <w:rPr>
      <w:b/>
      <w:bCs/>
      <w:smallCaps/>
      <w:color w:val="0F4761" w:themeColor="accent1" w:themeShade="BF"/>
      <w:spacing w:val="5"/>
    </w:rPr>
  </w:style>
  <w:style w:type="paragraph" w:styleId="NormalWeb">
    <w:name w:val="Normal (Web)"/>
    <w:basedOn w:val="Normal"/>
    <w:uiPriority w:val="99"/>
    <w:unhideWhenUsed/>
    <w:rsid w:val="00E05DA6"/>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B95CA1"/>
    <w:rPr>
      <w:b/>
      <w:bCs/>
    </w:rPr>
  </w:style>
  <w:style w:type="character" w:styleId="nfasis">
    <w:name w:val="Emphasis"/>
    <w:basedOn w:val="Fuentedeprrafopredeter"/>
    <w:uiPriority w:val="20"/>
    <w:qFormat/>
    <w:rsid w:val="00B95CA1"/>
    <w:rPr>
      <w:i/>
      <w:iCs/>
    </w:rPr>
  </w:style>
  <w:style w:type="paragraph" w:styleId="Encabezado">
    <w:name w:val="header"/>
    <w:basedOn w:val="Normal"/>
    <w:link w:val="EncabezadoCar"/>
    <w:uiPriority w:val="99"/>
    <w:unhideWhenUsed/>
    <w:rsid w:val="00DE6F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6F55"/>
    <w:rPr>
      <w:lang w:val="es-AR"/>
    </w:rPr>
  </w:style>
  <w:style w:type="paragraph" w:styleId="Piedepgina">
    <w:name w:val="footer"/>
    <w:basedOn w:val="Normal"/>
    <w:link w:val="PiedepginaCar"/>
    <w:uiPriority w:val="99"/>
    <w:unhideWhenUsed/>
    <w:rsid w:val="00DE6F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6F55"/>
    <w:rPr>
      <w:lang w:val="es-AR"/>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AR"/>
    </w:rPr>
  </w:style>
  <w:style w:type="character" w:styleId="Refdecomentario">
    <w:name w:val="annotation reference"/>
    <w:basedOn w:val="Fuentedeprrafopredeter"/>
    <w:uiPriority w:val="99"/>
    <w:semiHidden/>
    <w:unhideWhenUsed/>
    <w:rPr>
      <w:sz w:val="16"/>
      <w:szCs w:val="16"/>
    </w:rPr>
  </w:style>
  <w:style w:type="character" w:customStyle="1" w:styleId="cf01">
    <w:name w:val="cf01"/>
    <w:basedOn w:val="Fuentedeprrafopredeter"/>
    <w:rsid w:val="004E4D4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7</Pages>
  <Words>3768</Words>
  <Characters>20724</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Hernan Paez Albornoz</dc:creator>
  <cp:keywords/>
  <dc:description/>
  <cp:lastModifiedBy>Santiago Hernan Paez Albornoz</cp:lastModifiedBy>
  <cp:revision>15</cp:revision>
  <dcterms:created xsi:type="dcterms:W3CDTF">2026-09-06T20:05:00Z</dcterms:created>
  <dcterms:modified xsi:type="dcterms:W3CDTF">2026-10-07T18:16:00Z</dcterms:modified>
</cp:coreProperties>
</file>