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a7f0ef9ca2eec3c2b71504025e07c4e8958aa5b"/>
    <w:p>
      <w:pPr>
        <w:pStyle w:val="Heading1"/>
      </w:pPr>
      <w:r>
        <w:t xml:space="preserve">Especificación del modelo: SVARX con identidad de la deuda (versión 1)</w:t>
      </w:r>
    </w:p>
    <w:p>
      <w:pPr>
        <w:pStyle w:val="FirstParagraph"/>
      </w:pPr>
      <w:r>
        <w:t xml:space="preserve">Documento para el grupo. Fundamenta, decisión por decisión, la forma del modelo empírico. Cada</w:t>
      </w:r>
      <w:r>
        <w:t xml:space="preserve"> </w:t>
      </w:r>
      <w:r>
        <w:t xml:space="preserve">decisión se apoya en el marco del FMI, en la literatura o en nuestros propios datos.</w:t>
      </w:r>
    </w:p>
    <w:bookmarkStart w:id="9" w:name="arquitectura-general-la-del-fmi"/>
    <w:p>
      <w:pPr>
        <w:pStyle w:val="Heading2"/>
      </w:pPr>
      <w:r>
        <w:t xml:space="preserve">1. Arquitectura general: la del FMI</w:t>
      </w:r>
    </w:p>
    <w:p>
      <w:pPr>
        <w:pStyle w:val="FirstParagraph"/>
      </w:pPr>
      <w:r>
        <w:t xml:space="preserve">El modelo sigue la arquitectura que el propio FMI desarrolló para economías emergentes y aplicó a</w:t>
      </w:r>
      <w:r>
        <w:t xml:space="preserve"> </w:t>
      </w:r>
      <w:r>
        <w:t xml:space="preserve">Argentina. Celasun, Debrun y Ostry (2006) proponen tres piezas:</w:t>
      </w:r>
    </w:p>
    <w:p>
      <w:pPr>
        <w:pStyle w:val="Compact"/>
        <w:numPr>
          <w:ilvl w:val="0"/>
          <w:numId w:val="1001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VAR trimestral sin restricciones</w:t>
      </w:r>
      <w:r>
        <w:t xml:space="preserve"> </w:t>
      </w:r>
      <w:r>
        <w:t xml:space="preserve">sobre los determinantes de la dinámica de la deuda:</w:t>
      </w:r>
      <w:r>
        <w:t xml:space="preserve"> </w:t>
      </w:r>
      <w:r>
        <w:t xml:space="preserve">crecimiento, tasas de interés y tipo de cambio. El VAR describe cómo se mueven juntos, estima</w:t>
      </w:r>
      <w:r>
        <w:t xml:space="preserve"> </w:t>
      </w:r>
      <w:r>
        <w:t xml:space="preserve">las varianzas y covarianzas de sus shocks y genera proyecciones consistentes entre sí.</w:t>
      </w:r>
    </w:p>
    <w:p>
      <w:pPr>
        <w:pStyle w:val="Compact"/>
        <w:numPr>
          <w:ilvl w:val="0"/>
          <w:numId w:val="1001"/>
        </w:numPr>
      </w:pPr>
      <w:r>
        <w:t xml:space="preserve">Un bloque de</w:t>
      </w:r>
      <w:r>
        <w:t xml:space="preserve"> </w:t>
      </w:r>
      <w:r>
        <w:rPr>
          <w:b/>
          <w:bCs/>
        </w:rPr>
        <w:t xml:space="preserve">comportamiento fiscal</w:t>
      </w:r>
      <w:r>
        <w:t xml:space="preserve">, en su caso una función de reacción fiscal.</w:t>
      </w:r>
    </w:p>
    <w:p>
      <w:pPr>
        <w:pStyle w:val="Compact"/>
        <w:numPr>
          <w:ilvl w:val="0"/>
          <w:numId w:val="1001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identidad de acumulación de la deuda</w:t>
      </w:r>
      <w:r>
        <w:t xml:space="preserve">, que separa el tramo en moneda local del tramo</w:t>
      </w:r>
      <w:r>
        <w:t xml:space="preserve"> </w:t>
      </w:r>
      <w:r>
        <w:t xml:space="preserve">en moneda extranjera. Por ella pasan las proyecciones del VAR, anualizadas, para calcular la</w:t>
      </w:r>
      <w:r>
        <w:t xml:space="preserve"> </w:t>
      </w:r>
      <w:r>
        <w:t xml:space="preserve">deuda de manera recursiva y construir los gráficos de abanico.</w:t>
      </w:r>
    </w:p>
    <w:p>
      <w:pPr>
        <w:pStyle w:val="FirstParagraph"/>
      </w:pPr>
      <w:r>
        <w:t xml:space="preserve">El marco vigente del FMI (2021, párr. 52) mantiene la idea central: el gráfico de abanico se</w:t>
      </w:r>
      <w:r>
        <w:t xml:space="preserve"> </w:t>
      </w:r>
      <w:r>
        <w:t xml:space="preserve">arma aplicando al escenario base shocks tomados de la historia de los determinantes de la deuda.</w:t>
      </w:r>
    </w:p>
    <w:p>
      <w:pPr>
        <w:pStyle w:val="BodyText"/>
      </w:pPr>
      <w:r>
        <w:t xml:space="preserve">Nuestro modelo conserva esas tres piezas. Agrega dos cosas que la vacancia justifica: los</w:t>
      </w:r>
      <w:r>
        <w:t xml:space="preserve"> </w:t>
      </w:r>
      <w:r>
        <w:t xml:space="preserve">shocks se identifican estructuralmente y la tasa de la FED entra como un shock externo con</w:t>
      </w:r>
      <w:r>
        <w:t xml:space="preserve"> </w:t>
      </w:r>
      <w:r>
        <w:t xml:space="preserve">nombre propio.</w:t>
      </w:r>
    </w:p>
    <w:bookmarkEnd w:id="9"/>
    <w:bookmarkStart w:id="10" w:name="variables-del-sistema"/>
    <w:p>
      <w:pPr>
        <w:pStyle w:val="Heading2"/>
      </w:pPr>
      <w:r>
        <w:t xml:space="preserve">2. Variables del sistema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Variable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Rol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Fundamento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Crecimiento real del PIB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Endógena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Determinante de la identidad de la deuda (Celasun et al., 2006; FMI, 2021). Se usa el crecimiento, no la brecha del producto, porque es lo que entra en la identidad.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Resultado primario (% del PIB)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Endógena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Determinante de la identidad. Su ecuación incluye la deuda rezagada, y ese coeficiente es la reacción fiscal de Bohn (1998) que contrasta H1a.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EMBI+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Endógena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Riesgo soberano: forma parte de la tasa en dólares (tasa de Estados Unidos más spread).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Tipo de cambio real multilateral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Endógena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Efecto de valuación sobre la deuda en moneda extranjera (Calvo et al., 2003).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Deuda consolidada neta (% del PIB)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Entra rezagada en las ecuaciones; evoluciona por la identidad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Retroalimentación de la deuda sobre el sistema (Favero y Giavazzi, 2007).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Variación de la tasa de la FED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Exógena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Shock externo de H2.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VIX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Exógena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Condiciones financieras globales; es la única variable global con efectos robustos en Adler y Sosa (2013).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Dummies de quiebre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Exógenas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Quiebres de Bai-Perron estimados sobre la propia serie de deuda (Bai y Perron, 2003).</w:t>
            </w:r>
          </w:p>
        </w:tc>
      </w:tr>
    </w:tbl>
    <w:p>
      <w:pPr>
        <w:pStyle w:val="BodyText"/>
      </w:pPr>
      <w:r>
        <w:rPr>
          <w:b/>
          <w:bCs/>
        </w:rPr>
        <w:t xml:space="preserve">Por qué la deuda entra rezagada y se acumula con la identidad.</w:t>
      </w:r>
      <w:r>
        <w:t xml:space="preserve"> </w:t>
      </w:r>
      <w:r>
        <w:t xml:space="preserve">Favero y Giavazzi (2007)</w:t>
      </w:r>
      <w:r>
        <w:t xml:space="preserve"> </w:t>
      </w:r>
      <w:r>
        <w:t xml:space="preserve">muestran que un VAR fiscal que omite la retroalimentación de la deuda está mal especificado:</w:t>
      </w:r>
      <w:r>
        <w:t xml:space="preserve"> </w:t>
      </w:r>
      <w:r>
        <w:t xml:space="preserve">la restricción presupuestaria hace que el nivel de deuda condicione la política fiscal y las</w:t>
      </w:r>
      <w:r>
        <w:t xml:space="preserve"> </w:t>
      </w:r>
      <w:r>
        <w:t xml:space="preserve">tasas. Su solución es incluir la deuda rezagada en las ecuaciones y hacerla evolucionar con la</w:t>
      </w:r>
      <w:r>
        <w:t xml:space="preserve"> </w:t>
      </w:r>
      <w:r>
        <w:t xml:space="preserve">identidad, no con una ecuación estimada. Eso da los</w:t>
      </w:r>
      <w:r>
        <w:t xml:space="preserve"> </w:t>
      </w:r>
      <w:r>
        <w:t xml:space="preserve">“efectos conjuntos”</w:t>
      </w:r>
      <w:r>
        <w:t xml:space="preserve"> </w:t>
      </w:r>
      <w:r>
        <w:t xml:space="preserve">que pide la pregunta de</w:t>
      </w:r>
      <w:r>
        <w:t xml:space="preserve"> </w:t>
      </w:r>
      <w:r>
        <w:t xml:space="preserve">investigación y mantiene la acumulación contablemente exacta. Corrige además al</w:t>
      </w:r>
      <w:r>
        <w:t xml:space="preserve"> </w:t>
      </w:r>
      <w:r>
        <w:rPr>
          <w:rStyle w:val="VerbatimChar"/>
        </w:rPr>
        <w:t xml:space="preserve">fase19</w:t>
      </w:r>
      <w:r>
        <w:t xml:space="preserve"> </w:t>
      </w:r>
      <w:r>
        <w:t xml:space="preserve">actual,</w:t>
      </w:r>
      <w:r>
        <w:t xml:space="preserve"> </w:t>
      </w:r>
      <w:r>
        <w:t xml:space="preserve">donde la deuda era una regresión libre.</w:t>
      </w:r>
    </w:p>
    <w:bookmarkEnd w:id="10"/>
    <w:bookmarkStart w:id="11" w:name="Xe029de21f57d6a7e4116d05f7fbb72f2e53b198"/>
    <w:p>
      <w:pPr>
        <w:pStyle w:val="Heading2"/>
      </w:pPr>
      <w:r>
        <w:t xml:space="preserve">3. Por qué la FED y el VIX entran como exógenas</w:t>
      </w:r>
    </w:p>
    <w:p>
      <w:pPr>
        <w:pStyle w:val="FirstParagraph"/>
      </w:pPr>
      <w:r>
        <w:t xml:space="preserve">Argentina es una economía pequeña y abierta: sus variables no afectan la tasa de la FED ni el</w:t>
      </w:r>
      <w:r>
        <w:t xml:space="preserve"> </w:t>
      </w:r>
      <w:r>
        <w:t xml:space="preserve">VIX. En los VAR de economías pequeñas y abiertas, el supuesto estándar es que las variables</w:t>
      </w:r>
      <w:r>
        <w:t xml:space="preserve"> </w:t>
      </w:r>
      <w:r>
        <w:t xml:space="preserve">externas forman un bloque exógeno (Cushman y Zha, 1997). Así se modela la transmisión de los</w:t>
      </w:r>
      <w:r>
        <w:t xml:space="preserve"> </w:t>
      </w:r>
      <w:r>
        <w:t xml:space="preserve">shocks de Estados Unidos a América Latina (Canova, 2005) y la relación entre tasas</w:t>
      </w:r>
      <w:r>
        <w:t xml:space="preserve"> </w:t>
      </w:r>
      <w:r>
        <w:t xml:space="preserve">internacionales y spreads en emergentes (Uribe y Yue, 2006).</w:t>
      </w:r>
    </w:p>
    <w:p>
      <w:pPr>
        <w:pStyle w:val="BodyText"/>
      </w:pPr>
      <w:r>
        <w:t xml:space="preserve">Una consecuencia importante es que</w:t>
      </w:r>
      <w:r>
        <w:t xml:space="preserve"> </w:t>
      </w:r>
      <w:r>
        <w:rPr>
          <w:b/>
          <w:bCs/>
        </w:rPr>
        <w:t xml:space="preserve">el efecto de la FED (H2) no depende de cómo se ordenen las</w:t>
      </w:r>
      <w:r>
        <w:rPr>
          <w:b/>
          <w:bCs/>
        </w:rPr>
        <w:t xml:space="preserve"> </w:t>
      </w:r>
      <w:r>
        <w:rPr>
          <w:b/>
          <w:bCs/>
        </w:rPr>
        <w:t xml:space="preserve">variables argentinas entre sí</w:t>
      </w:r>
      <w:r>
        <w:t xml:space="preserve">. Se calcula como un multiplicador dinámico de la variable</w:t>
      </w:r>
      <w:r>
        <w:t xml:space="preserve"> </w:t>
      </w:r>
      <w:r>
        <w:t xml:space="preserve">exógena.</w:t>
      </w:r>
    </w:p>
    <w:p>
      <w:pPr>
        <w:pStyle w:val="BodyText"/>
      </w:pPr>
      <w:r>
        <w:t xml:space="preserve">La serie es la tasa de fondos federales. En los trimestres en que esa tasa estuvo en el piso de</w:t>
      </w:r>
      <w:r>
        <w:t xml:space="preserve"> </w:t>
      </w:r>
      <w:r>
        <w:t xml:space="preserve">cero se usa la tasa sombra de Wu y Xia (2016), que mide la orientación de la política monetaria</w:t>
      </w:r>
      <w:r>
        <w:t xml:space="preserve"> </w:t>
      </w:r>
      <w:r>
        <w:t xml:space="preserve">cuando la tasa efectiva no puede bajar más (ver</w:t>
      </w:r>
      <w:r>
        <w:t xml:space="preserve"> </w:t>
      </w:r>
      <w:r>
        <w:rPr>
          <w:rStyle w:val="VerbatimChar"/>
        </w:rPr>
        <w:t xml:space="preserve">informe_tasa_fed_v1.md</w:t>
      </w:r>
      <w:r>
        <w:t xml:space="preserve">).</w:t>
      </w:r>
    </w:p>
    <w:bookmarkEnd w:id="11"/>
    <w:bookmarkStart w:id="12" w:name="identificación-de-los-shocks-argentinos"/>
    <w:p>
      <w:pPr>
        <w:pStyle w:val="Heading2"/>
      </w:pPr>
      <w:r>
        <w:t xml:space="preserve">4. Identificación de los shocks argentinos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Shock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Supuesto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Fundamento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Fiscal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El componente cíclico del resultado primario se descuenta con una elasticidad de 0,25, y el resto es el shock fiscal discrecional.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Blanchard y Perotti (2002). La política discrecional tarda más de un trimestre en reaccionar, y la elasticidad se toma de estimaciones externas (Girouard y André, 2005).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Actividad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El producto puede responder al shock fiscal dentro del trimestre.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Blanchard y Perotti (2002).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Riesgo soberano y tipo de cambio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Se identifican como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b/>
                <w:bCs/>
                <w:sz w:val="20"/>
              </w:rPr>
              <w:t xml:space="preserve">bloque</w:t>
            </w:r>
            <w:r>
              <w:rPr>
                <w:rFonts w:ascii="Calibri" w:hAnsi="Calibri"/>
                <w:sz w:val="20"/>
              </w:rPr>
              <w:t xml:space="preserve">, sin ordenarlos entre sí. Se reporta solo su contribución conjunta.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Christiano, Eichenbaum y Evans (1999): con una identificación recursiva por bloques, lo que se identifica no depende del orden dentro de cada bloque. No hay razón teórica para ordenar el EMBI+ y el tipo de cambio, y H1a solo necesita el bloque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“cambiario y de riesgo”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en conjunto.</w:t>
            </w:r>
          </w:p>
        </w:tc>
      </w:tr>
    </w:tbl>
    <w:p>
      <w:pPr>
        <w:pStyle w:val="BodyText"/>
      </w:pPr>
      <w:r>
        <w:rPr>
          <w:b/>
          <w:bCs/>
        </w:rPr>
        <w:t xml:space="preserve">Esto corrige 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fase19</w:t>
      </w:r>
      <w:r>
        <w:rPr>
          <w:b/>
          <w:bCs/>
        </w:rPr>
        <w:t xml:space="preserve"> </w:t>
      </w:r>
      <w:r>
        <w:rPr>
          <w:b/>
          <w:bCs/>
        </w:rPr>
        <w:t xml:space="preserve">actual.</w:t>
      </w:r>
      <w:r>
        <w:t xml:space="preserve"> </w:t>
      </w:r>
      <w:r>
        <w:t xml:space="preserve">El capítulo dice que el EMBI+ y el tipo de cambio quedan</w:t>
      </w:r>
      <w:r>
        <w:t xml:space="preserve"> </w:t>
      </w:r>
      <w:r>
        <w:t xml:space="preserve">sin ordenar, pero el código los ordenaba. Ahora el código hace lo que dice el texto.</w:t>
      </w:r>
    </w:p>
    <w:bookmarkEnd w:id="12"/>
    <w:bookmarkStart w:id="13" w:name="niveles-rezagos-e-inferencia"/>
    <w:p>
      <w:pPr>
        <w:pStyle w:val="Heading2"/>
      </w:pPr>
      <w:r>
        <w:t xml:space="preserve">5. Niveles, rezagos e inferencia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Variables en niveles.</w:t>
      </w:r>
      <w:r>
        <w:t xml:space="preserve"> </w:t>
      </w:r>
      <w:r>
        <w:t xml:space="preserve">El VAR se estima en niveles aunque algunas variables tengan raíz</w:t>
      </w:r>
      <w:r>
        <w:t xml:space="preserve"> </w:t>
      </w:r>
      <w:r>
        <w:t xml:space="preserve">unitaria. Sims, Stock y Watson (1990) muestran que las estimaciones siguen siendo consistentes</w:t>
      </w:r>
      <w:r>
        <w:t xml:space="preserve"> </w:t>
      </w:r>
      <w:r>
        <w:t xml:space="preserve">sin imponer relaciones de cointegración. Para 1996-2025, la prueba de Johansen no rechaza la</w:t>
      </w:r>
      <w:r>
        <w:t xml:space="preserve"> </w:t>
      </w:r>
      <w:r>
        <w:t xml:space="preserve">ausencia de cointegración, así que imponer un rango concreto sería un supuesto sin respaldo.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Rezagos.</w:t>
      </w:r>
      <w:r>
        <w:t xml:space="preserve"> </w:t>
      </w:r>
      <w:r>
        <w:t xml:space="preserve">Se toma el menor número de rezagos que indican los criterios de información y con</w:t>
      </w:r>
      <w:r>
        <w:t xml:space="preserve"> </w:t>
      </w:r>
      <w:r>
        <w:t xml:space="preserve">el que los residuos quedan libres de autocorrelación (Lütkepohl, 2005; Ivanov y Kilian, 2005).</w:t>
      </w:r>
      <w:r>
        <w:t xml:space="preserve"> </w:t>
      </w:r>
      <w:r>
        <w:t xml:space="preserve">En la prueba preliminar, el criterio BIC elegía un solo rezago y la autocorrelación quedaba,</w:t>
      </w:r>
      <w:r>
        <w:t xml:space="preserve"> </w:t>
      </w:r>
      <w:r>
        <w:t xml:space="preserve">así que esta regla corrige esa elección.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Intervalos de confianza.</w:t>
      </w:r>
      <w:r>
        <w:t xml:space="preserve"> </w:t>
      </w:r>
      <w:r>
        <w:t xml:space="preserve">Los residuos preliminares rechazan la normalidad y muestran</w:t>
      </w:r>
      <w:r>
        <w:t xml:space="preserve"> </w:t>
      </w:r>
      <w:r>
        <w:t xml:space="preserve">volatilidad cambiante en el tiempo (heterocedasticidad condicional) en dos ecuaciones. Por eso</w:t>
      </w:r>
      <w:r>
        <w:t xml:space="preserve"> </w:t>
      </w:r>
      <w:r>
        <w:t xml:space="preserve">los intervalos se calculan con un</w:t>
      </w:r>
      <w:r>
        <w:t xml:space="preserve"> </w:t>
      </w:r>
      <w:r>
        <w:rPr>
          <w:i/>
          <w:iCs/>
        </w:rPr>
        <w:t xml:space="preserve">bootstrap</w:t>
      </w:r>
      <w:r>
        <w:t xml:space="preserve"> </w:t>
      </w:r>
      <w:r>
        <w:t xml:space="preserve">robusto a esa heterocedasticidad (Gonçalves y</w:t>
      </w:r>
      <w:r>
        <w:t xml:space="preserve"> </w:t>
      </w:r>
      <w:r>
        <w:t xml:space="preserve">Kilian, 2004), con semilla fija para que sean reproducibles.</w:t>
      </w:r>
    </w:p>
    <w:bookmarkEnd w:id="13"/>
    <w:bookmarkStart w:id="14" w:name="shocks-de-la-simulación"/>
    <w:p>
      <w:pPr>
        <w:pStyle w:val="Heading2"/>
      </w:pPr>
      <w:r>
        <w:t xml:space="preserve">6. Shocks de la simulación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 dónde salen.</w:t>
      </w:r>
      <w:r>
        <w:t xml:space="preserve"> </w:t>
      </w:r>
      <w:r>
        <w:t xml:space="preserve">Se remuestrean los residuos estimados, que conservan las colas gordas que</w:t>
      </w:r>
      <w:r>
        <w:t xml:space="preserve"> </w:t>
      </w:r>
      <w:r>
        <w:t xml:space="preserve">la normal no captura. Es la versión econométrica del principio del FMI de usar shocks</w:t>
      </w:r>
      <w:r>
        <w:t xml:space="preserve"> </w:t>
      </w:r>
      <w:r>
        <w:t xml:space="preserve">históricos (FMI, 2021, párr. 52).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Incertidumbre de parámetros.</w:t>
      </w:r>
      <w:r>
        <w:t xml:space="preserve"> </w:t>
      </w:r>
      <w:r>
        <w:t xml:space="preserve">Cada trayectoria usa parámetros de una réplica del</w:t>
      </w:r>
      <w:r>
        <w:t xml:space="preserve"> </w:t>
      </w:r>
      <w:r>
        <w:rPr>
          <w:i/>
          <w:iCs/>
        </w:rPr>
        <w:t xml:space="preserve">bootstrap</w:t>
      </w:r>
      <w:r>
        <w:t xml:space="preserve">. Eso da el intervalo de confianza con el que se contrasta H1b.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Escenario base.</w:t>
      </w:r>
      <w:r>
        <w:t xml:space="preserve"> </w:t>
      </w:r>
      <w:r>
        <w:t xml:space="preserve">Los senderos son los del FMI (2025): crecimiento, resultado primario, tasa</w:t>
      </w:r>
      <w:r>
        <w:t xml:space="preserve"> </w:t>
      </w:r>
      <w:r>
        <w:t xml:space="preserve">efectiva y ajuste stock-flujo. Así la comparación con su 3% de no estabilización es directa.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Tamaño del shock de la FED.</w:t>
      </w:r>
      <w:r>
        <w:t xml:space="preserve"> </w:t>
      </w:r>
      <w:r>
        <w:t xml:space="preserve">Un desvío estándar de la variación trimestral, 0,50 puntos</w:t>
      </w:r>
      <w:r>
        <w:t xml:space="preserve"> </w:t>
      </w:r>
      <w:r>
        <w:t xml:space="preserve">porcentuales, que es la convención para medir respuestas en estos modelos. Como escenario</w:t>
      </w:r>
      <w:r>
        <w:t xml:space="preserve"> </w:t>
      </w:r>
      <w:r>
        <w:t xml:space="preserve">histórico se agrega el ciclo de subas de 2022-2023, de 5,25 puntos.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Tasa en dólares.</w:t>
      </w:r>
      <w:r>
        <w:t xml:space="preserve"> </w:t>
      </w:r>
      <w:r>
        <w:t xml:space="preserve">Es la tasa de la FED más el EMBI+ simulado.</w:t>
      </w:r>
    </w:p>
    <w:bookmarkEnd w:id="14"/>
    <w:bookmarkStart w:id="15" w:name="qué-se-contrasta-con-qué"/>
    <w:p>
      <w:pPr>
        <w:pStyle w:val="Heading2"/>
      </w:pPr>
      <w:r>
        <w:t xml:space="preserve">7. Qué se contrasta con qué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Hipótesis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Medida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Criterio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H1a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Coeficiente de la deuda rezagada en la ecuación del resultado primario, y contribución de cada bloque de shocks a la varianza de la deuda simulada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La reacción no es significativa al 5%, y el bloque cambiario y de riesgo aporta más que el fiscal.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H1b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Probabilidad de que la deuda no se estabilice, con el escenario base del FMI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El límite inferior del intervalo de 90% supera el 3% del FMI (contraste unilateral al 5%).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Diferencia en esa probabilidad y en la deuda esperada entre el escenario con shock de la FED y el escenario base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El intervalo de 90% de la diferencia excluye el cero.</w:t>
            </w:r>
          </w:p>
        </w:tc>
      </w:tr>
    </w:tbl>
    <w:bookmarkEnd w:id="15"/>
    <w:bookmarkStart w:id="16" w:name="referencias"/>
    <w:p>
      <w:pPr>
        <w:pStyle w:val="Heading2"/>
      </w:pPr>
      <w:r>
        <w:t xml:space="preserve">Referencias</w:t>
      </w:r>
    </w:p>
    <w:p>
      <w:pPr>
        <w:pStyle w:val="Compact"/>
        <w:numPr>
          <w:ilvl w:val="0"/>
          <w:numId w:val="1004"/>
        </w:numPr>
      </w:pPr>
      <w:r>
        <w:t xml:space="preserve">Bai, J., y Perron, P. (2003). Computation and analysis of multiple structural change models.</w:t>
      </w:r>
      <w:r>
        <w:t xml:space="preserve"> </w:t>
      </w:r>
      <w:r>
        <w:rPr>
          <w:i/>
          <w:iCs/>
        </w:rPr>
        <w:t xml:space="preserve">Journal of Applied Econometrics</w:t>
      </w:r>
      <w:r>
        <w:t xml:space="preserve">, 18(1), 1-22.</w:t>
      </w:r>
    </w:p>
    <w:p>
      <w:pPr>
        <w:pStyle w:val="Compact"/>
        <w:numPr>
          <w:ilvl w:val="0"/>
          <w:numId w:val="1004"/>
        </w:numPr>
      </w:pPr>
      <w:r>
        <w:t xml:space="preserve">Blanchard, O., y Perotti, R. (2002). An empirical characterization of the dynamic effects of changes in government spending and taxes on output.</w:t>
      </w:r>
      <w:r>
        <w:t xml:space="preserve"> </w:t>
      </w:r>
      <w:r>
        <w:rPr>
          <w:i/>
          <w:iCs/>
        </w:rPr>
        <w:t xml:space="preserve">Quarterly Journal of Economics</w:t>
      </w:r>
      <w:r>
        <w:t xml:space="preserve">, 117(4), 1329-1368.</w:t>
      </w:r>
    </w:p>
    <w:p>
      <w:pPr>
        <w:pStyle w:val="Compact"/>
        <w:numPr>
          <w:ilvl w:val="0"/>
          <w:numId w:val="1004"/>
        </w:numPr>
      </w:pPr>
      <w:r>
        <w:t xml:space="preserve">Bohn, H. (1998). The behavior of U.S. public debt and deficits.</w:t>
      </w:r>
      <w:r>
        <w:t xml:space="preserve"> </w:t>
      </w:r>
      <w:r>
        <w:rPr>
          <w:i/>
          <w:iCs/>
        </w:rPr>
        <w:t xml:space="preserve">Quarterly Journal of Economics</w:t>
      </w:r>
      <w:r>
        <w:t xml:space="preserve">, 113(3), 949-963.</w:t>
      </w:r>
    </w:p>
    <w:p>
      <w:pPr>
        <w:pStyle w:val="Compact"/>
        <w:numPr>
          <w:ilvl w:val="0"/>
          <w:numId w:val="1004"/>
        </w:numPr>
      </w:pPr>
      <w:r>
        <w:t xml:space="preserve">Calvo, G. A., Izquierdo, A., y Talvi, E. (2003).</w:t>
      </w:r>
      <w:r>
        <w:t xml:space="preserve"> </w:t>
      </w:r>
      <w:r>
        <w:rPr>
          <w:i/>
          <w:iCs/>
        </w:rPr>
        <w:t xml:space="preserve">Sudden stops, the real exchange rate, and fiscal sustainability: Argentina’s lessons</w:t>
      </w:r>
      <w:r>
        <w:t xml:space="preserve"> </w:t>
      </w:r>
      <w:r>
        <w:t xml:space="preserve">(NBER Working Paper No. 9828).</w:t>
      </w:r>
    </w:p>
    <w:p>
      <w:pPr>
        <w:pStyle w:val="Compact"/>
        <w:numPr>
          <w:ilvl w:val="0"/>
          <w:numId w:val="1004"/>
        </w:numPr>
      </w:pPr>
      <w:r>
        <w:t xml:space="preserve">Canova, F. (2005). The transmission of US shocks to Latin America.</w:t>
      </w:r>
      <w:r>
        <w:t xml:space="preserve"> </w:t>
      </w:r>
      <w:r>
        <w:rPr>
          <w:i/>
          <w:iCs/>
        </w:rPr>
        <w:t xml:space="preserve">Journal of Applied Econometrics</w:t>
      </w:r>
      <w:r>
        <w:t xml:space="preserve">, 20(2), 229-251.</w:t>
      </w:r>
    </w:p>
    <w:p>
      <w:pPr>
        <w:pStyle w:val="Compact"/>
        <w:numPr>
          <w:ilvl w:val="0"/>
          <w:numId w:val="1004"/>
        </w:numPr>
      </w:pPr>
      <w:r>
        <w:t xml:space="preserve">Celasun, O., Debrun, X., y Ostry, J. D. (2006).</w:t>
      </w:r>
      <w:r>
        <w:t xml:space="preserve"> </w:t>
      </w:r>
      <w:r>
        <w:rPr>
          <w:i/>
          <w:iCs/>
        </w:rPr>
        <w:t xml:space="preserve">Primary surplus behavior and risks to fiscal sustainability in emerging market countries: A</w:t>
      </w:r>
      <w:r>
        <w:rPr>
          <w:i/>
          <w:iCs/>
        </w:rPr>
        <w:t xml:space="preserve"> </w:t>
      </w:r>
      <w:r>
        <w:rPr>
          <w:i/>
          <w:iCs/>
        </w:rPr>
        <w:t xml:space="preserve">“fan-chart”</w:t>
      </w:r>
      <w:r>
        <w:rPr>
          <w:i/>
          <w:iCs/>
        </w:rPr>
        <w:t xml:space="preserve"> </w:t>
      </w:r>
      <w:r>
        <w:rPr>
          <w:i/>
          <w:iCs/>
        </w:rPr>
        <w:t xml:space="preserve">approach</w:t>
      </w:r>
      <w:r>
        <w:t xml:space="preserve"> </w:t>
      </w:r>
      <w:r>
        <w:t xml:space="preserve">(IMF Working Paper WP/06/67).</w:t>
      </w:r>
    </w:p>
    <w:p>
      <w:pPr>
        <w:pStyle w:val="Compact"/>
        <w:numPr>
          <w:ilvl w:val="0"/>
          <w:numId w:val="1004"/>
        </w:numPr>
      </w:pPr>
      <w:r>
        <w:t xml:space="preserve">Christiano, L. J., Eichenbaum, M., y Evans, C. L. (1999). Monetary policy shocks: What have we learned and to what end? En J. B. Taylor y M. Woodford (Eds.),</w:t>
      </w:r>
      <w:r>
        <w:t xml:space="preserve"> </w:t>
      </w:r>
      <w:r>
        <w:rPr>
          <w:i/>
          <w:iCs/>
        </w:rPr>
        <w:t xml:space="preserve">Handbook of Macroeconomics</w:t>
      </w:r>
      <w:r>
        <w:t xml:space="preserve"> </w:t>
      </w:r>
      <w:r>
        <w:t xml:space="preserve">(Vol. 1A, pp. 65-148). Elsevier.</w:t>
      </w:r>
    </w:p>
    <w:p>
      <w:pPr>
        <w:pStyle w:val="Compact"/>
        <w:numPr>
          <w:ilvl w:val="0"/>
          <w:numId w:val="1004"/>
        </w:numPr>
      </w:pPr>
      <w:r>
        <w:t xml:space="preserve">Cushman, D. O., y Zha, T. (1997). Identifying monetary policy in a small open economy under flexible exchange rates.</w:t>
      </w:r>
      <w:r>
        <w:t xml:space="preserve"> </w:t>
      </w:r>
      <w:r>
        <w:rPr>
          <w:i/>
          <w:iCs/>
        </w:rPr>
        <w:t xml:space="preserve">Journal of Monetary Economics</w:t>
      </w:r>
      <w:r>
        <w:t xml:space="preserve">, 39(3), 433-448.</w:t>
      </w:r>
    </w:p>
    <w:p>
      <w:pPr>
        <w:pStyle w:val="Compact"/>
        <w:numPr>
          <w:ilvl w:val="0"/>
          <w:numId w:val="1004"/>
        </w:numPr>
      </w:pPr>
      <w:r>
        <w:t xml:space="preserve">Favero, C., y Giavazzi, F. (2007).</w:t>
      </w:r>
      <w:r>
        <w:t xml:space="preserve"> </w:t>
      </w:r>
      <w:r>
        <w:rPr>
          <w:i/>
          <w:iCs/>
        </w:rPr>
        <w:t xml:space="preserve">Debt and the effects of fiscal policy</w:t>
      </w:r>
      <w:r>
        <w:t xml:space="preserve"> </w:t>
      </w:r>
      <w:r>
        <w:t xml:space="preserve">(NBER Working Paper No. 12822).</w:t>
      </w:r>
    </w:p>
    <w:p>
      <w:pPr>
        <w:pStyle w:val="Compact"/>
        <w:numPr>
          <w:ilvl w:val="0"/>
          <w:numId w:val="1004"/>
        </w:numPr>
      </w:pPr>
      <w:r>
        <w:t xml:space="preserve">Fondo Monetario Internacional. (2021).</w:t>
      </w:r>
      <w:r>
        <w:t xml:space="preserve"> </w:t>
      </w:r>
      <w:r>
        <w:rPr>
          <w:i/>
          <w:iCs/>
        </w:rPr>
        <w:t xml:space="preserve">Review of the debt sustainability framework for market access countries</w:t>
      </w:r>
      <w:r>
        <w:t xml:space="preserve"> </w:t>
      </w:r>
      <w:r>
        <w:t xml:space="preserve">(IMF Policy Paper).</w:t>
      </w:r>
    </w:p>
    <w:p>
      <w:pPr>
        <w:pStyle w:val="Compact"/>
        <w:numPr>
          <w:ilvl w:val="0"/>
          <w:numId w:val="1004"/>
        </w:numPr>
      </w:pPr>
      <w:r>
        <w:t xml:space="preserve">Fondo Monetario Internacional. (2025).</w:t>
      </w:r>
      <w:r>
        <w:t xml:space="preserve"> </w:t>
      </w:r>
      <w:r>
        <w:rPr>
          <w:i/>
          <w:iCs/>
        </w:rPr>
        <w:t xml:space="preserve">Argentina: Request for an extended arrangement under the Extended Fund Facility</w:t>
      </w:r>
      <w:r>
        <w:t xml:space="preserve"> </w:t>
      </w:r>
      <w:r>
        <w:t xml:space="preserve">(IMF Country Report No. 25/95).</w:t>
      </w:r>
    </w:p>
    <w:p>
      <w:pPr>
        <w:pStyle w:val="Compact"/>
        <w:numPr>
          <w:ilvl w:val="0"/>
          <w:numId w:val="1004"/>
        </w:numPr>
      </w:pPr>
      <w:r>
        <w:t xml:space="preserve">Girouard, N., y André, C. (2005).</w:t>
      </w:r>
      <w:r>
        <w:t xml:space="preserve"> </w:t>
      </w:r>
      <w:r>
        <w:rPr>
          <w:i/>
          <w:iCs/>
        </w:rPr>
        <w:t xml:space="preserve">Measuring cyclically-adjusted budget balances for OECD countries</w:t>
      </w:r>
      <w:r>
        <w:t xml:space="preserve"> </w:t>
      </w:r>
      <w:r>
        <w:t xml:space="preserve">(OECD Economics Department Working Papers No. 434).</w:t>
      </w:r>
    </w:p>
    <w:p>
      <w:pPr>
        <w:pStyle w:val="Compact"/>
        <w:numPr>
          <w:ilvl w:val="0"/>
          <w:numId w:val="1004"/>
        </w:numPr>
      </w:pPr>
      <w:r>
        <w:t xml:space="preserve">Gonçalves, S., y Kilian, L. (2004). Bootstrapping autoregressions with conditional heteroskedasticity of unknown form.</w:t>
      </w:r>
      <w:r>
        <w:t xml:space="preserve"> </w:t>
      </w:r>
      <w:r>
        <w:rPr>
          <w:i/>
          <w:iCs/>
        </w:rPr>
        <w:t xml:space="preserve">Journal of Econometrics</w:t>
      </w:r>
      <w:r>
        <w:t xml:space="preserve">, 123(1), 89-120.</w:t>
      </w:r>
    </w:p>
    <w:p>
      <w:pPr>
        <w:pStyle w:val="Compact"/>
        <w:numPr>
          <w:ilvl w:val="0"/>
          <w:numId w:val="1004"/>
        </w:numPr>
      </w:pPr>
      <w:r>
        <w:t xml:space="preserve">Ivanov, V., y Kilian, L. (2005). A practitioner’s guide to lag order selection for VAR impulse response analysis.</w:t>
      </w:r>
      <w:r>
        <w:t xml:space="preserve"> </w:t>
      </w:r>
      <w:r>
        <w:rPr>
          <w:i/>
          <w:iCs/>
        </w:rPr>
        <w:t xml:space="preserve">Studies in Nonlinear Dynamics and Econometrics</w:t>
      </w:r>
      <w:r>
        <w:t xml:space="preserve">, 9(1).</w:t>
      </w:r>
    </w:p>
    <w:p>
      <w:pPr>
        <w:pStyle w:val="Compact"/>
        <w:numPr>
          <w:ilvl w:val="0"/>
          <w:numId w:val="1004"/>
        </w:numPr>
      </w:pPr>
      <w:r>
        <w:t xml:space="preserve">Lütkepohl, H. (2005).</w:t>
      </w:r>
      <w:r>
        <w:t xml:space="preserve"> </w:t>
      </w:r>
      <w:r>
        <w:rPr>
          <w:i/>
          <w:iCs/>
        </w:rPr>
        <w:t xml:space="preserve">New introduction to multiple time series analysis</w:t>
      </w:r>
      <w:r>
        <w:t xml:space="preserve">. Springer.</w:t>
      </w:r>
    </w:p>
    <w:p>
      <w:pPr>
        <w:pStyle w:val="Compact"/>
        <w:numPr>
          <w:ilvl w:val="0"/>
          <w:numId w:val="1004"/>
        </w:numPr>
      </w:pPr>
      <w:r>
        <w:t xml:space="preserve">Sims, C. A., Stock, J. H., y Watson, M. W. (1990). Inference in linear time series models with some unit roots.</w:t>
      </w:r>
      <w:r>
        <w:t xml:space="preserve"> </w:t>
      </w:r>
      <w:r>
        <w:rPr>
          <w:i/>
          <w:iCs/>
        </w:rPr>
        <w:t xml:space="preserve">Econometrica</w:t>
      </w:r>
      <w:r>
        <w:t xml:space="preserve">, 58(1), 113-144.</w:t>
      </w:r>
    </w:p>
    <w:p>
      <w:pPr>
        <w:pStyle w:val="Compact"/>
        <w:numPr>
          <w:ilvl w:val="0"/>
          <w:numId w:val="1004"/>
        </w:numPr>
      </w:pPr>
      <w:r>
        <w:t xml:space="preserve">Uribe, M., y Yue, V. Z. (2006). Country spreads and emerging countries: Who drives whom?</w:t>
      </w:r>
      <w:r>
        <w:t xml:space="preserve"> </w:t>
      </w:r>
      <w:r>
        <w:rPr>
          <w:i/>
          <w:iCs/>
        </w:rPr>
        <w:t xml:space="preserve">Journal of International Economics</w:t>
      </w:r>
      <w:r>
        <w:t xml:space="preserve">, 69(1), 6-36.</w:t>
      </w:r>
    </w:p>
    <w:p>
      <w:pPr>
        <w:pStyle w:val="Compact"/>
        <w:numPr>
          <w:ilvl w:val="0"/>
          <w:numId w:val="1004"/>
        </w:numPr>
      </w:pPr>
      <w:r>
        <w:t xml:space="preserve">Wu, J. C., y Xia, F. D. (2016). Measuring the macroeconomic impact of monetary policy at the zero lower bound.</w:t>
      </w:r>
      <w:r>
        <w:t xml:space="preserve"> </w:t>
      </w:r>
      <w:r>
        <w:rPr>
          <w:i/>
          <w:iCs/>
        </w:rPr>
        <w:t xml:space="preserve">Journal of Money, Credit and Banking</w:t>
      </w:r>
      <w:r>
        <w:t xml:space="preserve">, 48(2-3), 253-291.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color w:val="000000"/>
      <w:sz w:val="22"/>
    </w:rPr>
  </w:style>
  <w:style w:styleId="BodyText" w:type="paragraph">
    <w:name w:val="Body Text"/>
    <w:basedOn w:val="Normal"/>
    <w:link w:val="BodyTextChar"/>
    <w:qFormat/>
    <w:pPr>
      <w:spacing w:after="120" w:before="180"/>
      <w:jc w:val="both"/>
    </w:pPr>
    <w:rPr>
      <w:rFonts w:ascii="Calibri" w:cs="Calibri" w:eastAsia="Calibri" w:hAnsi="Calibri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/>
      <w:jc w:val="both"/>
    </w:pPr>
    <w:rPr>
      <w:rFonts w:ascii="Calibri" w:cs="Calibri" w:eastAsia="Calibri" w:hAnsi="Calibri"/>
      <w:color w:val="000000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Calibri" w:hAnsi="Calibri"/>
      <w:color w:val="000000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pageBreakBefore w:val="0"/>
      <w:spacing w:after="80" w:line="240" w:lineRule="auto"/>
      <w:contextualSpacing/>
      <w:jc w:val="center"/>
    </w:pPr>
    <w:rPr>
      <w:rFonts w:ascii="Calibri" w:cs="Calibri" w:eastAsia="Calibri" w:hAnsi="Calibri"/>
      <w:b/>
      <w:color w:val="000000"/>
      <w:sz w:val="3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 w:val="0"/>
      <w:spacing w:after="80" w:before="360"/>
      <w:outlineLvl w:val="0"/>
    </w:pPr>
    <w:rPr>
      <w:rFonts w:ascii="Calibri" w:cs="Calibri" w:eastAsia="Calibri" w:hAnsi="Calibri"/>
      <w:b/>
      <w:color w:val="000000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pageBreakBefore w:val="0"/>
      <w:spacing w:after="80" w:before="160"/>
      <w:outlineLvl w:val="1"/>
    </w:pPr>
    <w:rPr>
      <w:rFonts w:ascii="Calibri" w:cs="Calibri" w:eastAsia="Calibri" w:hAnsi="Calibri"/>
      <w:b/>
      <w:color w:val="000000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pageBreakBefore w:val="0"/>
      <w:spacing w:after="80" w:before="160"/>
      <w:outlineLvl w:val="2"/>
    </w:pPr>
    <w:rPr>
      <w:rFonts w:ascii="Calibri" w:cs="Calibri" w:eastAsia="Calibri" w:hAnsi="Calibri"/>
      <w:b/>
      <w:color w:val="0000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pageBreakBefore w:val="0"/>
      <w:spacing w:after="40" w:before="80"/>
      <w:outlineLvl w:val="3"/>
    </w:pPr>
    <w:rPr>
      <w:rFonts w:ascii="Calibri" w:cs="Calibri" w:eastAsia="Calibri" w:hAnsi="Calibri"/>
      <w:b/>
      <w:i/>
      <w:iCs/>
      <w:color w:val="000000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cs="Calibri" w:eastAsia="Calibri" w:hAnsi="Calibri"/>
      <w:color w:val="000000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cs="Calibri" w:eastAsia="Calibri" w:hAnsi="Calibri"/>
      <w:color w:val="000000"/>
      <w:sz w:val="20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Calibri" w:cs="Calibri" w:eastAsia="Calibri" w:hAnsi="Calibri"/>
      <w:color w:val="000000"/>
      <w:sz w:val="22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Calibri" w:cs="Calibri" w:eastAsia="Calibri" w:hAnsi="Calibri"/>
      <w:color w:val="000000"/>
      <w:sz w:val="2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2026-10-11T14:25:51Z</dcterms:created>
  <dcterms:modified xsi:type="dcterms:W3CDTF">2026-10-11T14:25:51Z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