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w:t>
      </w:r>
      <w:r>
        <w:t xml:space="preserve"> </w:t>
      </w:r>
      <w:r>
        <w:t xml:space="preserve">de</w:t>
      </w:r>
      <w:r>
        <w:t xml:space="preserve"> </w:t>
      </w:r>
      <w:r>
        <w:t xml:space="preserve">labor</w:t>
      </w:r>
    </w:p>
    <w:p>
      <w:pPr>
        <w:pStyle w:val="Subtitle"/>
      </w:pPr>
      <w:r>
        <w:t xml:space="preserve">Tesis</w:t>
      </w:r>
      <w:r>
        <w:t xml:space="preserve"> </w:t>
      </w:r>
      <w:r>
        <w:t xml:space="preserve">final</w:t>
      </w:r>
      <w:r>
        <w:t xml:space="preserve"> </w:t>
      </w:r>
      <w:r>
        <w:t xml:space="preserve">de</w:t>
      </w:r>
      <w:r>
        <w:t xml:space="preserve"> </w:t>
      </w:r>
      <w:r>
        <w:t xml:space="preserve">grado.</w:t>
      </w:r>
      <w:r>
        <w:t xml:space="preserve"> </w:t>
      </w:r>
      <w:r>
        <w:t xml:space="preserve">Facultad</w:t>
      </w:r>
      <w:r>
        <w:t xml:space="preserve"> </w:t>
      </w:r>
      <w:r>
        <w:t xml:space="preserve">de</w:t>
      </w:r>
      <w:r>
        <w:t xml:space="preserve"> </w:t>
      </w:r>
      <w:r>
        <w:t xml:space="preserve">Ciencias</w:t>
      </w:r>
      <w:r>
        <w:t xml:space="preserve"> </w:t>
      </w:r>
      <w:r>
        <w:t xml:space="preserve">Económicas,</w:t>
      </w:r>
      <w:r>
        <w:t xml:space="preserve"> </w:t>
      </w:r>
      <w:r>
        <w:t xml:space="preserve">Universidad</w:t>
      </w:r>
      <w:r>
        <w:t xml:space="preserve"> </w:t>
      </w:r>
      <w:r>
        <w:t xml:space="preserve">Nacional</w:t>
      </w:r>
      <w:r>
        <w:t xml:space="preserve"> </w:t>
      </w:r>
      <w:r>
        <w:t xml:space="preserve">de</w:t>
      </w:r>
      <w:r>
        <w:t xml:space="preserve"> </w:t>
      </w:r>
      <w:r>
        <w:t xml:space="preserve">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22" w:name="identificación-del-proyecto"/>
    <w:p>
      <w:pPr>
        <w:pStyle w:val="Heading1"/>
      </w:pPr>
      <w:r>
        <w:t xml:space="preserve">1. Identificación del proyecto</w:t>
      </w:r>
    </w:p>
    <w:p>
      <w:pPr>
        <w:pStyle w:val="FirstParagraph"/>
      </w:pPr>
      <w:r>
        <w:rPr>
          <w:bCs/>
          <w:b/>
        </w:rPr>
        <w:t xml:space="preserve">1.1. Director:</w:t>
      </w:r>
      <w:r>
        <w:t xml:space="preserve"> </w:t>
      </w:r>
      <w:r>
        <w:t xml:space="preserve">Pablo Mahnic.</w:t>
      </w:r>
    </w:p>
    <w:p>
      <w:pPr>
        <w:pStyle w:val="BodyText"/>
      </w:pPr>
      <w:r>
        <w:rPr>
          <w:bCs/>
          <w:b/>
        </w:rPr>
        <w:t xml:space="preserve">1.2. Codirector:</w:t>
      </w:r>
      <w:r>
        <w:t xml:space="preserve"> </w:t>
      </w:r>
      <w:r>
        <w:t xml:space="preserve">no tiene.</w:t>
      </w:r>
    </w:p>
    <w:p>
      <w:pPr>
        <w:pStyle w:val="BodyText"/>
      </w:pPr>
      <w:r>
        <w:rPr>
          <w:bCs/>
          <w:b/>
        </w:rPr>
        <w:t xml:space="preserve">1.3. Ubicación académica:</w:t>
      </w:r>
      <w:r>
        <w:t xml:space="preserve"> </w:t>
      </w:r>
      <w:r>
        <w:t xml:space="preserve">Facultad de Ciencias Económicas, Universidad Nacional de Cuyo.</w:t>
      </w:r>
    </w:p>
    <w:p>
      <w:pPr>
        <w:pStyle w:val="BodyText"/>
      </w:pPr>
      <w:r>
        <w:rPr>
          <w:bCs/>
          <w:b/>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Cs/>
          <w:b/>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Cs/>
          <w:b/>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Cs/>
          <w:i/>
        </w:rPr>
        <w:t xml:space="preserve">default</w:t>
      </w:r>
      <w:r>
        <w:rPr>
          <w:rStyle w:val="FootnoteReference"/>
        </w:rPr>
        <w:footnoteReference w:id="20"/>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deuda federal bruta, perímetro del análisis de sostenibilidad del Fondo Monetario Internacional (FMI); como extensión, la deuda consolidada con el Banco Central de la República Argentina (BCRA). Se estimará un modelo de vectores autorregresivos estructural con variables exógenas (SVARX) con datos trimestrales de 1996 a 2025. El resultado primario, el crecimiento, el riesgo país, medido por el diferencial del índice EMBI de J.P. Morgan para Argentina (EMBI), y el tipo de cambio real multilateral (TCRM) serán las variables endógenas, y la deuda rezagada entrará en todas las ecuaciones. La tasa de política monetaria de la Reserva Federal (FED) de los Estados Unidos y la volatilidad financiera global serán exógenas. Los</w:t>
      </w:r>
      <w:r>
        <w:t xml:space="preserve"> </w:t>
      </w:r>
      <w:r>
        <w:rPr>
          <w:iCs/>
          <w:i/>
        </w:rPr>
        <w:t xml:space="preserve">shocks</w:t>
      </w:r>
      <w:r>
        <w:rPr>
          <w:rStyle w:val="FootnoteReference"/>
        </w:rPr>
        <w:footnoteReference w:id="21"/>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Cs/>
          <w:i/>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22"/>
    <w:bookmarkStart w:id="31" w:name="descripción-del-proyecto"/>
    <w:p>
      <w:pPr>
        <w:pStyle w:val="Heading1"/>
      </w:pPr>
      <w:r>
        <w:t xml:space="preserve">2. Descripción del proyecto</w:t>
      </w:r>
    </w:p>
    <w:bookmarkStart w:id="23" w:name="tema"/>
    <w:p>
      <w:pPr>
        <w:pStyle w:val="Heading2"/>
      </w:pPr>
      <w:r>
        <w:t xml:space="preserve">2.1. Tema</w:t>
      </w:r>
    </w:p>
    <w:p>
      <w:pPr>
        <w:pStyle w:val="FirstParagraph"/>
      </w:pPr>
      <w:r>
        <w:t xml:space="preserve">La sostenibilidad de la deuda pública argentina y sus determinantes macroeconómicos: estimación con datos de 1996-2025 y proyección para 2026-2035.</w:t>
      </w:r>
    </w:p>
    <w:bookmarkEnd w:id="23"/>
    <w:bookmarkStart w:id="25"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Cs/>
          <w:i/>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Cs/>
          <w:i/>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Cs/>
          <w:b/>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Cs/>
          <w:i/>
        </w:rPr>
        <w:t xml:space="preserve">shocks</w:t>
      </w:r>
      <w:r>
        <w:t xml:space="preserve"> </w:t>
      </w:r>
      <w:r>
        <w:t xml:space="preserve">identificados sobre el mismo perímetro y el mismo escenario que usa el FMI, y con su definición operativa de la métrica: los trabajos revisados que identifican</w:t>
      </w:r>
      <w:r>
        <w:t xml:space="preserve"> </w:t>
      </w:r>
      <w:r>
        <w:rPr>
          <w:iCs/>
          <w:i/>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Cs/>
          <w:i/>
        </w:rPr>
        <w:t xml:space="preserve">stocks</w:t>
      </w:r>
      <w:r>
        <w:rPr>
          <w:rStyle w:val="FootnoteReference"/>
        </w:rPr>
        <w:footnoteReference w:id="24"/>
      </w:r>
      <w:r>
        <w:t xml:space="preserve"> </w:t>
      </w:r>
      <w:r>
        <w:t xml:space="preserve">(FMI, 2025, anexo II). No se encontró un trabajo que estime cómo evolucionó esa deuda junto con sus determinantes.</w:t>
      </w:r>
    </w:p>
    <w:bookmarkEnd w:id="25"/>
    <w:bookmarkStart w:id="26" w:name="planteamiento-del-problema"/>
    <w:p>
      <w:pPr>
        <w:pStyle w:val="Heading2"/>
      </w:pPr>
      <w:r>
        <w:t xml:space="preserve">2.3. Planteamiento del problema</w:t>
      </w:r>
    </w:p>
    <w:p>
      <w:pPr>
        <w:pStyle w:val="FirstParagraph"/>
      </w:pPr>
      <w:r>
        <w:rPr>
          <w:bCs/>
          <w:b/>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Cs/>
          <w:i/>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18,4% del PIB en 2023 (FMI, 2025, anexo II), de modo que una parte del endeudamiento público no aparecía en la deuda del Tesoro.</w:t>
      </w:r>
    </w:p>
    <w:p>
      <w:pPr>
        <w:pStyle w:val="BodyText"/>
      </w:pPr>
      <w:r>
        <w:rPr>
          <w:bCs/>
          <w:b/>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Cs/>
          <w:b/>
        </w:rPr>
        <w:t xml:space="preserve">Preguntas de investigación.</w:t>
      </w:r>
    </w:p>
    <w:p>
      <w:pPr>
        <w:numPr>
          <w:ilvl w:val="0"/>
          <w:numId w:val="1001"/>
        </w:numPr>
        <w:pStyle w:val="Compact"/>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numPr>
          <w:ilvl w:val="0"/>
          <w:numId w:val="1001"/>
        </w:numPr>
        <w:pStyle w:val="Compact"/>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Cs/>
          <w:b/>
        </w:rPr>
        <w:t xml:space="preserve">Objetivo general.</w:t>
      </w:r>
      <w:r>
        <w:t xml:space="preserve"> </w:t>
      </w:r>
      <w:r>
        <w:t xml:space="preserve">Evaluar la dinámica de la deuda pública argentina a partir de sus determinantes macroeconómicos históricos (1996-2025), para proyectar su sostenibilidad en 2026-2035 y estimar la probabilidad de que no se estabilice.</w:t>
      </w:r>
    </w:p>
    <w:p>
      <w:pPr>
        <w:pStyle w:val="BodyText"/>
      </w:pPr>
      <w:r>
        <w:rPr>
          <w:bCs/>
          <w:b/>
        </w:rPr>
        <w:t xml:space="preserve">Objetivos específicos.</w:t>
      </w:r>
    </w:p>
    <w:p>
      <w:pPr>
        <w:numPr>
          <w:ilvl w:val="0"/>
          <w:numId w:val="1002"/>
        </w:numPr>
        <w:pStyle w:val="Compact"/>
      </w:pPr>
      <w:r>
        <w:t xml:space="preserve">Construir series trimestrales de la deuda bruta del gobierno federal y de la deuda consolidada con el BCRA entre 1996 y 2025, y contrastarlas con los</w:t>
      </w:r>
      <w:r>
        <w:t xml:space="preserve"> </w:t>
      </w:r>
      <w:r>
        <w:rPr>
          <w:iCs/>
          <w:i/>
        </w:rPr>
        <w:t xml:space="preserve">stocks</w:t>
      </w:r>
      <w:r>
        <w:t xml:space="preserve"> </w:t>
      </w:r>
      <w:r>
        <w:t xml:space="preserve">que publica el FMI.</w:t>
      </w:r>
    </w:p>
    <w:p>
      <w:pPr>
        <w:numPr>
          <w:ilvl w:val="0"/>
          <w:numId w:val="1002"/>
        </w:numPr>
        <w:pStyle w:val="Compact"/>
      </w:pPr>
      <w:r>
        <w:t xml:space="preserve">Establecer las propiedades estadísticas de las series: raíz unitaria, quiebres estructurales y cointegración.</w:t>
      </w:r>
    </w:p>
    <w:p>
      <w:pPr>
        <w:numPr>
          <w:ilvl w:val="0"/>
          <w:numId w:val="1002"/>
        </w:numPr>
        <w:pStyle w:val="Compact"/>
      </w:pPr>
      <w:r>
        <w:t xml:space="preserve">Estimar un SVARX en el que el crecimiento, el resultado primario, el EMBI y el TCRM interactúan con la deuda rezagada, con la tasa de la FED y la volatilidad global como variables exógenas.</w:t>
      </w:r>
    </w:p>
    <w:p>
      <w:pPr>
        <w:numPr>
          <w:ilvl w:val="0"/>
          <w:numId w:val="1002"/>
        </w:numPr>
        <w:pStyle w:val="Compact"/>
      </w:pPr>
      <w:r>
        <w:t xml:space="preserve">Medir la reacción del resultado primario ante el nivel de deuda y la contribución de los</w:t>
      </w:r>
      <w:r>
        <w:t xml:space="preserve"> </w:t>
      </w:r>
      <w:r>
        <w:rPr>
          <w:iCs/>
          <w:i/>
        </w:rPr>
        <w:t xml:space="preserve">shocks</w:t>
      </w:r>
      <w:r>
        <w:t xml:space="preserve"> </w:t>
      </w:r>
      <w:r>
        <w:t xml:space="preserve">fiscal, de actividad, cambiario y de riesgo y externo a la varianza de la deuda.</w:t>
      </w:r>
    </w:p>
    <w:p>
      <w:pPr>
        <w:numPr>
          <w:ilvl w:val="0"/>
          <w:numId w:val="1002"/>
        </w:numPr>
        <w:pStyle w:val="Compact"/>
      </w:pPr>
      <w:r>
        <w:t xml:space="preserve">Simular la distribución de trayectorias de la deuda federal bruta en 2026-2035 bajo el escenario base del FMI, calcular la probabilidad de que no se estabilice y compararla con la del FMI; repetir el ejercicio con la deuda consolidada.</w:t>
      </w:r>
    </w:p>
    <w:p>
      <w:pPr>
        <w:numPr>
          <w:ilvl w:val="0"/>
          <w:numId w:val="1002"/>
        </w:numPr>
        <w:pStyle w:val="Compact"/>
      </w:pPr>
      <w:r>
        <w:t xml:space="preserve">Estimar el efecto de un endurecimiento de la política monetaria de la FED sobre esa distribución.</w:t>
      </w:r>
    </w:p>
    <w:p>
      <w:pPr>
        <w:pStyle w:val="FirstParagraph"/>
      </w:pPr>
      <w:r>
        <w:rPr>
          <w:bCs/>
          <w:b/>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Cs/>
          <w:i/>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Cs/>
          <w:i/>
        </w:rPr>
        <w:t xml:space="preserve">shocks</w:t>
      </w:r>
      <w:r>
        <w:t xml:space="preserve">. La extensión a la deuda consolidada con el BCRA mide la dinámica de un perímetro que el FMI informa solo como</w:t>
      </w:r>
      <w:r>
        <w:t xml:space="preserve"> </w:t>
      </w:r>
      <w:r>
        <w:rPr>
          <w:iCs/>
          <w:i/>
        </w:rPr>
        <w:t xml:space="preserve">stock</w:t>
      </w:r>
      <w:r>
        <w:t xml:space="preserve">. En lo metodológico, deja un procedimiento replicable que puede actualizarse con cada nuevo informe del FMI.</w:t>
      </w:r>
    </w:p>
    <w:p>
      <w:pPr>
        <w:pStyle w:val="BodyText"/>
      </w:pPr>
      <w:r>
        <w:rPr>
          <w:bCs/>
          <w:b/>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EMBI, que elabora J.P. Morgan y no se publica en forma libre: se tomará de la serie diaria que publica Ámbito Financiero, disponible desde diciembre de 1998. Los trimestres anteriores de la ventana se completarán con un empalme construido con series oficiales del BCRA y de la Reserva Federal, y el TCRM de 1996 con el índice del Banco de Pagos Internacionales (BIS), como se explica en la estrategia metodológica.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Cs/>
          <w:i/>
        </w:rPr>
        <w:t xml:space="preserve">stock</w:t>
      </w:r>
      <w:r>
        <w:t xml:space="preserve"> </w:t>
      </w:r>
      <w:r>
        <w:t xml:space="preserve">consolidado del FMI, que ya las descuenta.</w:t>
      </w:r>
    </w:p>
    <w:bookmarkEnd w:id="26"/>
    <w:bookmarkStart w:id="27"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Cs/>
          <w:b/>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Cs/>
          <w:b/>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Cs/>
          <w:b/>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Cs/>
          <w:i/>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Cs/>
          <w:b/>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27"/>
    <w:bookmarkStart w:id="28" w:name="hipótesis"/>
    <w:p>
      <w:pPr>
        <w:pStyle w:val="Heading2"/>
      </w:pPr>
      <w:r>
        <w:t xml:space="preserve">2.5. Hipótesis</w:t>
      </w:r>
    </w:p>
    <w:p>
      <w:pPr>
        <w:pStyle w:val="FirstParagraph"/>
      </w:pPr>
      <w:r>
        <w:rPr>
          <w:bCs/>
          <w:b/>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numPr>
          <w:ilvl w:val="0"/>
          <w:numId w:val="1003"/>
        </w:numPr>
        <w:pStyle w:val="Compact"/>
      </w:pPr>
      <w:r>
        <w:t xml:space="preserve">Unidad de análisis: la economía argentina, observada como serie temporal trimestral.</w:t>
      </w:r>
    </w:p>
    <w:p>
      <w:pPr>
        <w:numPr>
          <w:ilvl w:val="0"/>
          <w:numId w:val="1003"/>
        </w:numPr>
        <w:pStyle w:val="Compact"/>
      </w:pPr>
      <w:r>
        <w:t xml:space="preserve">Variables: contribución de los</w:t>
      </w:r>
      <w:r>
        <w:t xml:space="preserve"> </w:t>
      </w:r>
      <w:r>
        <w:rPr>
          <w:iCs/>
          <w:i/>
        </w:rPr>
        <w:t xml:space="preserve">shocks</w:t>
      </w:r>
      <w:r>
        <w:t xml:space="preserve"> </w:t>
      </w:r>
      <w:r>
        <w:t xml:space="preserve">fiscal, de actividad, cambiario y de riesgo y externo a la varianza de la deuda federal bruta en 2035.</w:t>
      </w:r>
    </w:p>
    <w:p>
      <w:pPr>
        <w:numPr>
          <w:ilvl w:val="0"/>
          <w:numId w:val="1003"/>
        </w:numPr>
        <w:pStyle w:val="Compact"/>
      </w:pPr>
      <w:r>
        <w:t xml:space="preserve">Relación esperada: la contribución conjunta de los</w:t>
      </w:r>
      <w:r>
        <w:t xml:space="preserve"> </w:t>
      </w:r>
      <w:r>
        <w:rPr>
          <w:iCs/>
          <w:i/>
        </w:rPr>
        <w:t xml:space="preserve">shocks</w:t>
      </w:r>
      <w:r>
        <w:t xml:space="preserve"> </w:t>
      </w:r>
      <w:r>
        <w:t xml:space="preserve">no fiscales es mayor que la del</w:t>
      </w:r>
      <w:r>
        <w:t xml:space="preserve"> </w:t>
      </w:r>
      <w:r>
        <w:rPr>
          <w:iCs/>
          <w:i/>
        </w:rPr>
        <w:t xml:space="preserve">shock</w:t>
      </w:r>
      <w:r>
        <w:t xml:space="preserve"> </w:t>
      </w:r>
      <w:r>
        <w:t xml:space="preserve">fiscal.</w:t>
      </w:r>
    </w:p>
    <w:p>
      <w:pPr>
        <w:numPr>
          <w:ilvl w:val="0"/>
          <w:numId w:val="1003"/>
        </w:numPr>
        <w:pStyle w:val="Compact"/>
      </w:pPr>
      <w:r>
        <w:t xml:space="preserve">Criterio de contraste: la hipótesis se respalda si la diferencia entre la contribución de los</w:t>
      </w:r>
      <w:r>
        <w:t xml:space="preserve"> </w:t>
      </w:r>
      <w:r>
        <w:rPr>
          <w:iCs/>
          <w:i/>
        </w:rPr>
        <w:t xml:space="preserve">shocks</w:t>
      </w:r>
      <w:r>
        <w:t xml:space="preserve"> </w:t>
      </w:r>
      <w:r>
        <w:t xml:space="preserve">no fiscales y la del</w:t>
      </w:r>
      <w:r>
        <w:t xml:space="preserve"> </w:t>
      </w:r>
      <w:r>
        <w:rPr>
          <w:iCs/>
          <w:i/>
        </w:rPr>
        <w:t xml:space="preserve">shock</w:t>
      </w:r>
      <w:r>
        <w:t xml:space="preserve"> </w:t>
      </w:r>
      <w:r>
        <w:t xml:space="preserve">fiscal es positiva y su intervalo de 90% excluye el cero. Como complemento descriptivo, sin criterio de contraste, se calculará la probabilidad de no estabilización con el resultado primario en su máximo anual de 1996-2025 y el aumento del resultado primario que la llevaría a la estimación del FMI.</w:t>
      </w:r>
    </w:p>
    <w:p>
      <w:pPr>
        <w:pStyle w:val="FirstParagraph"/>
      </w:pPr>
      <w:r>
        <w:rPr>
          <w:bCs/>
          <w:b/>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numPr>
          <w:ilvl w:val="0"/>
          <w:numId w:val="1004"/>
        </w:numPr>
        <w:pStyle w:val="Compact"/>
      </w:pPr>
      <w:r>
        <w:t xml:space="preserve">Unidad de análisis: la economía argentina, observada como serie temporal trimestral.</w:t>
      </w:r>
    </w:p>
    <w:p>
      <w:pPr>
        <w:numPr>
          <w:ilvl w:val="0"/>
          <w:numId w:val="1004"/>
        </w:numPr>
        <w:pStyle w:val="Compact"/>
      </w:pPr>
      <w:r>
        <w:t xml:space="preserve">Variables: probabilidad de no estabilización de la deuda federal bruta en 2031 y 2035, calculada con el punto de partida y el escenario base del FMI, con una métrica anual y con la definición operativa del FMI, y la probabilidad que informa el FMI para cada horizonte.</w:t>
      </w:r>
    </w:p>
    <w:p>
      <w:pPr>
        <w:numPr>
          <w:ilvl w:val="0"/>
          <w:numId w:val="1004"/>
        </w:numPr>
        <w:pStyle w:val="Compact"/>
      </w:pPr>
      <w:r>
        <w:t xml:space="preserve">Relación esperada: la primera es mayor que la segunda en los dos horizontes.</w:t>
      </w:r>
    </w:p>
    <w:p>
      <w:pPr>
        <w:numPr>
          <w:ilvl w:val="0"/>
          <w:numId w:val="1004"/>
        </w:numPr>
        <w:pStyle w:val="Compact"/>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Cs/>
          <w:b/>
        </w:rPr>
        <w:t xml:space="preserve">H2.</w:t>
      </w:r>
      <w:r>
        <w:t xml:space="preserve"> </w:t>
      </w:r>
      <w:r>
        <w:t xml:space="preserve">Un endurecimiento de la política monetaria de la FED eleva la trayectoria esperada de la deuda y su probabilidad de no estabilizarse. La hipótesis se refiere al efecto total; los canales por los que opera (riesgo país, tipo de cambio real, crecimiento y costo directo de la deuda en dólares) se examinarán por separado.</w:t>
      </w:r>
    </w:p>
    <w:p>
      <w:pPr>
        <w:numPr>
          <w:ilvl w:val="0"/>
          <w:numId w:val="1005"/>
        </w:numPr>
        <w:pStyle w:val="Compact"/>
      </w:pPr>
      <w:r>
        <w:t xml:space="preserve">Unidad de análisis: la economía argentina, observada como serie temporal trimestral.</w:t>
      </w:r>
    </w:p>
    <w:p>
      <w:pPr>
        <w:numPr>
          <w:ilvl w:val="0"/>
          <w:numId w:val="1005"/>
        </w:numPr>
        <w:pStyle w:val="Compact"/>
      </w:pPr>
      <w:r>
        <w:t xml:space="preserve">Variables: tasa de la FED; deuda esperada y probabilidad de no estabilización en 2035; EMBI, TCRM y crecimiento como canales.</w:t>
      </w:r>
    </w:p>
    <w:p>
      <w:pPr>
        <w:numPr>
          <w:ilvl w:val="0"/>
          <w:numId w:val="1005"/>
        </w:numPr>
        <w:pStyle w:val="Compact"/>
      </w:pPr>
      <w:r>
        <w:t xml:space="preserve">Relación esperada: positiva entre la tasa de la FED y la deuda esperada y entre la tasa de la FED y la probabilidad de no estabilización.</w:t>
      </w:r>
    </w:p>
    <w:p>
      <w:pPr>
        <w:numPr>
          <w:ilvl w:val="0"/>
          <w:numId w:val="1005"/>
        </w:numPr>
        <w:pStyle w:val="Compact"/>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28"/>
    <w:bookmarkStart w:id="30" w:name="estrategia-metodológica"/>
    <w:p>
      <w:pPr>
        <w:pStyle w:val="Heading2"/>
      </w:pPr>
      <w:r>
        <w:t xml:space="preserve">2.6. Estrategia metodológica</w:t>
      </w:r>
    </w:p>
    <w:p>
      <w:pPr>
        <w:pStyle w:val="FirstParagraph"/>
      </w:pPr>
      <w:r>
        <w:rPr>
          <w:bCs/>
          <w:b/>
        </w:rPr>
        <w:t xml:space="preserve">Tipo de estudio.</w:t>
      </w:r>
      <w:r>
        <w:t xml:space="preserve"> </w:t>
      </w:r>
      <w:r>
        <w:t xml:space="preserve">Cuantitativo, explicativo y longitudinal. Es explicativo porque busca medir cómo los determinantes macroeconómicos afectan la deuda. Es retrospectivo en la estimación (1996-2025) y prospectivo en la simulación (2026-2035).</w:t>
      </w:r>
    </w:p>
    <w:p>
      <w:pPr>
        <w:pStyle w:val="BodyText"/>
      </w:pPr>
      <w:r>
        <w:rPr>
          <w:bCs/>
          <w:b/>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1996T1-2025T4, porque la ventana incluye regímenes cambiarios y fiscales distintos (convertibilidad,</w:t>
      </w:r>
      <w:r>
        <w:t xml:space="preserve"> </w:t>
      </w:r>
      <w:r>
        <w:rPr>
          <w:iCs/>
          <w:i/>
        </w:rPr>
        <w:t xml:space="preserve">default</w:t>
      </w:r>
      <w:r>
        <w:t xml:space="preserve">, desendeudamiento, reendeudamiento y programa con el FMI). Las ecuaciones se estimarán con los trimestres 1998T2-2025T4 (111 trimestres): los primeros trimestres de la ventana se usarán como condiciones iniciales de los rezagos, porque la variación de la tasa de la FED entra con dos rezagos y todos los órdenes de rezago considerados, hasta seis, se compararán sobre la misma muestra (Lütkepohl, 2005, sec. 4.3). Esto no cambia la ventana del estudio.</w:t>
      </w:r>
    </w:p>
    <w:p>
      <w:pPr>
        <w:pStyle w:val="BodyText"/>
      </w:pPr>
      <w:r>
        <w:rPr>
          <w:bCs/>
          <w:b/>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Cs/>
          <w:i/>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tendrá una sola definición para todo el estudio: el del Sector Público Nacional sin rentas de la propiedad. El FMI excluye de su resultado primario las transferencias de utilidades del BCRA (FMI, 2026, cuadro 1, nota 4), y la fuente pública del MECON no las separa del resto de las rentas de la propiedad, de modo que la serie sin rentas es la que las deja afuera. En el perímetro consolidado esas utilidades también son un flujo interno. La serie con rentas de la propiedad se informará como robustez. En la tasa de la FED, el cambio de la tasa sombra a la tasa efectiva en 2022T1 se tratará de modo que no se confunda con un cambio de política.</w:t>
      </w:r>
    </w:p>
    <w:p>
      <w:pPr>
        <w:pStyle w:val="BodyText"/>
      </w:pPr>
      <w:r>
        <w:rPr>
          <w:bCs/>
          <w:b/>
        </w:rPr>
        <w:t xml:space="preserve">Empalmes.</w:t>
      </w:r>
      <w:r>
        <w:t xml:space="preserve"> </w:t>
      </w:r>
      <w:r>
        <w:t xml:space="preserve">Dos series no tienen dato directo publicado en toda la ventana y se completarán con empalmes documentados. La serie diaria del EMBI empieza el 11 de diciembre de 1998; para 1996T1-1998T3 se usará el diferencial entre la tasa de préstamos interfinancieros en dólares del BCRA, serie oficial mensual desde octubre de 1994, y la tasa de fondos federales. Durante la convertibilidad, ese costo del dólar dentro del sistema financiero argentino refleja el riesgo argentino. La relación entre ambas series se estimará en la superposición 1998T4-2001T3, que termina antes del corralito porque este rompe ese mercado, y se validará de tres maneras: con el R² de la regresión, con una validación cruzada que deja un trimestre afuera por vez y con un pronóstico fuera de muestra de 2001 estimado solo con 1998T4-2000T4. El índice del TCRM del BCRA empieza en enero de 1997; para 1996 se encadenará hacia atrás con las variaciones del tipo de cambio real efectivo amplio del BIS, invertido porque ese índice sube con la apreciación, y se verificará la correlación entre las variaciones trimestrales de los dos índices en el período común. Para comprobar que los resultados no dependen de los empalmes, la estimación y la simulación se repetirán con datos desde 1999, solo con el EMBI observado.</w:t>
      </w:r>
    </w:p>
    <w:p>
      <w:pPr>
        <w:pStyle w:val="BodyText"/>
      </w:pPr>
      <w:r>
        <w:rPr>
          <w:bCs/>
          <w:b/>
        </w:rPr>
        <w:t xml:space="preserve">Variables, dimensiones e indicadores.</w:t>
      </w:r>
    </w:p>
    <w:p>
      <w:pPr>
        <w:pStyle w:val="BodyText"/>
      </w:pPr>
      <w:r>
        <w:rPr>
          <w:bCs/>
          <w:b/>
        </w:rPr>
        <w:t xml:space="preserve">Tabla 1. Variables, indicadores y fuentes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true"/>
        </w:trPr>
        <w:tc>
          <w:tcPr>
            <w:tcW w:type="dxa" w:w="1814"/>
          </w:tcPr>
          <w:p>
            <w:pPr>
              <w:pStyle w:val="Compact"/>
              <w:spacing w:line="240" w:lineRule="auto"/>
              <w:ind w:firstLine="0"/>
              <w:jc w:val="left"/>
            </w:pPr>
            <w:r>
              <w:rPr>
                <w:rFonts w:ascii="Calibri" w:hAnsi="Calibri"/>
                <w:sz w:val="20"/>
              </w:rPr>
              <w:t xml:space="preserve">Variable</w:t>
            </w:r>
          </w:p>
        </w:tc>
        <w:tc>
          <w:tcPr>
            <w:tcW w:type="dxa" w:w="1814"/>
          </w:tcPr>
          <w:p>
            <w:pPr>
              <w:pStyle w:val="Compact"/>
              <w:spacing w:line="240" w:lineRule="auto"/>
              <w:ind w:firstLine="0"/>
              <w:jc w:val="left"/>
            </w:pPr>
            <w:r>
              <w:rPr>
                <w:rFonts w:ascii="Calibri" w:hAnsi="Calibri"/>
                <w:sz w:val="20"/>
              </w:rPr>
              <w:t xml:space="preserve">Dimensión</w:t>
            </w:r>
          </w:p>
        </w:tc>
        <w:tc>
          <w:tcPr>
            <w:tcW w:type="dxa" w:w="1814"/>
          </w:tcPr>
          <w:p>
            <w:pPr>
              <w:pStyle w:val="Compact"/>
              <w:spacing w:line="240" w:lineRule="auto"/>
              <w:ind w:firstLine="0"/>
              <w:jc w:val="left"/>
            </w:pPr>
            <w:r>
              <w:rPr>
                <w:rFonts w:ascii="Calibri" w:hAnsi="Calibri"/>
                <w:sz w:val="20"/>
              </w:rPr>
              <w:t xml:space="preserve">Indicador</w:t>
            </w:r>
          </w:p>
        </w:tc>
        <w:tc>
          <w:tcPr>
            <w:tcW w:type="dxa" w:w="1814"/>
          </w:tcPr>
          <w:p>
            <w:pPr>
              <w:pStyle w:val="Compact"/>
              <w:spacing w:line="240" w:lineRule="auto"/>
              <w:ind w:firstLine="0"/>
              <w:jc w:val="left"/>
            </w:pPr>
            <w:r>
              <w:rPr>
                <w:rFonts w:ascii="Calibri" w:hAnsi="Calibri"/>
                <w:sz w:val="20"/>
              </w:rPr>
              <w:t xml:space="preserve">Fuente</w:t>
            </w:r>
          </w:p>
        </w:tc>
        <w:tc>
          <w:tcPr>
            <w:tcW w:type="dxa" w:w="1814"/>
          </w:tcPr>
          <w:p>
            <w:pPr>
              <w:pStyle w:val="Compact"/>
              <w:spacing w:line="240" w:lineRule="auto"/>
              <w:ind w:firstLine="0"/>
              <w:jc w:val="left"/>
            </w:pPr>
            <w:r>
              <w:rPr>
                <w:rFonts w:ascii="Calibri" w:hAnsi="Calibri"/>
                <w:sz w:val="20"/>
              </w:rPr>
              <w:t xml:space="preserve">Rol</w:t>
            </w:r>
          </w:p>
        </w:tc>
      </w:tr>
      <w:tr>
        <w:tc>
          <w:tcPr>
            <w:tcW w:type="dxa" w:w="1814"/>
          </w:tcPr>
          <w:p>
            <w:pPr>
              <w:pStyle w:val="Compact"/>
              <w:spacing w:line="240" w:lineRule="auto"/>
              <w:ind w:firstLine="0"/>
              <w:jc w:val="left"/>
            </w:pPr>
            <w:r>
              <w:rPr>
                <w:rFonts w:ascii="Calibri" w:hAnsi="Calibri"/>
                <w:sz w:val="20"/>
              </w:rPr>
              <w:t xml:space="preserve">Sostenibilidad de la deuda</w:t>
            </w:r>
          </w:p>
        </w:tc>
        <w:tc>
          <w:tcPr>
            <w:tcW w:type="dxa" w:w="1814"/>
          </w:tcPr>
          <w:p>
            <w:pPr>
              <w:pStyle w:val="Compact"/>
              <w:spacing w:line="240" w:lineRule="auto"/>
              <w:ind w:firstLine="0"/>
              <w:jc w:val="left"/>
            </w:pPr>
            <w:r>
              <w:rPr>
                <w:rFonts w:ascii="Calibri" w:hAnsi="Calibri"/>
                <w:sz w:val="20"/>
              </w:rPr>
              <w:t xml:space="preserve">Estabilización</w:t>
            </w:r>
          </w:p>
        </w:tc>
        <w:tc>
          <w:tcPr>
            <w:tcW w:type="dxa" w:w="1814"/>
          </w:tcPr>
          <w:p>
            <w:pPr>
              <w:pStyle w:val="Compact"/>
              <w:spacing w:line="240" w:lineRule="auto"/>
              <w:ind w:firstLine="0"/>
              <w:jc w:val="left"/>
            </w:pPr>
            <w:r>
              <w:rPr>
                <w:rFonts w:ascii="Calibri" w:hAnsi="Calibri"/>
                <w:sz w:val="20"/>
              </w:rPr>
              <w:t xml:space="preserve">Probabilidad de que la deuda no se estabilice en 2031 y 2035</w:t>
            </w:r>
          </w:p>
        </w:tc>
        <w:tc>
          <w:tcPr>
            <w:tcW w:type="dxa" w:w="1814"/>
          </w:tcPr>
          <w:p>
            <w:pPr>
              <w:pStyle w:val="Compact"/>
              <w:spacing w:line="240" w:lineRule="auto"/>
              <w:ind w:firstLine="0"/>
              <w:jc w:val="left"/>
            </w:pPr>
            <w:r>
              <w:rPr>
                <w:rFonts w:ascii="Calibri" w:hAnsi="Calibri"/>
                <w:sz w:val="20"/>
              </w:rPr>
              <w:t xml:space="preserve">Elaboración propia con el criterio del FMI (2021)</w:t>
            </w:r>
          </w:p>
        </w:tc>
        <w:tc>
          <w:tcPr>
            <w:tcW w:type="dxa" w:w="1814"/>
          </w:tcPr>
          <w:p>
            <w:pPr>
              <w:pStyle w:val="Compact"/>
              <w:spacing w:line="240" w:lineRule="auto"/>
              <w:ind w:firstLine="0"/>
              <w:jc w:val="left"/>
            </w:pPr>
            <w:r>
              <w:rPr>
                <w:rFonts w:ascii="Calibri" w:hAnsi="Calibri"/>
                <w:sz w:val="20"/>
              </w:rPr>
              <w:t xml:space="preserve">Dependiente</w:t>
            </w:r>
          </w:p>
        </w:tc>
      </w:tr>
      <w:tr>
        <w:tc>
          <w:tcPr>
            <w:tcW w:type="dxa" w:w="1814"/>
          </w:tcPr>
          <w:p>
            <w:pPr>
              <w:pStyle w:val="Compact"/>
              <w:spacing w:line="240" w:lineRule="auto"/>
              <w:ind w:firstLine="0"/>
              <w:jc w:val="left"/>
            </w:pPr>
            <w:r>
              <w:rPr>
                <w:rFonts w:ascii="Calibri" w:hAnsi="Calibri"/>
                <w:sz w:val="20"/>
              </w:rPr>
              <w:t xml:space="preserve">Deuda federal bruta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bruta de la Administración Central, % del PIB</w:t>
            </w:r>
          </w:p>
        </w:tc>
        <w:tc>
          <w:tcPr>
            <w:tcW w:type="dxa" w:w="1814"/>
          </w:tcPr>
          <w:p>
            <w:pPr>
              <w:pStyle w:val="Compact"/>
              <w:spacing w:line="240" w:lineRule="auto"/>
              <w:ind w:firstLine="0"/>
              <w:jc w:val="left"/>
            </w:pPr>
            <w:r>
              <w:rPr>
                <w:rFonts w:ascii="Calibri" w:hAnsi="Calibri"/>
                <w:sz w:val="20"/>
              </w:rPr>
              <w:t xml:space="preserve">MECON;</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(principal)</w:t>
            </w:r>
          </w:p>
        </w:tc>
      </w:tr>
      <w:tr>
        <w:tc>
          <w:tcPr>
            <w:tcW w:type="dxa" w:w="1814"/>
          </w:tcPr>
          <w:p>
            <w:pPr>
              <w:pStyle w:val="Compact"/>
              <w:spacing w:line="240" w:lineRule="auto"/>
              <w:ind w:firstLine="0"/>
              <w:jc w:val="left"/>
            </w:pPr>
            <w:r>
              <w:rPr>
                <w:rFonts w:ascii="Calibri" w:hAnsi="Calibri"/>
                <w:sz w:val="20"/>
              </w:rPr>
              <w:t xml:space="preserve">Deuda consolidada con el BCRA</w:t>
            </w:r>
          </w:p>
        </w:tc>
        <w:tc>
          <w:tcPr>
            <w:tcW w:type="dxa" w:w="1814"/>
          </w:tcPr>
          <w:p>
            <w:pPr>
              <w:pStyle w:val="Compact"/>
              <w:spacing w:line="240" w:lineRule="auto"/>
              <w:ind w:firstLine="0"/>
              <w:jc w:val="left"/>
            </w:pPr>
            <w:r>
              <w:rPr>
                <w:rFonts w:ascii="Calibri" w:hAnsi="Calibri"/>
                <w:sz w:val="20"/>
              </w:rPr>
              <w:t xml:space="preserve">Nivel de endeudamiento</w:t>
            </w:r>
          </w:p>
        </w:tc>
        <w:tc>
          <w:tcPr>
            <w:tcW w:type="dxa" w:w="1814"/>
          </w:tcPr>
          <w:p>
            <w:pPr>
              <w:pStyle w:val="Compact"/>
              <w:spacing w:line="240" w:lineRule="auto"/>
              <w:ind w:firstLine="0"/>
              <w:jc w:val="left"/>
            </w:pPr>
            <w:r>
              <w:rPr>
                <w:rFonts w:ascii="Calibri" w:hAnsi="Calibri"/>
                <w:sz w:val="20"/>
              </w:rPr>
              <w:t xml:space="preserve">Deuda del Tesoro y del BCRA neta de tenencias cruzadas, % del PIB</w:t>
            </w:r>
          </w:p>
        </w:tc>
        <w:tc>
          <w:tcPr>
            <w:tcW w:type="dxa" w:w="1814"/>
          </w:tcPr>
          <w:p>
            <w:pPr>
              <w:pStyle w:val="Compact"/>
              <w:spacing w:line="240" w:lineRule="auto"/>
              <w:ind w:firstLine="0"/>
              <w:jc w:val="left"/>
            </w:pPr>
            <w:r>
              <w:rPr>
                <w:rFonts w:ascii="Calibri" w:hAnsi="Calibri"/>
                <w:sz w:val="20"/>
              </w:rPr>
              <w:t xml:space="preserve">MECON y BCRA;</w:t>
            </w:r>
            <w:r>
              <w:rPr>
                <w:rFonts w:ascii="Calibri" w:hAnsi="Calibri"/>
                <w:sz w:val="20"/>
              </w:rPr>
              <w:t xml:space="preserve"> </w:t>
            </w:r>
            <w:r>
              <w:rPr>
                <w:iCs/>
                <w:rFonts w:ascii="Calibri" w:hAnsi="Calibri"/>
                <w:i/>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jc w:val="left"/>
            </w:pPr>
            <w:r>
              <w:rPr>
                <w:rFonts w:ascii="Calibri" w:hAnsi="Calibri"/>
                <w:sz w:val="20"/>
              </w:rPr>
              <w:t xml:space="preserve">Entra rezagada y se acumula con la identidad (extensión)</w:t>
            </w:r>
          </w:p>
        </w:tc>
      </w:tr>
      <w:tr>
        <w:tc>
          <w:tcPr>
            <w:tcW w:type="dxa" w:w="1814"/>
          </w:tcPr>
          <w:p>
            <w:pPr>
              <w:pStyle w:val="Compact"/>
              <w:spacing w:line="240" w:lineRule="auto"/>
              <w:ind w:firstLine="0"/>
              <w:jc w:val="left"/>
            </w:pPr>
            <w:r>
              <w:rPr>
                <w:rFonts w:ascii="Calibri" w:hAnsi="Calibri"/>
                <w:sz w:val="20"/>
              </w:rPr>
              <w:t xml:space="preserve">Política fiscal</w:t>
            </w:r>
          </w:p>
        </w:tc>
        <w:tc>
          <w:tcPr>
            <w:tcW w:type="dxa" w:w="1814"/>
          </w:tcPr>
          <w:p>
            <w:pPr>
              <w:pStyle w:val="Compact"/>
              <w:spacing w:line="240" w:lineRule="auto"/>
              <w:ind w:firstLine="0"/>
              <w:jc w:val="left"/>
            </w:pPr>
            <w:r>
              <w:rPr>
                <w:rFonts w:ascii="Calibri" w:hAnsi="Calibri"/>
                <w:sz w:val="20"/>
              </w:rPr>
              <w:t xml:space="preserve">Esfuerzo fiscal</w:t>
            </w:r>
          </w:p>
        </w:tc>
        <w:tc>
          <w:tcPr>
            <w:tcW w:type="dxa" w:w="1814"/>
          </w:tcPr>
          <w:p>
            <w:pPr>
              <w:pStyle w:val="Compact"/>
              <w:spacing w:line="240" w:lineRule="auto"/>
              <w:ind w:firstLine="0"/>
              <w:jc w:val="left"/>
            </w:pPr>
            <w:r>
              <w:rPr>
                <w:rFonts w:ascii="Calibri" w:hAnsi="Calibri"/>
                <w:sz w:val="20"/>
              </w:rPr>
              <w:t xml:space="preserve">Resultado primario sin rentas de la propiedad, % del PIB (con rentas, como robustez)</w:t>
            </w:r>
          </w:p>
        </w:tc>
        <w:tc>
          <w:tcPr>
            <w:tcW w:type="dxa" w:w="1814"/>
          </w:tcPr>
          <w:p>
            <w:pPr>
              <w:pStyle w:val="Compact"/>
              <w:spacing w:line="240" w:lineRule="auto"/>
              <w:ind w:firstLine="0"/>
              <w:jc w:val="left"/>
            </w:pPr>
            <w:r>
              <w:rPr>
                <w:rFonts w:ascii="Calibri" w:hAnsi="Calibri"/>
                <w:sz w:val="20"/>
              </w:rPr>
              <w:t xml:space="preserve">MECON</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Actividad</w:t>
            </w:r>
          </w:p>
        </w:tc>
        <w:tc>
          <w:tcPr>
            <w:tcW w:type="dxa" w:w="1814"/>
          </w:tcPr>
          <w:p>
            <w:pPr>
              <w:pStyle w:val="Compact"/>
              <w:spacing w:line="240" w:lineRule="auto"/>
              <w:ind w:firstLine="0"/>
              <w:jc w:val="left"/>
            </w:pPr>
            <w:r>
              <w:rPr>
                <w:rFonts w:ascii="Calibri" w:hAnsi="Calibri"/>
                <w:sz w:val="20"/>
              </w:rPr>
              <w:t xml:space="preserve">Crecimiento</w:t>
            </w:r>
          </w:p>
        </w:tc>
        <w:tc>
          <w:tcPr>
            <w:tcW w:type="dxa" w:w="1814"/>
          </w:tcPr>
          <w:p>
            <w:pPr>
              <w:pStyle w:val="Compact"/>
              <w:spacing w:line="240" w:lineRule="auto"/>
              <w:ind w:firstLine="0"/>
              <w:jc w:val="left"/>
            </w:pPr>
            <w:r>
              <w:rPr>
                <w:rFonts w:ascii="Calibri" w:hAnsi="Calibri"/>
                <w:sz w:val="20"/>
              </w:rPr>
              <w:t xml:space="preserve">Variación trimestral del PIB real</w:t>
            </w:r>
          </w:p>
        </w:tc>
        <w:tc>
          <w:tcPr>
            <w:tcW w:type="dxa" w:w="1814"/>
          </w:tcPr>
          <w:p>
            <w:pPr>
              <w:pStyle w:val="Compact"/>
              <w:spacing w:line="240" w:lineRule="auto"/>
              <w:ind w:firstLine="0"/>
              <w:jc w:val="left"/>
            </w:pPr>
            <w:r>
              <w:rPr>
                <w:rFonts w:ascii="Calibri" w:hAnsi="Calibri"/>
                <w:sz w:val="20"/>
              </w:rPr>
              <w:t xml:space="preserve">INDEC</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Riesgo soberano</w:t>
            </w:r>
          </w:p>
        </w:tc>
        <w:tc>
          <w:tcPr>
            <w:tcW w:type="dxa" w:w="1814"/>
          </w:tcPr>
          <w:p>
            <w:pPr>
              <w:pStyle w:val="Compact"/>
              <w:spacing w:line="240" w:lineRule="auto"/>
              <w:ind w:firstLine="0"/>
              <w:jc w:val="left"/>
            </w:pPr>
            <w:r>
              <w:rPr>
                <w:rFonts w:ascii="Calibri" w:hAnsi="Calibri"/>
                <w:sz w:val="20"/>
              </w:rPr>
              <w:t xml:space="preserve">Costo del financiamiento</w:t>
            </w:r>
          </w:p>
        </w:tc>
        <w:tc>
          <w:tcPr>
            <w:tcW w:type="dxa" w:w="1814"/>
          </w:tcPr>
          <w:p>
            <w:pPr>
              <w:pStyle w:val="Compact"/>
              <w:spacing w:line="240" w:lineRule="auto"/>
              <w:ind w:firstLine="0"/>
              <w:jc w:val="left"/>
            </w:pPr>
            <w:r>
              <w:rPr>
                <w:rFonts w:ascii="Calibri" w:hAnsi="Calibri"/>
                <w:sz w:val="20"/>
              </w:rPr>
              <w:t xml:space="preserve">EMBI (puntos básicos); 1996T1-1998T3 empalmado con la tasa interfinanciera en dólares menos la tasa de fondos federales</w:t>
            </w:r>
          </w:p>
        </w:tc>
        <w:tc>
          <w:tcPr>
            <w:tcW w:type="dxa" w:w="1814"/>
          </w:tcPr>
          <w:p>
            <w:pPr>
              <w:pStyle w:val="Compact"/>
              <w:spacing w:line="240" w:lineRule="auto"/>
              <w:ind w:firstLine="0"/>
              <w:jc w:val="left"/>
            </w:pPr>
            <w:r>
              <w:rPr>
                <w:rFonts w:ascii="Calibri" w:hAnsi="Calibri"/>
                <w:sz w:val="20"/>
              </w:rPr>
              <w:t xml:space="preserve">J.P. Morgan, serie diaria publicada por Ámbito Financiero; BCRA y Reserva Federal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Precios relativos</w:t>
            </w:r>
          </w:p>
        </w:tc>
        <w:tc>
          <w:tcPr>
            <w:tcW w:type="dxa" w:w="1814"/>
          </w:tcPr>
          <w:p>
            <w:pPr>
              <w:pStyle w:val="Compact"/>
              <w:spacing w:line="240" w:lineRule="auto"/>
              <w:ind w:firstLine="0"/>
              <w:jc w:val="left"/>
            </w:pPr>
            <w:r>
              <w:rPr>
                <w:rFonts w:ascii="Calibri" w:hAnsi="Calibri"/>
                <w:sz w:val="20"/>
              </w:rPr>
              <w:t xml:space="preserve">Efecto de valuación</w:t>
            </w:r>
          </w:p>
        </w:tc>
        <w:tc>
          <w:tcPr>
            <w:tcW w:type="dxa" w:w="1814"/>
          </w:tcPr>
          <w:p>
            <w:pPr>
              <w:pStyle w:val="Compact"/>
              <w:spacing w:line="240" w:lineRule="auto"/>
              <w:ind w:firstLine="0"/>
              <w:jc w:val="left"/>
            </w:pPr>
            <w:r>
              <w:rPr>
                <w:rFonts w:ascii="Calibri" w:hAnsi="Calibri"/>
                <w:sz w:val="20"/>
              </w:rPr>
              <w:t xml:space="preserve">TCRM; 1996 encadenado con el tipo de cambio real efectivo amplio</w:t>
            </w:r>
          </w:p>
        </w:tc>
        <w:tc>
          <w:tcPr>
            <w:tcW w:type="dxa" w:w="1814"/>
          </w:tcPr>
          <w:p>
            <w:pPr>
              <w:pStyle w:val="Compact"/>
              <w:spacing w:line="240" w:lineRule="auto"/>
              <w:ind w:firstLine="0"/>
              <w:jc w:val="left"/>
            </w:pPr>
            <w:r>
              <w:rPr>
                <w:rFonts w:ascii="Calibri" w:hAnsi="Calibri"/>
                <w:sz w:val="20"/>
              </w:rPr>
              <w:t xml:space="preserve">BCRA; BIS para el empalme</w:t>
            </w:r>
          </w:p>
        </w:tc>
        <w:tc>
          <w:tcPr>
            <w:tcW w:type="dxa" w:w="1814"/>
          </w:tcPr>
          <w:p>
            <w:pPr>
              <w:pStyle w:val="Compact"/>
              <w:spacing w:line="240" w:lineRule="auto"/>
              <w:ind w:firstLine="0"/>
              <w:jc w:val="left"/>
            </w:pPr>
            <w:r>
              <w:rPr>
                <w:rFonts w:ascii="Calibri" w:hAnsi="Calibri"/>
                <w:sz w:val="20"/>
              </w:rPr>
              <w:t xml:space="preserve">Endógena</w:t>
            </w:r>
          </w:p>
        </w:tc>
      </w:tr>
      <w:tr>
        <w:tc>
          <w:tcPr>
            <w:tcW w:type="dxa" w:w="1814"/>
          </w:tcPr>
          <w:p>
            <w:pPr>
              <w:pStyle w:val="Compact"/>
              <w:spacing w:line="240" w:lineRule="auto"/>
              <w:ind w:firstLine="0"/>
              <w:jc w:val="left"/>
            </w:pPr>
            <w:r>
              <w:rPr>
                <w:rFonts w:ascii="Calibri" w:hAnsi="Calibri"/>
                <w:sz w:val="20"/>
              </w:rPr>
              <w:t xml:space="preserve">Política monetaria de Estados Unidos</w:t>
            </w:r>
          </w:p>
        </w:tc>
        <w:tc>
          <w:tcPr>
            <w:tcW w:type="dxa" w:w="1814"/>
          </w:tcPr>
          <w:p>
            <w:pPr>
              <w:pStyle w:val="Compact"/>
              <w:spacing w:line="240" w:lineRule="auto"/>
              <w:ind w:firstLine="0"/>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jc w:val="left"/>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jc w:val="left"/>
            </w:pPr>
            <w:r>
              <w:rPr>
                <w:rFonts w:ascii="Calibri" w:hAnsi="Calibri"/>
                <w:sz w:val="20"/>
              </w:rPr>
              <w:t xml:space="preserve">Reserva Federal</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Condiciones financieras globales</w:t>
            </w:r>
          </w:p>
        </w:tc>
        <w:tc>
          <w:tcPr>
            <w:tcW w:type="dxa" w:w="1814"/>
          </w:tcPr>
          <w:p>
            <w:pPr>
              <w:pStyle w:val="Compact"/>
              <w:spacing w:line="240" w:lineRule="auto"/>
              <w:ind w:firstLine="0"/>
              <w:jc w:val="left"/>
            </w:pPr>
            <w:r>
              <w:rPr>
                <w:rFonts w:ascii="Calibri" w:hAnsi="Calibri"/>
                <w:sz w:val="20"/>
              </w:rPr>
              <w:t xml:space="preserve">Aversión al riesgo</w:t>
            </w:r>
          </w:p>
        </w:tc>
        <w:tc>
          <w:tcPr>
            <w:tcW w:type="dxa" w:w="1814"/>
          </w:tcPr>
          <w:p>
            <w:pPr>
              <w:pStyle w:val="Compact"/>
              <w:spacing w:line="240" w:lineRule="auto"/>
              <w:ind w:firstLine="0"/>
              <w:jc w:val="left"/>
            </w:pPr>
            <w:r>
              <w:rPr>
                <w:rFonts w:ascii="Calibri" w:hAnsi="Calibri"/>
                <w:sz w:val="20"/>
              </w:rPr>
              <w:t xml:space="preserve">VIX</w:t>
            </w:r>
          </w:p>
        </w:tc>
        <w:tc>
          <w:tcPr>
            <w:tcW w:type="dxa" w:w="1814"/>
          </w:tcPr>
          <w:p>
            <w:pPr>
              <w:pStyle w:val="Compact"/>
              <w:spacing w:line="240" w:lineRule="auto"/>
              <w:ind w:firstLine="0"/>
              <w:jc w:val="left"/>
            </w:pPr>
            <w:r>
              <w:rPr>
                <w:rFonts w:ascii="Calibri" w:hAnsi="Calibri"/>
                <w:sz w:val="20"/>
              </w:rPr>
              <w:t xml:space="preserve">CBOE</w:t>
            </w:r>
          </w:p>
        </w:tc>
        <w:tc>
          <w:tcPr>
            <w:tcW w:type="dxa" w:w="1814"/>
          </w:tcPr>
          <w:p>
            <w:pPr>
              <w:pStyle w:val="Compact"/>
              <w:spacing w:line="240" w:lineRule="auto"/>
              <w:ind w:firstLine="0"/>
              <w:jc w:val="left"/>
            </w:pPr>
            <w:r>
              <w:rPr>
                <w:rFonts w:ascii="Calibri" w:hAnsi="Calibri"/>
                <w:sz w:val="20"/>
              </w:rPr>
              <w:t xml:space="preserve">Exógena</w:t>
            </w:r>
          </w:p>
        </w:tc>
      </w:tr>
      <w:tr>
        <w:tc>
          <w:tcPr>
            <w:tcW w:type="dxa" w:w="1814"/>
          </w:tcPr>
          <w:p>
            <w:pPr>
              <w:pStyle w:val="Compact"/>
              <w:spacing w:line="240" w:lineRule="auto"/>
              <w:ind w:firstLine="0"/>
              <w:jc w:val="left"/>
            </w:pPr>
            <w:r>
              <w:rPr>
                <w:rFonts w:ascii="Calibri" w:hAnsi="Calibri"/>
                <w:sz w:val="20"/>
              </w:rPr>
              <w:t xml:space="preserve">Escenario base</w:t>
            </w:r>
          </w:p>
        </w:tc>
        <w:tc>
          <w:tcPr>
            <w:tcW w:type="dxa" w:w="1814"/>
          </w:tcPr>
          <w:p>
            <w:pPr>
              <w:pStyle w:val="Compact"/>
              <w:spacing w:line="240" w:lineRule="auto"/>
              <w:ind w:firstLine="0"/>
              <w:jc w:val="left"/>
            </w:pPr>
            <w:r>
              <w:rPr>
                <w:rFonts w:ascii="Calibri" w:hAnsi="Calibri"/>
                <w:sz w:val="20"/>
              </w:rPr>
              <w:t xml:space="preserve">Proyección oficial</w:t>
            </w:r>
          </w:p>
        </w:tc>
        <w:tc>
          <w:tcPr>
            <w:tcW w:type="dxa" w:w="1814"/>
          </w:tcPr>
          <w:p>
            <w:pPr>
              <w:pStyle w:val="Compact"/>
              <w:spacing w:line="240" w:lineRule="auto"/>
              <w:ind w:firstLine="0"/>
              <w:jc w:val="left"/>
            </w:pPr>
            <w:r>
              <w:rPr>
                <w:rFonts w:ascii="Calibri" w:hAnsi="Calibri"/>
                <w:sz w:val="20"/>
              </w:rPr>
              <w:t xml:space="preserve">Crecimiento, deflactor, tasa efectiva, resultado primario, ajuste</w:t>
            </w:r>
            <w:r>
              <w:rPr>
                <w:rFonts w:ascii="Calibri" w:hAnsi="Calibri"/>
                <w:sz w:val="20"/>
              </w:rPr>
              <w:t xml:space="preserve"> </w:t>
            </w:r>
            <w:r>
              <w:rPr>
                <w:iCs/>
                <w:rFonts w:ascii="Calibri" w:hAnsi="Calibri"/>
                <w:i/>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jc w:val="left"/>
            </w:pPr>
            <w:r>
              <w:rPr>
                <w:rFonts w:ascii="Calibri" w:hAnsi="Calibri"/>
                <w:sz w:val="20"/>
              </w:rPr>
              <w:t xml:space="preserve">FMI (2026), cuadro 6</w:t>
            </w:r>
          </w:p>
        </w:tc>
        <w:tc>
          <w:tcPr>
            <w:tcW w:type="dxa" w:w="1814"/>
          </w:tcPr>
          <w:p>
            <w:pPr>
              <w:pStyle w:val="Compact"/>
              <w:spacing w:line="240" w:lineRule="auto"/>
              <w:ind w:firstLine="0"/>
              <w:jc w:val="left"/>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con el BCRA, resultado primario, crecimiento, EMBI, TCRM, tasa de la FED y VIX).</w:t>
      </w:r>
    </w:p>
    <w:p>
      <w:pPr>
        <w:pStyle w:val="BodyText"/>
      </w:pPr>
      <w:r>
        <w:rPr>
          <w:bCs/>
          <w:b/>
        </w:rPr>
        <w:t xml:space="preserve">Procedimiento y pruebas.</w:t>
      </w:r>
      <w:r>
        <w:t xml:space="preserve"> </w:t>
      </w:r>
      <w:r>
        <w:t xml:space="preserve">El trabajo empírico seguirá siete pasos.</w:t>
      </w:r>
    </w:p>
    <w:p>
      <w:pPr>
        <w:numPr>
          <w:ilvl w:val="0"/>
          <w:numId w:val="1006"/>
        </w:numPr>
        <w:pStyle w:val="Compact"/>
      </w:pPr>
      <w:r>
        <w:rPr>
          <w:iCs/>
          <w:i/>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numPr>
          <w:ilvl w:val="0"/>
          <w:numId w:val="1006"/>
        </w:numPr>
        <w:pStyle w:val="Compact"/>
      </w:pPr>
      <w:r>
        <w:rPr>
          <w:iCs/>
          <w:i/>
        </w:rPr>
        <w:t xml:space="preserve">Especificación del sistema.</w:t>
      </w:r>
      <w:r>
        <w:t xml:space="preserve"> </w:t>
      </w:r>
      <w:r>
        <w:t xml:space="preserve">El SVARX tendrá cuatro variables endógenas (resultado primario, crecimiento, EMBI y TCRM) y, como exógenas, la variación de la tasa de la FED con dos rezagos, el VIX, variables binarias estacionales, las de los quiebres y una por mandato presidencial, para controlar los cambios de orientación de la política económica entre administraciones; su significancia conjunta se contrastará con pruebas de Wald y de razón de verosimilitud. La deuda entrará rezagada en las cuatro ecuaciones y se acumulará con la identidad contable, no con una ecuación estimada: así la deuda responde a los</w:t>
      </w:r>
      <w:r>
        <w:t xml:space="preserve"> </w:t>
      </w:r>
      <w:r>
        <w:rPr>
          <w:iCs/>
          <w:i/>
        </w:rPr>
        <w:t xml:space="preserve">shocks</w:t>
      </w:r>
      <w:r>
        <w:t xml:space="preserve"> </w:t>
      </w:r>
      <w:r>
        <w:t xml:space="preserve">del sistema y, a la vez, condiciona al resultado primario, al EMBI, al crecimiento y al TCRM en los trimestres siguientes, sin romper la contabilidad (Favero y Giavazzi, 2007). El efecto de esa retroalimentación se medirá comparando con una versión que la apaga. Se usará el crecimiento sin desestacionalizar, porque la serie desestacionalizada del INDEC empieza en 2004; la estacionalidad la absorberán las variables binarias trimestrales (Lütkepohl, 2005), en lugar de un filtro X-13 que agregaría un paso de estimación previo. La tasa de la deuda en dólares se construirá con la tasa efectiva del escenario más el desvío simulado del EMBI y del nivel de la tasa de la FED, que alcanza a la deuda a medida que se refinancia; la tasa de la deuda en pesos seguirá la del escenario, y la variante en la que el EMBI también la encarece se informará como robustez.</w:t>
      </w:r>
    </w:p>
    <w:p>
      <w:pPr>
        <w:numPr>
          <w:ilvl w:val="0"/>
          <w:numId w:val="1006"/>
        </w:numPr>
        <w:pStyle w:val="Compact"/>
      </w:pPr>
      <w:r>
        <w:rPr>
          <w:iCs/>
          <w:i/>
        </w:rPr>
        <w:t xml:space="preserve">Selección de rezagos.</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si ningún orden estable la pasa, el de mayor p-valor. Diagnóstico de residuos: autocorrelación, normalidad multivariada y heterocedasticidad condicional.</w:t>
      </w:r>
    </w:p>
    <w:p>
      <w:pPr>
        <w:numPr>
          <w:ilvl w:val="0"/>
          <w:numId w:val="1006"/>
        </w:numPr>
        <w:pStyle w:val="Compact"/>
      </w:pPr>
      <w:r>
        <w:rPr>
          <w:iCs/>
          <w:i/>
        </w:rPr>
        <w:t xml:space="preserve">Identificación.</w:t>
      </w:r>
      <w:r>
        <w:t xml:space="preserve"> </w:t>
      </w:r>
      <w:r>
        <w:t xml:space="preserve">Restricciones de impacto en la línea de Blanchard y Perotti (2002) para el bloque fiscal y de actividad, con un bloque cambiario y de riesgo (EMBI y TCRM) identificado en conjunto: el resultado primario no responde dentro del trimestre a los</w:t>
      </w:r>
      <w:r>
        <w:t xml:space="preserve"> </w:t>
      </w:r>
      <w:r>
        <w:rPr>
          <w:iCs/>
          <w:i/>
        </w:rPr>
        <w:t xml:space="preserve">shocks</w:t>
      </w:r>
      <w:r>
        <w:t xml:space="preserve"> </w:t>
      </w:r>
      <w:r>
        <w:t xml:space="preserve">cambiarios y de riesgo, y su respuesta automática al ciclo se fija con una elasticidad de 0,25. Como robustez, dos ordenamientos de Cholesky (resultado primario primero y resultado primario último). La identificación no cambia la estimación central de la probabilidad de no estabilización, porque los</w:t>
      </w:r>
      <w:r>
        <w:t xml:space="preserve"> </w:t>
      </w:r>
      <w:r>
        <w:rPr>
          <w:iCs/>
          <w:i/>
        </w:rPr>
        <w:t xml:space="preserve">shocks</w:t>
      </w:r>
      <w:r>
        <w:t xml:space="preserve"> </w:t>
      </w:r>
      <w:r>
        <w:t xml:space="preserve">estructurales reconstruyen los mismos residuos; se necesita para repartir la varianza de la deuda por grupo de</w:t>
      </w:r>
      <w:r>
        <w:t xml:space="preserve"> </w:t>
      </w:r>
      <w:r>
        <w:rPr>
          <w:iCs/>
          <w:i/>
        </w:rPr>
        <w:t xml:space="preserve">shocks</w:t>
      </w:r>
      <w:r>
        <w:t xml:space="preserve"> </w:t>
      </w:r>
      <w:r>
        <w:t xml:space="preserve">y para definir el</w:t>
      </w:r>
      <w:r>
        <w:t xml:space="preserve"> </w:t>
      </w:r>
      <w:r>
        <w:rPr>
          <w:iCs/>
          <w:i/>
        </w:rPr>
        <w:t xml:space="preserve">shock</w:t>
      </w:r>
      <w:r>
        <w:t xml:space="preserve"> </w:t>
      </w:r>
      <w:r>
        <w:t xml:space="preserve">fiscal, de los que depende H1a.</w:t>
      </w:r>
    </w:p>
    <w:p>
      <w:pPr>
        <w:numPr>
          <w:ilvl w:val="0"/>
          <w:numId w:val="1006"/>
        </w:numPr>
        <w:pStyle w:val="Compact"/>
      </w:pPr>
      <w:r>
        <w:rPr>
          <w:iCs/>
          <w:i/>
        </w:rPr>
        <w:t xml:space="preserve">Inferencia.</w:t>
      </w:r>
      <w:r>
        <w:t xml:space="preserve"> </w:t>
      </w:r>
      <w:r>
        <w:t xml:space="preserve">Intervalos de 90% por</w:t>
      </w:r>
      <w:r>
        <w:t xml:space="preserve"> </w:t>
      </w:r>
      <w:r>
        <w:rPr>
          <w:iCs/>
          <w:i/>
        </w:rPr>
        <w:t xml:space="preserve">bootstrap</w:t>
      </w:r>
      <w:r>
        <w:rPr>
          <w:rStyle w:val="FootnoteReference"/>
        </w:rPr>
        <w:footnoteReference w:id="29"/>
      </w:r>
      <w:r>
        <w:t xml:space="preserve"> </w:t>
      </w:r>
      <w:r>
        <w:t xml:space="preserve">de bloques móviles de cuatro trimestres sobre los residuos, de diseño recursivo, en el que la deuda también se regenera (Brüggemann et al., 2016), con los percentiles de Hall (1992). La corrección del sesgo de muestra pequeña de Kilian (1998) se informará como robustez. Todas las especificaciones usarán los mismos números aleatorios, para que las diferencias entre ellas no provengan del sorteo.</w:t>
      </w:r>
    </w:p>
    <w:p>
      <w:pPr>
        <w:numPr>
          <w:ilvl w:val="0"/>
          <w:numId w:val="1006"/>
        </w:numPr>
        <w:pStyle w:val="Compact"/>
      </w:pPr>
      <w:r>
        <w:rPr>
          <w:iCs/>
          <w:i/>
        </w:rPr>
        <w:t xml:space="preserve">Simulación.</w:t>
      </w:r>
      <w:r>
        <w:t xml:space="preserve"> </w:t>
      </w:r>
      <w:r>
        <w:t xml:space="preserve">Monte Carlo de 2026 a 2035 sobre el escenario base del FMI (2026), desde su</w:t>
      </w:r>
      <w:r>
        <w:t xml:space="preserve"> </w:t>
      </w:r>
      <w:r>
        <w:rPr>
          <w:iCs/>
          <w:i/>
        </w:rPr>
        <w:t xml:space="preserve">stock</w:t>
      </w:r>
      <w:r>
        <w:t xml:space="preserve"> </w:t>
      </w:r>
      <w:r>
        <w:t xml:space="preserve">inicial, con los</w:t>
      </w:r>
      <w:r>
        <w:t xml:space="preserve"> </w:t>
      </w:r>
      <w:r>
        <w:rPr>
          <w:iCs/>
          <w:i/>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Cs/>
          <w:i/>
        </w:rPr>
        <w:t xml:space="preserve">shocks</w:t>
      </w:r>
      <w:r>
        <w:t xml:space="preserve"> </w:t>
      </w:r>
      <w:r>
        <w:t xml:space="preserve">estructurales. El ajuste</w:t>
      </w:r>
      <w:r>
        <w:t xml:space="preserve"> </w:t>
      </w:r>
      <w:r>
        <w:rPr>
          <w:iCs/>
          <w:i/>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numPr>
          <w:ilvl w:val="0"/>
          <w:numId w:val="1006"/>
        </w:numPr>
        <w:pStyle w:val="Compact"/>
      </w:pPr>
      <w:r>
        <w:rPr>
          <w:iCs/>
          <w:i/>
        </w:rPr>
        <w:t xml:space="preserve">Contraste de hipótesis y robustez.</w:t>
      </w:r>
      <w:r>
        <w:t xml:space="preserve"> </w:t>
      </w:r>
      <w:r>
        <w:t xml:space="preserve">H1a: dos condiciones, la descomposición de la varianza de la deuda en 2035 por grupo de</w:t>
      </w:r>
      <w:r>
        <w:t xml:space="preserve"> </w:t>
      </w:r>
      <w:r>
        <w:rPr>
          <w:iCs/>
          <w:i/>
        </w:rPr>
        <w:t xml:space="preserve">shocks</w:t>
      </w:r>
      <w:r>
        <w:t xml:space="preserve"> </w:t>
      </w:r>
      <w:r>
        <w:t xml:space="preserve">y la suficiencia del superávit (con el resultado primario de 2031 en su máximo histórico, la probabilidad debe seguir por encima del 1% del FMI). H1b: el límite inferior del intervalo de 90% debe superar la probabilidad del FMI en 2031 y 2035, con cada métrica. H2: el intervalo de 90% de la diferencia entre el escenario de la FED y el base debe excluir el cero en 2035, en la probabilidad y en la deuda esperada (si se cumple en una y no en la otra, parcialmente respaldada), con dos escenarios: un nivel de la tasa más alto en un desvío estándar de su variación trimestral, en forma permanente, y la repetición de la senda de la tasa de 2022-2025. Robustez: deuda consolidada con el BCRA, estimada desde 2002; sin las binarias presidenciales; la otra definición del resultado primario; canal de tasas en pesos; sin retroalimentación; uno y tres rezagos; dos ordenamientos de Cholesky (resultado primario primero y resultado primario último) y elasticidades cíclicas de 0 y 0,5; sin los</w:t>
      </w:r>
      <w:r>
        <w:t xml:space="preserve"> </w:t>
      </w:r>
      <w:r>
        <w:rPr>
          <w:iCs/>
          <w:i/>
        </w:rPr>
        <w:t xml:space="preserve">shocks</w:t>
      </w:r>
      <w:r>
        <w:t xml:space="preserve"> </w:t>
      </w:r>
      <w:r>
        <w:t xml:space="preserve">del período de cesación de pagos y canje; datos desde 1999, sin empalmes; datos desde 2004; sin variables de quiebre; ajuste</w:t>
      </w:r>
      <w:r>
        <w:t xml:space="preserve"> </w:t>
      </w:r>
      <w:r>
        <w:rPr>
          <w:iCs/>
          <w:i/>
        </w:rPr>
        <w:t xml:space="preserve">stock</w:t>
      </w:r>
      <w:r>
        <w:t xml:space="preserve">-flujo en cero; dos velocidades de refinanciación; el escenario del FMI de 2025; corrección de sesgo, y el procedimiento de</w:t>
      </w:r>
      <w:r>
        <w:t xml:space="preserve"> </w:t>
      </w:r>
      <w:r>
        <w:rPr>
          <w:iCs/>
          <w:i/>
        </w:rPr>
        <w:t xml:space="preserve">shocks</w:t>
      </w:r>
      <w:r>
        <w:t xml:space="preserve"> </w:t>
      </w:r>
      <w:r>
        <w:t xml:space="preserve">del propio FMI aplicado a la historia argentina.</w:t>
      </w:r>
    </w:p>
    <w:p>
      <w:pPr>
        <w:pStyle w:val="FirstParagraph"/>
      </w:pPr>
      <w:r>
        <w:rPr>
          <w:bCs/>
          <w:b/>
        </w:rPr>
        <w:t xml:space="preserve">Alcances, alternativas descartadas y líneas futuras.</w:t>
      </w:r>
      <w:r>
        <w:t xml:space="preserve"> </w:t>
      </w:r>
      <w:r>
        <w:t xml:space="preserve">Las restricciones de signo y las de largo plazo de Blanchard y Quah (1989) no se usarán: exigen suponer, entre otras cosas, que el tipo de cambio real es neutral en el largo plazo, un supuesto difícil de sostener para la Argentina. La probabilidad de que la deuda supere el 100% del PIB se reemplazará por la métrica de no estabilización del FMI, porque ese umbral no tiene una fuente que lo justifique y la métrica del FMI permite comparar con su evaluación. Quedarán como líneas futuras, fuera del alcance de una tesis de grado, los</w:t>
      </w:r>
      <w:r>
        <w:t xml:space="preserve"> </w:t>
      </w:r>
      <w:r>
        <w:rPr>
          <w:iCs/>
          <w:i/>
        </w:rPr>
        <w:t xml:space="preserve">shocks</w:t>
      </w:r>
      <w:r>
        <w:t xml:space="preserve"> </w:t>
      </w:r>
      <w:r>
        <w:t xml:space="preserve">de política monetaria de la FED identificados con datos de alta frecuencia, los términos de intercambio como determinante externo, un módulo de balanza de pagos y un panel con Chile que compare la dinámica de la deuda en dos economías de la región.</w:t>
      </w:r>
    </w:p>
    <w:bookmarkEnd w:id="30"/>
    <w:bookmarkEnd w:id="31"/>
    <w:bookmarkStart w:id="32" w:name="transferencia-y-beneficiarios"/>
    <w:p>
      <w:pPr>
        <w:pStyle w:val="Heading1"/>
      </w:pPr>
      <w:r>
        <w:t xml:space="preserve">3. Transferencia y beneficiarios</w:t>
      </w:r>
    </w:p>
    <w:p>
      <w:pPr>
        <w:pStyle w:val="FirstParagraph"/>
      </w:pPr>
      <w:r>
        <w:rPr>
          <w:bCs/>
          <w:b/>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Cs/>
          <w:b/>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Cs/>
          <w:b/>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32"/>
    <w:bookmarkStart w:id="33"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Cs/>
          <w:b/>
        </w:rPr>
        <w:t xml:space="preserve">Tabla 2. Cronograma de actividades por mes</w:t>
      </w:r>
    </w:p>
    <w:tbl>
      <w:tblPr>
        <w:tblStyle w:val="Table"/>
        <w:tblW w:type="pct" w:w="5000"/>
        <w:tblLayout w:type="fixed"/>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true"/>
        </w:trPr>
        <w:tc>
          <w:tcPr>
            <w:tcW w:type="dxa" w:w="3628"/>
          </w:tcPr>
          <w:p>
            <w:pPr>
              <w:pStyle w:val="Compact"/>
              <w:spacing w:line="240" w:lineRule="auto"/>
              <w:ind w:firstLine="0"/>
              <w:jc w:val="left"/>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jc w:val="left"/>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jc w:val="left"/>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33"/>
    <w:bookmarkStart w:id="34"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pStyle w:val="BodyText"/>
        <w:ind w:left="720" w:hanging="720"/>
        <w:jc w:val="left"/>
      </w:pPr>
      <w:r>
        <w:t xml:space="preserve">Blanchard, O. J., y Quah, D. (1989). The dynamic effects of aggregate demand and supply disturbances.</w:t>
      </w:r>
      <w:r>
        <w:t xml:space="preserve"> </w:t>
      </w:r>
      <w:r>
        <w:rPr>
          <w:iCs/>
          <w:i/>
        </w:rPr>
        <w:t xml:space="preserve">American Economic Review</w:t>
      </w:r>
      <w:r>
        <w:t xml:space="preserve">,</w:t>
      </w:r>
      <w:r>
        <w:t xml:space="preserve"> </w:t>
      </w:r>
      <w:r>
        <w:rPr>
          <w:iCs/>
          <w:i/>
        </w:rPr>
        <w:t xml:space="preserve">79</w:t>
      </w:r>
      <w:r>
        <w:t xml:space="preserve">(4), 655-673.</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Cs/>
          <w:i/>
        </w:rPr>
        <w:t xml:space="preserve">Essays on the economic history of the Argentine Republic</w:t>
      </w:r>
      <w:r>
        <w:t xml:space="preserve">. Yale University Press.</w:t>
      </w:r>
    </w:p>
    <w:p>
      <w:pPr>
        <w:pStyle w:val="BodyText"/>
        <w:ind w:left="720" w:hanging="720"/>
        <w:jc w:val="lef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pStyle w:val="BodyText"/>
        <w:ind w:left="720" w:hanging="720"/>
        <w:jc w:val="lef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pStyle w:val="BodyText"/>
        <w:ind w:left="720" w:hanging="720"/>
        <w:jc w:val="left"/>
      </w:pPr>
      <w:r>
        <w:t xml:space="preserve">Hall, P. (1992).</w:t>
      </w:r>
      <w:r>
        <w:t xml:space="preserve"> </w:t>
      </w:r>
      <w:r>
        <w:rPr>
          <w:iCs/>
          <w:i/>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Cs/>
          <w:i/>
        </w:rPr>
        <w:t xml:space="preserve">New introduction to multiple time series analysis</w:t>
      </w:r>
      <w:r>
        <w:t xml:space="preserve">. Springer.</w:t>
      </w:r>
    </w:p>
    <w:p>
      <w:pPr>
        <w:pStyle w:val="BodyText"/>
        <w:ind w:left="720" w:hanging="720"/>
        <w:jc w:val="lef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Cs/>
          <w:i/>
        </w:rPr>
        <w:t xml:space="preserve">Operaciones de deuda pública, julio 2026</w:t>
      </w:r>
      <w:r>
        <w:t xml:space="preserve">.</w:t>
      </w:r>
    </w:p>
    <w:p>
      <w:pPr>
        <w:pStyle w:val="BodyText"/>
        <w:ind w:left="720" w:hanging="720"/>
        <w:jc w:val="left"/>
      </w:pPr>
      <w:r>
        <w:t xml:space="preserve">Rapoport, M. (2020).</w:t>
      </w:r>
      <w:r>
        <w:t xml:space="preserve"> </w:t>
      </w:r>
      <w:r>
        <w:rPr>
          <w:iCs/>
          <w:i/>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Cs/>
          <w:i/>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pStyle w:val="BodyText"/>
        <w:ind w:left="720" w:hanging="720"/>
        <w:jc w:val="lef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bookmarkEnd w:id="34"/>
    <w:sect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iCs/>
          <w:i/>
        </w:rPr>
        <w:t xml:space="preserve">Default</w:t>
      </w:r>
      <w:r>
        <w:t xml:space="preserve">: cesación de pagos de la deuda.</w:t>
      </w:r>
    </w:p>
  </w:footnote>
  <w:footnote w:id="21">
    <w:p>
      <w:pPr>
        <w:pStyle w:val="FootnoteText"/>
      </w:pPr>
      <w:r>
        <w:rPr>
          <w:rStyle w:val="FootnoteReference"/>
        </w:rPr>
        <w:footnoteRef/>
      </w:r>
      <w:r>
        <w:t xml:space="preserve"> </w:t>
      </w:r>
      <w:r>
        <w:rPr>
          <w:iCs/>
          <w:i/>
        </w:rPr>
        <w:t xml:space="preserve">Shock</w:t>
      </w:r>
      <w:r>
        <w:t xml:space="preserve">: perturbación inesperada que afecta a una variable y se transmite a las demás.</w:t>
      </w:r>
    </w:p>
  </w:footnote>
  <w:footnote w:id="24">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9">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line="360" w:lineRule="auto"/>
      <w:ind w:firstLine="709"/>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2026-10-20T12:39:08Z</dcterms:created>
  <dcterms:modified xsi:type="dcterms:W3CDTF">2026-10-20T12:39:08Z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