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w:t>
      </w:r>
      <w:r>
        <w:t xml:space="preserve"> </w:t>
      </w:r>
      <w:r>
        <w:t xml:space="preserve">borrador</w:t>
      </w:r>
      <w:r>
        <w:t xml:space="preserve"> </w:t>
      </w:r>
      <w:r>
        <w:t xml:space="preserve">de</w:t>
      </w:r>
      <w:r>
        <w:t xml:space="preserve"> </w:t>
      </w:r>
      <w:r>
        <w:t xml:space="preserve">trabajo</w:t>
      </w:r>
    </w:p>
    <w:bookmarkStart w:id="20" w:name="resumen"/>
    <w:p>
      <w:pPr>
        <w:pStyle w:val="Heading1"/>
      </w:pPr>
      <w:r>
        <w:t xml:space="preserve">Resumen</w:t>
      </w:r>
    </w:p>
    <w:p>
      <w:pPr>
        <w:pStyle w:val="FirstParagraph"/>
      </w:pPr>
      <w:r>
        <w:rPr>
          <w:bCs/>
          <w:b/>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Cs/>
          <w:b/>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la no estabilización se mide con la definición operativa del FMI y, como complemento, con una métrica anual que incluye la valuación de la deuda en moneda extranjera de cada año. La deuda consolidada con el Banco Central es una extensión.</w:t>
      </w:r>
    </w:p>
    <w:p>
      <w:pPr>
        <w:pStyle w:val="BodyText"/>
      </w:pPr>
      <w:r>
        <w:rPr>
          <w:bCs/>
          <w:b/>
        </w:rPr>
        <w:t xml:space="preserve">Resultados.</w:t>
      </w:r>
      <w:r>
        <w:t xml:space="preserve"> </w:t>
      </w:r>
      <w:r>
        <w:t xml:space="preserve">Con la definición operativa del FMI, la probabilidad de no estabilización es de 3,1% en 2031 (intervalo de 90%: 0,0% a 6,3%) y de 5,1% en 2035 (0,0% a 10,2%), frente a cerca de 1% y menos de 3% según el FMI: las estimaciones centrales son mayores, pero los intervalos incluyen las cifras del organismo, y la hipótesis de que la probabilidad es mayor que la del FMI no queda respaldada. Con la métrica anual, que suma el riesgo cambiario de cada año, la probabilidad sube a 27,7% en 2031 (20,6% a 34,7%) y a 29,0% en 2035 (25,0% a 36,1%). Los</w:t>
      </w:r>
      <w:r>
        <w:t xml:space="preserve"> </w:t>
      </w:r>
      <w:r>
        <w:rPr>
          <w:iCs/>
          <w:i/>
        </w:rPr>
        <w:t xml:space="preserve">shocks</w:t>
      </w:r>
      <w:r>
        <w:t xml:space="preserve"> </w:t>
      </w:r>
      <w:r>
        <w:t xml:space="preserve">no fiscales aportan a la varianza de la deuda de 2035 96,8 puntos más que el fiscal (77,9 sin las binarias presidenciales). Repetir la senda de la tasa de la FED de 2022-2025 eleva la probabilidad de 2035 en 18,4 puntos (17,1 con la definición del FMI); el efecto sobre la deuda esperada incluye el cero, y la hipótesis sobre la FED queda parcialmente respaldada: el 77% del aumento de la deuda proviene del costo directo de la deuda en dólares. Con la deuda consolidada, la probabilidad en 2031 es de 11,0% con la definición del FMI y de 31,1% con la métrica anual.</w:t>
      </w:r>
    </w:p>
    <w:p>
      <w:pPr>
        <w:pStyle w:val="BodyText"/>
      </w:pPr>
      <w:r>
        <w:rPr>
          <w:bCs/>
          <w:b/>
        </w:rPr>
        <w:t xml:space="preserve">Conclusión.</w:t>
      </w:r>
      <w:r>
        <w:t xml:space="preserve"> </w:t>
      </w:r>
      <w:r>
        <w:t xml:space="preserve">Con la métrica del FMI, la dinámica histórica estimada da una probabilidad de no estabilización del mismo orden que la del organismo, de modo que la tesis no encuentra que el FMI subestime ese riesgo. La diferencia aparece cuando se incorpora la valuación de la deuda en moneda extranjera de cada año, que la métrica del FMI excluye por construcción. Con cualquiera de las dos medidas, la mayor parte de la incertidumbre proviene de</w:t>
      </w:r>
      <w:r>
        <w:t xml:space="preserve"> </w:t>
      </w:r>
      <w:r>
        <w:rPr>
          <w:iCs/>
          <w:i/>
        </w:rPr>
        <w:t xml:space="preserve">shocks</w:t>
      </w:r>
      <w:r>
        <w:t xml:space="preserve"> </w:t>
      </w:r>
      <w:r>
        <w:t xml:space="preserve">externos, cambiarios y de riesgo, y la senda de la FED de 2022-2025 eleva esa probabilidad.</w:t>
      </w:r>
    </w:p>
    <w:p>
      <w:pPr>
        <w:pStyle w:val="BodyText"/>
      </w:pPr>
      <w:r>
        <w:rPr>
          <w:bCs/>
          <w:b/>
        </w:rPr>
        <w:t xml:space="preserve">Palabras clave:</w:t>
      </w:r>
      <w:r>
        <w:t xml:space="preserve"> </w:t>
      </w:r>
      <w:r>
        <w:t xml:space="preserve">deuda pública, sostenibilidad fiscal, SVARX, gráfico de abanico, riesgo soberano, Argentina.</w:t>
      </w:r>
    </w:p>
    <w:p>
      <w:pPr>
        <w:pStyle w:val="BodyText"/>
      </w:pPr>
      <w:r>
        <w:rPr>
          <w:bCs/>
          <w:b/>
        </w:rPr>
        <w:t xml:space="preserve">Clasificación JEL:</w:t>
      </w:r>
      <w:r>
        <w:t xml:space="preserve"> </w:t>
      </w:r>
      <w:r>
        <w:t xml:space="preserve">C32, E62, F34, H63, H68.</w:t>
      </w:r>
    </w:p>
    <w:bookmarkEnd w:id="20"/>
    <w:bookmarkStart w:id="34" w:name="introducción"/>
    <w:p>
      <w:pPr>
        <w:pStyle w:val="Heading1"/>
      </w:pPr>
      <w:r>
        <w:t xml:space="preserve">1. Introducción</w:t>
      </w:r>
    </w:p>
    <w:bookmarkStart w:id="24"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Cs/>
          <w:i/>
        </w:rPr>
        <w:t xml:space="preserve">sudden stops</w:t>
      </w:r>
      <w:r>
        <w:t xml:space="preserve">)</w:t>
      </w:r>
      <w:r>
        <w:rPr>
          <w:rStyle w:val="FootnoteReference"/>
        </w:rPr>
        <w:footnoteReference w:id="21"/>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Cs/>
          <w:i/>
        </w:rPr>
        <w:t xml:space="preserve">default</w:t>
      </w:r>
      <w:r>
        <w:rPr>
          <w:rStyle w:val="FootnoteReference"/>
        </w:rPr>
        <w:footnoteReference w:id="22"/>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Cs/>
          <w:i/>
        </w:rPr>
        <w:t xml:space="preserve">stock</w:t>
      </w:r>
      <w:r>
        <w:rPr>
          <w:rStyle w:val="FootnoteReference"/>
        </w:rPr>
        <w:footnoteReference w:id="23"/>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24"/>
    <w:bookmarkStart w:id="25"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Cs/>
          <w:i/>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25"/>
    <w:bookmarkStart w:id="26"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del BCRA, que sumaban 19,2% del producto interno bruto (PIB) a fines de 2023 y 3,3% a fines de 2025, después de que la esterilización monetaria pasara al Tesoro (FMI, 2026, anexo II, cuadro 2, línea 4; sección 5.5).</w:t>
      </w:r>
    </w:p>
    <w:bookmarkEnd w:id="26"/>
    <w:bookmarkStart w:id="28"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numPr>
          <w:ilvl w:val="0"/>
          <w:numId w:val="1001"/>
        </w:numPr>
        <w:pStyle w:val="Compact"/>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 La deuda consolidada con el BCRA se estima desde 2002, el año desde el cual la autonomía del BCRA se redujo y la consolidación tiene fundamento en el criterio del FMI (sección 2.9).</w:t>
      </w:r>
    </w:p>
    <w:p>
      <w:pPr>
        <w:numPr>
          <w:ilvl w:val="0"/>
          <w:numId w:val="1001"/>
        </w:numPr>
        <w:pStyle w:val="Compact"/>
      </w:pPr>
      <w:r>
        <w:t xml:space="preserve">Analizar las propiedades estocásticas de las series (raíz unitaria y quiebres estructurales).</w:t>
      </w:r>
    </w:p>
    <w:p>
      <w:pPr>
        <w:numPr>
          <w:ilvl w:val="0"/>
          <w:numId w:val="1001"/>
        </w:numPr>
        <w:pStyle w:val="Compact"/>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numPr>
          <w:ilvl w:val="0"/>
          <w:numId w:val="1001"/>
        </w:numPr>
        <w:pStyle w:val="Compact"/>
      </w:pPr>
      <w:r>
        <w:t xml:space="preserve">Medir la contribución de los bloques de</w:t>
      </w:r>
      <w:r>
        <w:t xml:space="preserve"> </w:t>
      </w:r>
      <w:r>
        <w:rPr>
          <w:iCs/>
          <w:i/>
        </w:rPr>
        <w:t xml:space="preserve">shocks</w:t>
      </w:r>
      <w:r>
        <w:rPr>
          <w:rStyle w:val="FootnoteReference"/>
        </w:rPr>
        <w:footnoteReference w:id="27"/>
      </w:r>
      <w:r>
        <w:t xml:space="preserve"> </w:t>
      </w:r>
      <w:r>
        <w:t xml:space="preserve">fiscal, de actividad, cambiario y de riesgo, y externo a la variabilidad de la deuda, y la reacción del resultado primario ante el nivel de endeudamiento.</w:t>
      </w:r>
    </w:p>
    <w:p>
      <w:pPr>
        <w:numPr>
          <w:ilvl w:val="0"/>
          <w:numId w:val="1001"/>
        </w:numPr>
        <w:pStyle w:val="Compact"/>
      </w:pPr>
      <w:r>
        <w:t xml:space="preserve">Simular, mediante el método de Monte Carlo, la distribución de trayectorias de la deuda federal bruta en 2026-2035 bajo el escenario base del FMI, y repetir la simulación con la deuda consolidada con el BCRA.</w:t>
      </w:r>
    </w:p>
    <w:p>
      <w:pPr>
        <w:numPr>
          <w:ilvl w:val="0"/>
          <w:numId w:val="1001"/>
        </w:numPr>
        <w:pStyle w:val="Compact"/>
      </w:pPr>
      <w:r>
        <w:t xml:space="preserve">Estimar el impacto de un endurecimiento de la política monetaria de la FED sobre esa distribución.</w:t>
      </w:r>
    </w:p>
    <w:bookmarkEnd w:id="28"/>
    <w:bookmarkStart w:id="29"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y el mismo escenario base. La no estabilización se mide con la definición operativa del FMI, que promedia los</w:t>
      </w:r>
      <w:r>
        <w:t xml:space="preserve"> </w:t>
      </w:r>
      <w:r>
        <w:rPr>
          <w:iCs/>
          <w:i/>
        </w:rPr>
        <w:t xml:space="preserve">shocks</w:t>
      </w:r>
      <w:r>
        <w:t xml:space="preserve"> </w:t>
      </w:r>
      <w:r>
        <w:t xml:space="preserve">a lo largo de la trayectoria, porque de ella surgen las cifras de comparación. Como complemento se informa una métrica anual, que compara cada año el resultado primario previsto con el que estabilizaría la deuda ese año e incluye la valuación de la deuda en moneda extranjera (sección 4.6).</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La hipótesis se refiere al efecto total; los canales por los que opera (riesgo soberano, tipo de cambio real, crecimiento y costo directo de la deuda en dólares) se describen en la sección 4.3 y se examinan por separado en el Capítulo 6, sin ser parte del contraste. En la extensión con la deuda consolidada, que es exploratoria, se contrastan solo la probabilidad de no estabilización y el efecto de la FED sobre ella (sección 6.6). El</w:t>
      </w:r>
      <w:r>
        <w:t xml:space="preserve"> </w:t>
      </w:r>
      <w:r>
        <w:rPr>
          <w:iCs/>
          <w:i/>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29"/>
    <w:bookmarkStart w:id="31"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junto con variables binarias estacionales, de quiebre y por mandato presidencial.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el diseño permite la retroalimentación en ambos sentidos: la deuda puede responder al EMBI, al TCRM y al resultado primario, y a la vez afectarlos en los trimestres siguientes. Qué canales de retroalimentación resultan distinguibles de cero se establece en el Capítulo 6.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Cs/>
          <w:i/>
        </w:rPr>
        <w:t xml:space="preserve">fan charts</w:t>
      </w:r>
      <w:r>
        <w:t xml:space="preserve">)</w:t>
      </w:r>
      <w:r>
        <w:rPr>
          <w:rStyle w:val="FootnoteReference"/>
        </w:rPr>
        <w:footnoteReference w:id="30"/>
      </w:r>
      <w:r>
        <w:t xml:space="preserve"> </w:t>
      </w:r>
      <w:r>
        <w:t xml:space="preserve">y en la probabilidad de no estabilización, medida con la definición operativa del FMI y, como complemento, con una métrica anual. El mismo ejercicio se repite con la deuda consolidada con el BCRA, estimada desde 2002.</w:t>
      </w:r>
    </w:p>
    <w:bookmarkEnd w:id="31"/>
    <w:bookmarkStart w:id="32"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Cs/>
          <w:i/>
        </w:rPr>
        <w:t xml:space="preserve">shocks</w:t>
      </w:r>
      <w:r>
        <w:t xml:space="preserve"> </w:t>
      </w:r>
      <w:r>
        <w:t xml:space="preserve">identificados cuyo resultado se compare con la probabilidad de no estabilización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FMI, 2021, 2022),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Cs/>
          <w:i/>
        </w:rPr>
        <w:t xml:space="preserve">shock</w:t>
      </w:r>
      <w:r>
        <w:t xml:space="preserve"> </w:t>
      </w:r>
      <w:r>
        <w:t xml:space="preserve">externo de origen identificable, la política monetaria de la FED. Como la simulación usa el perímetro, el punto de partida y el escenario del FMI, y también la definición operativa de su métrica,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32"/>
    <w:bookmarkStart w:id="33"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Cs/>
          <w:i/>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33"/>
    <w:bookmarkEnd w:id="34"/>
    <w:bookmarkStart w:id="50"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Cs/>
          <w:i/>
        </w:rPr>
        <w:t xml:space="preserve">default</w:t>
      </w:r>
      <w:r>
        <w:t xml:space="preserve">. La sección 2.9 delimita el área de vacancia.</w:t>
      </w:r>
    </w:p>
    <w:bookmarkStart w:id="35"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w:t>
      </w:r>
      <w:r>
        <w:t xml:space="preserve">efectos sobre la deuda pública</w:t>
      </w:r>
      <w:r>
        <w:t xml:space="preserve">”</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35"/>
    <w:bookmarkStart w:id="37"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Cs/>
          <w:i/>
        </w:rPr>
        <w:t xml:space="preserve">holdouts</w:t>
      </w:r>
      <w:r>
        <w:t xml:space="preserve">)</w:t>
      </w:r>
      <w:r>
        <w:rPr>
          <w:rStyle w:val="FootnoteReference"/>
        </w:rPr>
        <w:footnoteReference w:id="36"/>
      </w:r>
      <w:r>
        <w:t xml:space="preserve">. Ambos trabajos ubican el origen de la última reestructuración en el tramo de la deuda en moneda extranjera, que la identidad de acumulación del Capítulo 3 separa del tramo en pesos.</w:t>
      </w:r>
    </w:p>
    <w:bookmarkEnd w:id="37"/>
    <w:bookmarkStart w:id="38"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38"/>
    <w:bookmarkStart w:id="39"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39"/>
    <w:bookmarkStart w:id="42"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2022), que aplicó a Argentina en sus revisiones del programa (FMI, 2024, 2025, 2026).</w:t>
      </w:r>
    </w:p>
    <w:p>
      <w:pPr>
        <w:pStyle w:val="BodyText"/>
      </w:pPr>
      <w:r>
        <w:t xml:space="preserve">Un segundo cuerpo de literatura llevó el problema a economías emergentes expuestas a</w:t>
      </w:r>
      <w:r>
        <w:t xml:space="preserve"> </w:t>
      </w:r>
      <w:r>
        <w:rPr>
          <w:iCs/>
          <w:i/>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Cs/>
          <w:i/>
        </w:rPr>
        <w:t xml:space="preserve">push</w:t>
      </w:r>
      <w:r>
        <w:t xml:space="preserve">)</w:t>
      </w:r>
      <w:r>
        <w:rPr>
          <w:rStyle w:val="FootnoteReference"/>
        </w:rPr>
        <w:footnoteReference w:id="40"/>
      </w:r>
      <w:r>
        <w:t xml:space="preserve">. Adler et al. (2016), con un VAR de panel de los flujos brutos de capital de 38 economías emergentes entre 1990 y 2012, encontraron que ante los</w:t>
      </w:r>
      <w:r>
        <w:t xml:space="preserve"> </w:t>
      </w:r>
      <w:r>
        <w:rPr>
          <w:iCs/>
          <w:i/>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Cs/>
          <w:i/>
        </w:rPr>
        <w:t xml:space="preserve">early warning systems</w:t>
      </w:r>
      <w:r>
        <w:t xml:space="preserve">)</w:t>
      </w:r>
      <w:r>
        <w:rPr>
          <w:rStyle w:val="FootnoteReference"/>
        </w:rPr>
        <w:footnoteReference w:id="41"/>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42"/>
    <w:bookmarkStart w:id="43"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Cs/>
          <w:i/>
        </w:rPr>
        <w:t xml:space="preserve">stock</w:t>
      </w:r>
      <w:r>
        <w:t xml:space="preserve">; ambos coinciden en que el diagnóstico fiscal de corto plazo no bastaba para juzgar la sostenibilidad.</w:t>
      </w:r>
    </w:p>
    <w:bookmarkEnd w:id="43"/>
    <w:bookmarkStart w:id="46"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44"/>
      </w:r>
      <w:r>
        <w:t xml:space="preserve">. En el marco del FMI, ese salto ensanchó el abanico hasta 122,7 puntos y llevó la señal mecánica de riesgo a</w:t>
      </w:r>
      <w:r>
        <w:t xml:space="preserve"> </w:t>
      </w:r>
      <w:r>
        <w:t xml:space="preserve">“</w:t>
      </w:r>
      <w:r>
        <w:t xml:space="preserve">alto</w:t>
      </w:r>
      <w:r>
        <w:t xml:space="preserve">”</w:t>
      </w:r>
      <w:r>
        <w:t xml:space="preserve">, que el personal técnico descartó por no reflejar el riesgo de mediano plazo (FMI, 2024); disipado el efecto, el ancho bajó a 74,2 puntos y la señal volvió a</w:t>
      </w:r>
      <w:r>
        <w:t xml:space="preserve"> </w:t>
      </w:r>
      <w:r>
        <w:t xml:space="preserve">“</w:t>
      </w:r>
      <w:r>
        <w:t xml:space="preserve">moderado</w:t>
      </w:r>
      <w:r>
        <w:t xml:space="preserve">”</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Cs/>
          <w:i/>
        </w:rPr>
        <w:t xml:space="preserve">bootstrap</w:t>
      </w:r>
      <w:r>
        <w:rPr>
          <w:rStyle w:val="FootnoteReference"/>
        </w:rPr>
        <w:footnoteReference w:id="45"/>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46"/>
    <w:bookmarkStart w:id="47" w:name="octavo-eje-el-costo-real-del-default"/>
    <w:p>
      <w:pPr>
        <w:pStyle w:val="Heading2"/>
      </w:pPr>
      <w:r>
        <w:t xml:space="preserve">2.8 Octavo eje: el costo real del</w:t>
      </w:r>
      <w:r>
        <w:t xml:space="preserve"> </w:t>
      </w:r>
      <w:r>
        <w:rPr>
          <w:iCs/>
          <w:i/>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Cs/>
          <w:i/>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Cs/>
          <w:i/>
        </w:rPr>
        <w:t xml:space="preserve">default</w:t>
      </w:r>
      <w:r>
        <w:t xml:space="preserve">.</w:t>
      </w:r>
    </w:p>
    <w:bookmarkEnd w:id="47"/>
    <w:bookmarkStart w:id="49"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Cs/>
          <w:b/>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Cs/>
          <w:i/>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Cs/>
          <w:i/>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Cs/>
          <w:i/>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Cs/>
          <w:i/>
        </w:rPr>
        <w:t xml:space="preserve">shocks</w:t>
      </w:r>
      <w:r>
        <w:t xml:space="preserve"> </w:t>
      </w:r>
      <w:r>
        <w:t xml:space="preserve">identificados, cuyo resultado sea una probabilidad de no estabilización comparable con la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Cs/>
          <w:i/>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Cs/>
          <w:b/>
        </w:rPr>
        <w:t xml:space="preserve">Un</w:t>
      </w:r>
      <w:r>
        <w:rPr>
          <w:bCs/>
          <w:b/>
        </w:rPr>
        <w:t xml:space="preserve"> </w:t>
      </w:r>
      <w:r>
        <w:rPr>
          <w:iCs/>
          <w:i/>
          <w:bCs/>
          <w:b/>
        </w:rPr>
        <w:t xml:space="preserve">shock</w:t>
      </w:r>
      <w:r>
        <w:rPr>
          <w:bCs/>
          <w:b/>
        </w:rPr>
        <w:t xml:space="preserve"> </w:t>
      </w:r>
      <w:r>
        <w:rPr>
          <w:bCs/>
          <w:b/>
        </w:rPr>
        <w:t xml:space="preserve">externo identificado.</w:t>
      </w:r>
      <w:r>
        <w:t xml:space="preserve"> </w:t>
      </w:r>
      <w:r>
        <w:t xml:space="preserve">Los efectos de la política monetaria de Estados Unidos sobre las economías emergentes se estudiaron sobre los</w:t>
      </w:r>
      <w:r>
        <w:t xml:space="preserve"> </w:t>
      </w:r>
      <w:r>
        <w:rPr>
          <w:iCs/>
          <w:i/>
        </w:rPr>
        <w:t xml:space="preserve">spreads</w:t>
      </w:r>
      <w:r>
        <w:rPr>
          <w:rStyle w:val="FootnoteReference"/>
        </w:rPr>
        <w:footnoteReference w:id="48"/>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Cs/>
          <w:b/>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Cs/>
          <w:i/>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Cs/>
          <w:i/>
        </w:rPr>
        <w:t xml:space="preserve">stock</w:t>
      </w:r>
      <w:r>
        <w:t xml:space="preserve"> </w:t>
      </w:r>
      <w:r>
        <w:t xml:space="preserve">haya respondido a los mismos</w:t>
      </w:r>
      <w:r>
        <w:t xml:space="preserve"> </w:t>
      </w:r>
      <w:r>
        <w:rPr>
          <w:iCs/>
          <w:i/>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Cs/>
          <w:i/>
        </w:rPr>
        <w:t xml:space="preserve">stock</w:t>
      </w:r>
      <w:r>
        <w:t xml:space="preserve"> </w:t>
      </w:r>
      <w:r>
        <w:t xml:space="preserve">pasó al Tesoro como Letras Fiscales de Liquidez (LEFI), que el BCRA dejó de ofrecer en julio de 2025 (BCRA, 2025), y a fin de 2025 el</w:t>
      </w:r>
      <w:r>
        <w:t xml:space="preserve"> </w:t>
      </w:r>
      <w:r>
        <w:rPr>
          <w:iCs/>
          <w:i/>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Cs/>
          <w:i/>
        </w:rPr>
        <w:t xml:space="preserve">shocks</w:t>
      </w:r>
      <w:r>
        <w:t xml:space="preserve"> </w:t>
      </w:r>
      <w:r>
        <w:t xml:space="preserve">y una función de reacción fiscal que responde a la deuda. Esa arquitectura no se había aplicado a Argentina como caso único con</w:t>
      </w:r>
      <w:r>
        <w:t xml:space="preserve"> </w:t>
      </w:r>
      <w:r>
        <w:rPr>
          <w:iCs/>
          <w:i/>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definición operativa de la métrica del FMI, el resultado de la tesis es comparable con esa probabilidad.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Cs/>
          <w:i/>
        </w:rPr>
        <w:t xml:space="preserve">shock</w:t>
      </w:r>
      <w:r>
        <w:t xml:space="preserve"> </w:t>
      </w:r>
      <w:r>
        <w:t xml:space="preserve">externo que la literatura revisada vincula con esos canales.</w:t>
      </w:r>
    </w:p>
    <w:bookmarkEnd w:id="49"/>
    <w:bookmarkEnd w:id="50"/>
    <w:bookmarkStart w:id="63"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51"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51"/>
    <w:bookmarkStart w:id="57" w:name="X2ea9139ef2de522cd93682806adc2a5819e35a2"/>
    <w:p>
      <w:pPr>
        <w:pStyle w:val="Heading2"/>
      </w:pPr>
      <w:r>
        <w:t xml:space="preserve">3.2 Solvencia, la regla de Bohn y la identidad de la deuda</w:t>
      </w:r>
    </w:p>
    <w:bookmarkStart w:id="52"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52"/>
    <w:bookmarkStart w:id="53"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Cs/>
          <w:i/>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53"/>
    <w:bookmarkStart w:id="54"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Cs/>
          <w:i/>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54"/>
    <w:bookmarkStart w:id="55"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Cs/>
          <w:i/>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55"/>
    <w:bookmarkStart w:id="56"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(1998) reporta para Estados Unidos, la regla estabiliza la deuda solo si (r-g)/(1+g) queda por debajo de unos cinco puntos; con el multiplicador de largo plazo que se estima para Argentina, 0,079 (sección 6.1), el umbral sube a unos ocho puntos, y en una economía con deuda en moneda extranjera r incluye la depreciación real y la prima de riesgo soberano, variables con</w:t>
      </w:r>
      <w:r>
        <w:t xml:space="preserve"> </w:t>
      </w:r>
      <w:r>
        <w:rPr>
          <w:iCs/>
          <w:i/>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Cs/>
          <w:i/>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56"/>
    <w:bookmarkEnd w:id="57"/>
    <w:bookmarkStart w:id="58"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58"/>
    <w:bookmarkStart w:id="59"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 El modelo suma además dos mecanismos que no son canales de la literatura sino parte de su estructura: la respuesta fiscal, que cambia el flujo que reduce la deuda, y el costo directo de la deuda en dólares, porque la identidad suma la tasa de la FED a la tasa en dólares. Este último explica la mayor parte del efecto contable de la FED sobre la deuda (Capítulo 6). La Tabla 4.2 enumera los cinco.</w:t>
      </w:r>
    </w:p>
    <w:p>
      <w:pPr>
        <w:pStyle w:val="BodyText"/>
      </w:pPr>
      <w:r>
        <w:rPr>
          <w:iCs/>
          <w:i/>
        </w:rPr>
        <w:t xml:space="preserve">Riesgo soberano.</w:t>
      </w:r>
      <w:r>
        <w:t xml:space="preserve"> </w:t>
      </w:r>
      <w:r>
        <w:t xml:space="preserve">Uribe y Yue (2006) estiman que los</w:t>
      </w:r>
      <w:r>
        <w:t xml:space="preserve"> </w:t>
      </w:r>
      <w:r>
        <w:rPr>
          <w:iCs/>
          <w:i/>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Cs/>
          <w:i/>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Cs/>
          <w:i/>
        </w:rPr>
        <w:t xml:space="preserve">Tipo de cambio real y valuación.</w:t>
      </w:r>
      <w:r>
        <w:t xml:space="preserve"> </w:t>
      </w:r>
      <w:r>
        <w:t xml:space="preserve">Los</w:t>
      </w:r>
      <w:r>
        <w:t xml:space="preserve"> </w:t>
      </w:r>
      <w:r>
        <w:rPr>
          <w:iCs/>
          <w:i/>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Cs/>
          <w:i/>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Cs/>
          <w:i/>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Cs/>
          <w:i/>
        </w:rPr>
        <w:t xml:space="preserve">shocks</w:t>
      </w:r>
      <w:r>
        <w:t xml:space="preserve"> </w:t>
      </w:r>
      <w:r>
        <w:t xml:space="preserve">de Estados Unidos respecto de los países latinoamericanos.</w:t>
      </w:r>
    </w:p>
    <w:bookmarkEnd w:id="59"/>
    <w:bookmarkStart w:id="60"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Cs/>
          <w:i/>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Cs/>
          <w:i/>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La guía del marco la vuelve operativa promediando las variables a lo largo de la trayectoria, sin variación del tipo de cambio real ni ajuste stock-flujo (FMI, 2022, recuadro 3). Esta tesis informa esa definición y una versión anual, que aplica la condición año por año con la notación de la sección 3.2 e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sección 4.6 escribe la misma condición con la identidad de la tesis, que separa en un término propio (ri_T) el efecto de la depreciación nominal del escenario sobre la deuda en moneda extranjera y escala el ajuste stock-flujo por perímetro. La deuda no se estabiliza en T cuando pb_T &lt; pb^*_T. Para Argentina, el FMI (2026) estima una probabilidad de estabilización de alrededor de 99% a mediano plazo y superior a 97% en el abanico de diez años que termina en 2035. Esas cifras son las de referencia de H1b; como surgen de la definición operativa, la comparación más directa es la que usa esa definición (sección 4.6).</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60"/>
    <w:bookmarkStart w:id="61"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w:t>
      </w:r>
    </w:p>
    <w:p>
      <w:pPr>
        <w:pStyle w:val="BodyText"/>
      </w:pPr>
      <w:r>
        <w:t xml:space="preserve">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p>
      <w:pPr>
        <w:pStyle w:val="BodyText"/>
      </w:pPr>
      <w:r>
        <w:rPr>
          <w:bCs/>
          <w:b/>
        </w:rPr>
        <w:t xml:space="preserve">Economía política del endeudamiento.</w:t>
      </w:r>
      <w:r>
        <w:t xml:space="preserve"> </w:t>
      </w:r>
      <w:r>
        <w:t xml:space="preserve">La política fiscal no es una función única e invariable: los gobiernos difieren en sus preferencias y usan la deuda de manera estratégica frente a sus sucesores (Alesina y Tabellini, 1990), de modo que la reacción del resultado primario ante la deuda y el nivel de endeudamiento que se acepta pueden cambiar con la orientación de cada administración. En una muestra de 1996-2025 hay ocho mandatos con orientaciones distintas, desde la Convertibilidad hasta el programa de 2023. Por eso la tesis controla con una variable binaria por mandato (sección 4.3) y no supone una función de reacción idéntica en toda la muestra. Esas variables absorben diferencias de nivel entre gobiernos; no estiman un coeficiente de reacción distinto para cada uno, lo que exigiría más observaciones de las que tiene cada mandato.</w:t>
      </w:r>
    </w:p>
    <w:bookmarkEnd w:id="61"/>
    <w:bookmarkStart w:id="62"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62"/>
    <w:bookmarkEnd w:id="63"/>
    <w:bookmarkStart w:id="7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64"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Cs/>
          <w:i/>
        </w:rPr>
        <w:t xml:space="preserve">shocks</w:t>
      </w:r>
      <w:r>
        <w:t xml:space="preserve"> </w:t>
      </w:r>
      <w:r>
        <w:t xml:space="preserve">tomados de la historia. Esta tesis agrega dos elementos que justifica la vacancia: los</w:t>
      </w:r>
      <w:r>
        <w:t xml:space="preserve"> </w:t>
      </w:r>
      <w:r>
        <w:rPr>
          <w:iCs/>
          <w:i/>
        </w:rPr>
        <w:t xml:space="preserve">shocks</w:t>
      </w:r>
      <w:r>
        <w:t xml:space="preserve"> </w:t>
      </w:r>
      <w:r>
        <w:t xml:space="preserve">domésticos se identifican estructuralmente y la tasa de política monetaria de la Reserva Federal (FED) entra como un</w:t>
      </w:r>
      <w:r>
        <w:t xml:space="preserve"> </w:t>
      </w:r>
      <w:r>
        <w:rPr>
          <w:iCs/>
          <w:i/>
        </w:rPr>
        <w:t xml:space="preserve">shock</w:t>
      </w:r>
      <w:r>
        <w:t xml:space="preserve"> </w:t>
      </w:r>
      <w:r>
        <w:t xml:space="preserve">externo con nombre propio.</w:t>
      </w:r>
    </w:p>
    <w:p>
      <w:pPr>
        <w:pStyle w:val="BodyText"/>
      </w:pPr>
      <w:r>
        <w:rPr>
          <w:bCs/>
          <w:b/>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y el horizonte son los del FMI, y H1b compara magnitudes equivalentes cuando la no estabilización se mide con la definición operativa del organismo (sección 4.6). La simulación parte del</w:t>
      </w:r>
      <w:r>
        <w:t xml:space="preserve"> </w:t>
      </w:r>
      <w:r>
        <w:rPr>
          <w:iCs/>
          <w:i/>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64"/>
    <w:bookmarkStart w:id="65"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Cs/>
          <w:b/>
        </w:rPr>
        <w:t xml:space="preserve">Tabla 4.1. Variables del SVARX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w:t>
            </w:r>
          </w:p>
        </w:tc>
        <w:tc>
          <w:tcPr/>
          <w:p>
            <w:pPr>
              <w:pStyle w:val="Compact"/>
              <w:jc w:val="left"/>
            </w:pPr>
            <w:r>
              <w:rPr>
                <w:rFonts w:ascii="Calibri" w:hAnsi="Calibri"/>
                <w:sz w:val="20"/>
              </w:rPr>
              <w:t xml:space="preserve">Fundamento</w:t>
            </w:r>
          </w:p>
        </w:tc>
      </w:tr>
      <w:tr>
        <w:tc>
          <w:tcPr/>
          <w:p>
            <w:pPr>
              <w:pStyle w:val="Compact"/>
              <w:jc w:val="left"/>
            </w:pPr>
            <w:r>
              <w:rPr>
                <w:rFonts w:ascii="Calibri" w:hAnsi="Calibri"/>
                <w:sz w:val="20"/>
              </w:rPr>
              <w:t xml:space="preserve">Crecimiento real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(Celasun et al., 2006). Serie original; la estacionalidad la absorben variables binarias trimestrales (Lütkepohl, 2005).</w:t>
            </w:r>
          </w:p>
        </w:tc>
      </w:tr>
      <w:tr>
        <w:tc>
          <w:tcPr/>
          <w:p>
            <w:pPr>
              <w:pStyle w:val="Compact"/>
              <w:jc w:val="left"/>
            </w:pPr>
            <w:r>
              <w:rPr>
                <w:rFonts w:ascii="Calibri" w:hAnsi="Calibri"/>
                <w:sz w:val="20"/>
              </w:rPr>
              <w:t xml:space="preserve">Resultado primario sin rentas de la propiedad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el coeficiente de la deuda rezagada es la reacción fiscal de Bohn (1998).</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Riesgo país, parte de la tasa en dólares.</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Valuación de la deuda en moneda extranjera (Calvo et al., 2003); es el índice que usa el FMI (2026, cuadro 6, nota 1).</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Predeterminada: entra rezagada y evoluciona por la identidad</w:t>
            </w:r>
          </w:p>
        </w:tc>
        <w:tc>
          <w:tcPr/>
          <w:p>
            <w:pPr>
              <w:pStyle w:val="Compact"/>
              <w:jc w:val="left"/>
            </w:pPr>
            <w:r>
              <w:rPr>
                <w:rFonts w:ascii="Calibri" w:hAnsi="Calibri"/>
                <w:sz w:val="20"/>
              </w:rPr>
              <w:t xml:space="preserve">Retroalimentación de la deuda (Favero y Giavazzi, 2007). En la extensión la reemplaza la deuda consolidada con el BCRA.</w:t>
            </w:r>
          </w:p>
        </w:tc>
      </w:tr>
      <w:tr>
        <w:tc>
          <w:tcPr/>
          <w:p>
            <w:pPr>
              <w:pStyle w:val="Compact"/>
              <w:jc w:val="left"/>
            </w:pPr>
            <w:r>
              <w:rPr>
                <w:rFonts w:ascii="Calibri" w:hAnsi="Calibri"/>
                <w:sz w:val="20"/>
              </w:rPr>
              <w:t xml:space="preserve">Variación de la tasa de la FED</w:t>
            </w:r>
          </w:p>
        </w:tc>
        <w:tc>
          <w:tcPr/>
          <w:p>
            <w:pPr>
              <w:pStyle w:val="Compact"/>
              <w:jc w:val="left"/>
            </w:pPr>
            <w:r>
              <w:rPr>
                <w:rFonts w:ascii="Calibri" w:hAnsi="Calibri"/>
                <w:sz w:val="20"/>
              </w:rPr>
              <w:t xml:space="preserve">Exógena, con dos rezagos</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Condiciones financieras globales, la única variable global con efectos robustos en Adler y Sosa (2013).</w:t>
            </w:r>
          </w:p>
        </w:tc>
      </w:tr>
      <w:tr>
        <w:tc>
          <w:tcPr/>
          <w:p>
            <w:pPr>
              <w:pStyle w:val="Compact"/>
              <w:jc w:val="left"/>
            </w:pPr>
            <w:r>
              <w:rPr>
                <w:rFonts w:ascii="Calibri" w:hAnsi="Calibri"/>
                <w:sz w:val="20"/>
              </w:rPr>
              <w:t xml:space="preserve">Variables binarias de quiebre</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Quiebres en la media de la deuda federal bruta 1996-2025 (Bai y Perron, 2003); entran como escalones. Se recalculan al reestimar.</w:t>
            </w:r>
          </w:p>
        </w:tc>
      </w:tr>
      <w:tr>
        <w:tc>
          <w:tcPr/>
          <w:p>
            <w:pPr>
              <w:pStyle w:val="Compact"/>
              <w:jc w:val="left"/>
            </w:pPr>
            <w:r>
              <w:rPr>
                <w:rFonts w:ascii="Calibri" w:hAnsi="Calibri"/>
                <w:sz w:val="20"/>
              </w:rPr>
              <w:t xml:space="preserve">Variables binarias presidenciales</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Una por mandato (De la Rúa, Duhalde, N. Kirchner, C. Fernández de Kirchner, Macri, A. Fernández y Milei; Menem es la referencia), para controlar los cambios de orientación de la política económica entre administraciones (sección 3.6).</w:t>
            </w:r>
          </w:p>
        </w:tc>
      </w:tr>
    </w:tbl>
    <w:p>
      <w:pPr>
        <w:pStyle w:val="BodyText"/>
      </w:pPr>
      <w:r>
        <w:t xml:space="preserve">Fuente: elaboración propia.</w:t>
      </w:r>
    </w:p>
    <w:p>
      <w:pPr>
        <w:pStyle w:val="BodyText"/>
      </w:pPr>
      <w:r>
        <w:rPr>
          <w:bCs/>
          <w:b/>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Cs/>
          <w:b/>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65"/>
    <w:bookmarkStart w:id="66"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Cs/>
          <w:i/>
        </w:rPr>
        <w:t xml:space="preserve">shocks</w:t>
      </w:r>
      <w:r>
        <w:t xml:space="preserve"> </w:t>
      </w:r>
      <w:r>
        <w:t xml:space="preserve">argentinos.</w:t>
      </w:r>
    </w:p>
    <w:p>
      <w:pPr>
        <w:pStyle w:val="BodyText"/>
      </w:pPr>
      <w:r>
        <w:t xml:space="preserve">La serie es la tasa de fondos federales, con la tasa sombra de Wu y Xia (2016) en el límite cero. La serie cambia de tramo en cuatro trimestres: entra al límite cero en 2009T1 y en 2020T2 y sale de él en 2016T1 y 2022T1. En esas cuatro transiciones la variación se calcula con la tasa efectiva en los dos trimestres, para no confundir el cambio de serie con un cambio de política; dentro de cada tramo se usa la propia serie.</w:t>
      </w:r>
    </w:p>
    <w:p>
      <w:pPr>
        <w:pStyle w:val="BodyText"/>
      </w:pPr>
      <w:r>
        <w:rPr>
          <w:bCs/>
          <w:b/>
        </w:rPr>
        <w:t xml:space="preserve">Tabla 4.2. Canales por los que opera el</w:t>
      </w:r>
      <w:r>
        <w:rPr>
          <w:bCs/>
          <w:b/>
        </w:rPr>
        <w:t xml:space="preserve"> </w:t>
      </w:r>
      <w:r>
        <w:rPr>
          <w:iCs/>
          <w:i/>
          <w:bCs/>
          <w:b/>
        </w:rPr>
        <w:t xml:space="preserve">shock</w:t>
      </w:r>
      <w:r>
        <w:rPr>
          <w:bCs/>
          <w:b/>
        </w:rPr>
        <w:t xml:space="preserve"> </w:t>
      </w:r>
      <w:r>
        <w:rPr>
          <w:bCs/>
          <w:b/>
        </w:rPr>
        <w:t xml:space="preserve">de la FED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Canal</w:t>
            </w:r>
          </w:p>
        </w:tc>
        <w:tc>
          <w:tcPr/>
          <w:p>
            <w:pPr>
              <w:pStyle w:val="Compact"/>
              <w:jc w:val="left"/>
            </w:pPr>
            <w:r>
              <w:rPr>
                <w:rFonts w:ascii="Calibri" w:hAnsi="Calibri"/>
                <w:sz w:val="20"/>
              </w:rPr>
              <w:t xml:space="preserve">Variable del modelo</w:t>
            </w:r>
          </w:p>
        </w:tc>
        <w:tc>
          <w:tcPr/>
          <w:p>
            <w:pPr>
              <w:pStyle w:val="Compact"/>
              <w:jc w:val="left"/>
            </w:pPr>
            <w:r>
              <w:rPr>
                <w:rFonts w:ascii="Calibri" w:hAnsi="Calibri"/>
                <w:sz w:val="20"/>
              </w:rPr>
              <w:t xml:space="preserve">Efecto en la identidad</w:t>
            </w:r>
          </w:p>
        </w:tc>
      </w:tr>
      <w:tr>
        <w:tc>
          <w:tcPr/>
          <w:p>
            <w:pPr>
              <w:pStyle w:val="Compact"/>
              <w:jc w:val="left"/>
            </w:pPr>
            <w:r>
              <w:rPr>
                <w:rFonts w:ascii="Calibri" w:hAnsi="Calibri"/>
                <w:sz w:val="20"/>
              </w:rPr>
              <w:t xml:space="preserve">Prima de riesgo soberano (Uribe y Yue, 2006)</w:t>
            </w:r>
          </w:p>
        </w:tc>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Eleva la tasa en dólares.</w:t>
            </w:r>
          </w:p>
        </w:tc>
      </w:tr>
      <w:tr>
        <w:tc>
          <w:tcPr/>
          <w:p>
            <w:pPr>
              <w:pStyle w:val="Compact"/>
              <w:jc w:val="left"/>
            </w:pPr>
            <w:r>
              <w:rPr>
                <w:rFonts w:ascii="Calibri" w:hAnsi="Calibri"/>
                <w:sz w:val="20"/>
              </w:rPr>
              <w:t xml:space="preserve">Depreciación real (Calvo et al., 2003)</w:t>
            </w:r>
          </w:p>
        </w:tc>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Aumenta en pesos la deuda en moneda extranjera.</w:t>
            </w:r>
          </w:p>
        </w:tc>
      </w:tr>
      <w:tr>
        <w:tc>
          <w:tcPr/>
          <w:p>
            <w:pPr>
              <w:pStyle w:val="Compact"/>
              <w:jc w:val="left"/>
            </w:pPr>
            <w:r>
              <w:rPr>
                <w:rFonts w:ascii="Calibri" w:hAnsi="Calibri"/>
                <w:sz w:val="20"/>
              </w:rPr>
              <w:t xml:space="preserve">Menor crecimiento (Neumeyer y Perri, 2005)</w:t>
            </w:r>
          </w:p>
        </w:tc>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Empeora el diferencial entre tasa y crecimiento.</w:t>
            </w:r>
          </w:p>
        </w:tc>
      </w:tr>
      <w:tr>
        <w:tc>
          <w:tcPr/>
          <w:p>
            <w:pPr>
              <w:pStyle w:val="Compact"/>
              <w:jc w:val="left"/>
            </w:pPr>
            <w:r>
              <w:rPr>
                <w:rFonts w:ascii="Calibri" w:hAnsi="Calibri"/>
                <w:sz w:val="20"/>
              </w:rPr>
              <w:t xml:space="preserve">Respuesta fiscal</w:t>
            </w:r>
          </w:p>
        </w:tc>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Cambia el flujo que reduce la deuda.</w:t>
            </w:r>
          </w:p>
        </w:tc>
      </w:tr>
      <w:tr>
        <w:tc>
          <w:tcPr/>
          <w:p>
            <w:pPr>
              <w:pStyle w:val="Compact"/>
              <w:jc w:val="left"/>
            </w:pPr>
            <w:r>
              <w:rPr>
                <w:rFonts w:ascii="Calibri" w:hAnsi="Calibri"/>
                <w:sz w:val="20"/>
              </w:rPr>
              <w:t xml:space="preserve">Costo de la deuda en dólares</w:t>
            </w:r>
          </w:p>
        </w:tc>
        <w:tc>
          <w:tcPr/>
          <w:p>
            <w:pPr>
              <w:pStyle w:val="Compact"/>
              <w:jc w:val="left"/>
            </w:pPr>
            <w:r>
              <w:rPr>
                <w:rFonts w:ascii="Calibri" w:hAnsi="Calibri"/>
                <w:sz w:val="20"/>
              </w:rPr>
              <w:t xml:space="preserve">Tasa de la FED</w:t>
            </w:r>
          </w:p>
        </w:tc>
        <w:tc>
          <w:tcPr/>
          <w:p>
            <w:pPr>
              <w:pStyle w:val="Compact"/>
              <w:jc w:val="lef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Las tres primeras filas son los canales de la literatura que el modelo incluye (sección 3.4); las dos últimas son mecanismos de su estructura: la respuesta fiscal y el costo directo de la deuda en dólares, que entra por construcción en la identidad.</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p>
      <w:pPr>
        <w:pStyle w:val="BodyText"/>
      </w:pPr>
      <w:r>
        <w:rPr>
          <w:bCs/>
          <w:b/>
        </w:rPr>
        <w:t xml:space="preserve">Variables binarias presidenciales.</w:t>
      </w:r>
      <w:r>
        <w:t xml:space="preserve"> </w:t>
      </w:r>
      <w:r>
        <w:t xml:space="preserve">Se incorporan siete binarias, una por mandato, con Menem (1996T1-1999T3) como categoría de referencia: De la Rúa (1999T4-2001T3), Duhalde (2001T4-2003T1), N. Kirchner (2003T2-2007T3), C. Fernández de Kirchner (2007T4-2015T3), Macri (2015T4-2019T3), A. Fernández (2019T4-2023T3) y Milei (desde 2023T4). Cada trimestre se asigna al presidente en funciones al cierre; la excepción es 2001T4, que terminó con presidentes interinos y se asigna al gobierno de Duhalde, que asumió el 2 de enero de 2002. Controlan los cambios de orientación de la política económica entre administraciones, que la sección 3.6 vincula con el endeudamiento. Como la simulación se hace en desvíos respecto del escenario base (sección 4.6, paso 1), las binarias no intervienen en la proyección 2026-2035. Cada una consume grados de libertad en las cuatro ecuaciones, así que se contrasta su significancia conjunta con una prueba de Wald en cada ecuación y una prueba de razón de verosimilitud del sistema con la corrección de Sims (1980); el VIF no se usa porque no es estándar en un VAR. La especificación sin ellas se informa como robustez (sección 6.6).</w:t>
      </w:r>
    </w:p>
    <w:p>
      <w:pPr>
        <w:pStyle w:val="BodyText"/>
      </w:pPr>
      <w:r>
        <w:t xml:space="preserve">Las binarias presidenciales y las de quiebre pueden ser colineales cuando un quiebre coincide con un cambio de gobierno. El Apéndice (sección A.3) ubica cada quiebre de Bai y Perron respecto de los cambios de gobierno. Cuando coinciden, como el de 2001T4 con el inicio del gobierno de Duhalde, las binarias presidenciales reemplazan a la de quiebre; los quiebres dentro de un mandato (2006T2 y 2018T1) se conservan. Los quiebres se recalculan al reestimar con una muestra distinta, de modo que esta correspondencia es válida para la ventana principal.</w:t>
      </w:r>
    </w:p>
    <w:bookmarkEnd w:id="66"/>
    <w:bookmarkStart w:id="67" w:name="identificación-de-los-shocks-domésticos"/>
    <w:p>
      <w:pPr>
        <w:pStyle w:val="Heading2"/>
      </w:pPr>
      <w:r>
        <w:t xml:space="preserve">4.4 Identificación de los</w:t>
      </w:r>
      <w:r>
        <w:t xml:space="preserve"> </w:t>
      </w:r>
      <w:r>
        <w:rPr>
          <w:iCs/>
          <w:i/>
        </w:rPr>
        <w:t xml:space="preserve">shocks</w:t>
      </w:r>
      <w:r>
        <w:t xml:space="preserve"> </w:t>
      </w:r>
      <w:r>
        <w:t xml:space="preserve">domésticos</w:t>
      </w:r>
    </w:p>
    <w:p>
      <w:pPr>
        <w:pStyle w:val="FirstParagraph"/>
      </w:pPr>
      <w:r>
        <w:t xml:space="preserve">Los residuos del VAR, u, se relacionan con cuatro</w:t>
      </w:r>
      <w:r>
        <w:t xml:space="preserve"> </w:t>
      </w:r>
      <w:r>
        <w:rPr>
          <w:iCs/>
          <w:i/>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numPr>
          <w:ilvl w:val="0"/>
          <w:numId w:val="1002"/>
        </w:numPr>
        <w:pStyle w:val="Compact"/>
      </w:pPr>
      <w:r>
        <w:rPr>
          <w:bCs/>
          <w:b/>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Cs/>
          <w:i/>
        </w:rPr>
        <w:t xml:space="preserve">shock</w:t>
      </w:r>
      <w:r>
        <w:t xml:space="preserve"> </w:t>
      </w:r>
      <w:r>
        <w:t xml:space="preserve">discrecional, que tarda más de un trimestre en reaccionar a la actividad.</w:t>
      </w:r>
    </w:p>
    <w:p>
      <w:pPr>
        <w:numPr>
          <w:ilvl w:val="0"/>
          <w:numId w:val="1002"/>
        </w:numPr>
        <w:pStyle w:val="Compact"/>
      </w:pPr>
      <w:r>
        <w:rPr>
          <w:bCs/>
          <w:b/>
        </w:rPr>
        <w:t xml:space="preserve">Actividad.</w:t>
      </w:r>
      <w:r>
        <w:t xml:space="preserve"> </w:t>
      </w:r>
      <w:r>
        <w:t xml:space="preserve">El crecimiento puede responder al</w:t>
      </w:r>
      <w:r>
        <w:t xml:space="preserve"> </w:t>
      </w:r>
      <w:r>
        <w:rPr>
          <w:iCs/>
          <w:i/>
        </w:rPr>
        <w:t xml:space="preserve">shock</w:t>
      </w:r>
      <w:r>
        <w:t xml:space="preserve"> </w:t>
      </w:r>
      <w:r>
        <w:t xml:space="preserve">fiscal en el trimestre; su</w:t>
      </w:r>
      <w:r>
        <w:t xml:space="preserve"> </w:t>
      </w:r>
      <w:r>
        <w:rPr>
          <w:iCs/>
          <w:i/>
        </w:rPr>
        <w:t xml:space="preserve">shock</w:t>
      </w:r>
      <w:r>
        <w:t xml:space="preserve"> </w:t>
      </w:r>
      <w:r>
        <w:t xml:space="preserve">es la parte del residuo que el fiscal no explica.</w:t>
      </w:r>
    </w:p>
    <w:p>
      <w:pPr>
        <w:numPr>
          <w:ilvl w:val="0"/>
          <w:numId w:val="1002"/>
        </w:numPr>
        <w:pStyle w:val="Compact"/>
      </w:pPr>
      <w:r>
        <w:rPr>
          <w:bCs/>
          <w:b/>
        </w:rPr>
        <w:t xml:space="preserve">Cambiario y de riesgo.</w:t>
      </w:r>
      <w:r>
        <w:t xml:space="preserve"> </w:t>
      </w:r>
      <w:r>
        <w:t xml:space="preserve">El EMBI y el TCRM responden en el trimestre a los otros dos</w:t>
      </w:r>
      <w:r>
        <w:t xml:space="preserve"> </w:t>
      </w:r>
      <w:r>
        <w:rPr>
          <w:iCs/>
          <w:i/>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En el caso del resultado primario hay un argumento en contra: los derechos de exportación dependen del tipo de cambio. El efecto contemporáneo debería ser pequeño porque la recaudación se liquida con rezago respecto de la depreciación y el gasto se fija en el presupuesto, pero no se descarta; por eso la identificación con el resultado primario último, que lo deja responder en el trimestre, se presenta como una alternativa de igual peso (Apéndice, sección A.7). Dentro del bloque se usa una ortonormalización arbitraria y solo se informa la contribución conjunta, que no depende de ella.</w:t>
      </w:r>
    </w:p>
    <w:p>
      <w:pPr>
        <w:pStyle w:val="FirstParagraph"/>
      </w:pPr>
      <w:r>
        <w:rPr>
          <w:bCs/>
          <w:b/>
        </w:rPr>
        <w:t xml:space="preserve">Tabla 4.3. Restricciones de impacto (S)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rFonts w:ascii="Calibri" w:hAnsi="Calibri"/>
                <w:sz w:val="20"/>
              </w:rPr>
              <w:t xml:space="preserve">Bloque cambiario y de riesgo</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0,25 × respuesta del crecimiento</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y relaciona el saldo fiscal, como porcentaje del PIB, con la brecha del producto en datos anuales. Aquí se aplica a un crecimiento trimestral sin desestacionalizar frente a un resultado primario anualizado, y no se dispone de una estimación para Argentina. Las unidades son compatibles en el trimestre del impacto: las variables binarias trimestrales absorben la estacionalidad, de modo que la innovación del crecimiento es una sorpresa en el nivel del producto del trimestre, que mueve la brecha en la misma proporción si el producto potencial no cambia, y el resultado primario anualizado se mide, como el saldo de la OCDE, en puntos del PIB. La equivalencia es aproximada, porque la recaudación argentina depende más del comercio exterior y de la inflación que la de los países de la OCDE. Con ese cambio de frecuencia, 0,25 funciona como una cota plausible del ajuste automático y no como una magnitud calibrada; por eso la simulación se repite con elasticidades de 0 y 0,5. La robustez incluye también dos ordenamientos de Cholesky (resultado primario primero y resultado primario último), cuyas matrices de impacto se muestran en el Apéndice (sección A.7) con el mismo formato que la matriz estructural y el orden de las variables. Las variables externas no requieren identificación: forman un cuarto bloque, externo, medido con las innovaciones históricas de la FED y del VIX (sección 4.6).</w:t>
      </w:r>
    </w:p>
    <w:bookmarkEnd w:id="67"/>
    <w:bookmarkStart w:id="68" w:name="ventana-niveles-rezagos-e-inferencia"/>
    <w:p>
      <w:pPr>
        <w:pStyle w:val="Heading2"/>
      </w:pPr>
      <w:r>
        <w:t xml:space="preserve">4.5 Ventana, niveles, rezagos e inferencia</w:t>
      </w:r>
    </w:p>
    <w:p>
      <w:pPr>
        <w:numPr>
          <w:ilvl w:val="0"/>
          <w:numId w:val="1003"/>
        </w:numPr>
        <w:pStyle w:val="Compact"/>
      </w:pPr>
      <w:r>
        <w:rPr>
          <w:bCs/>
          <w:b/>
        </w:rPr>
        <w:t xml:space="preserve">Ventana y muestra de estimación.</w:t>
      </w:r>
      <w:r>
        <w:t xml:space="preserve"> </w:t>
      </w:r>
      <w:r>
        <w:t xml:space="preserve">Los datos cubren 1996-2025. Las ecuaciones se estiman con los trimestres 1998T2-2025T4 (111 observaciones) en todas las especificaciones. El límite lo fija la deuda federal bruta trimestral del MECON, que empieza en 1998T1 y entra rezagada; los trimestres anteriores de la ventana sirven como condiciones iniciales de los demás rezagos, y los órdenes del VAR se comparan, hasta seis, sobre esas mismas observaciones (Lütkepohl, 2005, sec. 4.3).</w:t>
      </w:r>
    </w:p>
    <w:p>
      <w:pPr>
        <w:numPr>
          <w:ilvl w:val="0"/>
          <w:numId w:val="1003"/>
        </w:numPr>
        <w:pStyle w:val="Compact"/>
      </w:pPr>
      <w:r>
        <w:rPr>
          <w:bCs/>
          <w:b/>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Con dos rezagos, ninguno de los dos empalmes pesa mucho en la estimación: el TCRM de 1996 no entra en ella, y el EMBI reconstruido solo aparece en 1998T2-1998T3 y como rezago en 1997T4-1998T1. La construcción está en el Capítulo 5 y la validación, en el Apéndice, sección A.2. Con datos desde 1999, sin el empalme del EMBI, los resultados casi no cambian (sección 6.6).</w:t>
      </w:r>
    </w:p>
    <w:p>
      <w:pPr>
        <w:numPr>
          <w:ilvl w:val="0"/>
          <w:numId w:val="1003"/>
        </w:numPr>
        <w:pStyle w:val="Compact"/>
      </w:pPr>
      <w:r>
        <w:rPr>
          <w:bCs/>
          <w:b/>
        </w:rPr>
        <w:t xml:space="preserve">Quiebres estructurales.</w:t>
      </w:r>
      <w:r>
        <w:t xml:space="preserve"> </w:t>
      </w:r>
      <w:r>
        <w:t xml:space="preserve">Los quiebres de Bai y Perron (2003) se estiman sobre la media de la deuda, una serie muy persistente en la que el procedimiento tiende a detectar quiebres espurios, y se aplican como cambios de nivel en las cuatro ecuaciones aunque se hayan detectado solo en la deuda. Se aceptan así por dos razones: la deuda argentina tuvo cambios de nivel discretos y de origen conocido (el canje y el</w:t>
      </w:r>
      <w:r>
        <w:t xml:space="preserve"> </w:t>
      </w:r>
      <w:r>
        <w:rPr>
          <w:iCs/>
          <w:i/>
        </w:rPr>
        <w:t xml:space="preserve">default</w:t>
      </w:r>
      <w:r>
        <w:t xml:space="preserve"> </w:t>
      </w:r>
      <w:r>
        <w:t xml:space="preserve">de 2001-2005, la reestructuración de 2020) que afectan a las demás variables, y la especificación sin ellos se informa como robustez (sección 6.6). Los quiebres se recalculan al reestimar, y el Apéndice, sección A.3, los contrasta con los cambios de gobierno.</w:t>
      </w:r>
    </w:p>
    <w:p>
      <w:pPr>
        <w:numPr>
          <w:ilvl w:val="0"/>
          <w:numId w:val="1003"/>
        </w:numPr>
        <w:pStyle w:val="Compact"/>
      </w:pPr>
      <w:r>
        <w:rPr>
          <w:bCs/>
          <w:b/>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Cs/>
          <w:i/>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numPr>
          <w:ilvl w:val="0"/>
          <w:numId w:val="1003"/>
        </w:numPr>
        <w:pStyle w:val="Compact"/>
      </w:pPr>
      <w:r>
        <w:rPr>
          <w:bCs/>
          <w:b/>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(la muestra efectiva es de 111); si sus residuos rechazan la ausencia de autocorrelación (Portmanteau, 12 rezagos, 5%; Hosking, 1980), el menor orden mayor que no la rechaza (Lütkepohl, 2005, sec. 4.4). Schwarz elige uno, con residuos autocorrelacionados (p &lt; 0,001). Con la especificación final, que incluye las binarias presidenciales y las cuatro transiciones de la tasa de la FED, ningún orden estable pasa la prueba al 5%: con dos el p-valor es 0,031, el mayor entre los estables (con tres, 0,014). Se adopta entonces la regla de reserva de elegir, entre los órdenes estables no menores que el de Schwarz, el de mayor p-valor del Portmanteau, que es dos; es también el orden de Hannan-Quinn, y su autovalor máximo es 0,776. La autocorrelación residual leve que queda se reconoce como limitación (sección 7.6), y se informan los resultados con uno y con tres rezagos (sección 6.6). Akaike elige seis, un orden inestable (raíz máxima 1,008) (Apéndice, sección A.4).</w:t>
      </w:r>
    </w:p>
    <w:p>
      <w:pPr>
        <w:numPr>
          <w:ilvl w:val="0"/>
          <w:numId w:val="1003"/>
        </w:numPr>
        <w:pStyle w:val="Compact"/>
      </w:pPr>
      <w:r>
        <w:rPr>
          <w:bCs/>
          <w:b/>
        </w:rPr>
        <w:t xml:space="preserve">Inferencia.</w:t>
      </w:r>
      <w:r>
        <w:t xml:space="preserve"> </w:t>
      </w:r>
      <w:r>
        <w:t xml:space="preserve">La estimación central usa los parámetros de mínimos cuadrados. Los intervalos de 90% salen de un</w:t>
      </w:r>
      <w:r>
        <w:t xml:space="preserve"> </w:t>
      </w:r>
      <w:r>
        <w:rPr>
          <w:iCs/>
          <w:i/>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Cs/>
          <w:i/>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Cs/>
          <w:i/>
        </w:rPr>
        <w:t xml:space="preserve">bootstrap</w:t>
      </w:r>
      <w:r>
        <w:t xml:space="preserve"> </w:t>
      </w:r>
      <w:r>
        <w:t xml:space="preserve">respecto de la estimación puntual. Como el remuestreo es en bloques, preserva la heterocedasticidad condicional de forma desconocida, que aparece en la ecuación del TCRM (Apéndice, sección A.5). Para las varianzas y las participaciones de la descomposición, que son cantidades acotadas, los intervalos son percentiles simples de las réplicas y no de Hall. La corrección de sesgo de Kilian (1998) se informa como robustez. Se usan 1.000 réplicas: con 200, cada cola de un intervalo de 95%, que es el que se emplea para la corrección de Bonferroni, quedaba definida por unas cinco observaciones y su precisión empírica era insuficiente.</w:t>
      </w:r>
    </w:p>
    <w:bookmarkEnd w:id="68"/>
    <w:bookmarkStart w:id="69" w:name="simulación-de-monte-carlo"/>
    <w:p>
      <w:pPr>
        <w:pStyle w:val="Heading2"/>
      </w:pPr>
      <w:r>
        <w:t xml:space="preserve">4.6 Simulación de Monte Carlo</w:t>
      </w:r>
    </w:p>
    <w:p>
      <w:pPr>
        <w:pStyle w:val="FirstParagraph"/>
      </w:pPr>
      <w:r>
        <w:rPr>
          <w:bCs/>
          <w:b/>
        </w:rPr>
        <w:t xml:space="preserve">Escenario base.</w:t>
      </w:r>
      <w:r>
        <w:t xml:space="preserve"> </w:t>
      </w:r>
      <w:r>
        <w:t xml:space="preserve">Es el del FMI (2026, cuadro 6), de mayo de 2026: crecimiento real g, deflactor pi, tasa efectiva i, resultado primario pb, ajuste stock-flujo sf e inflación relativa ri (efecto de la depreciación nominal sobre la deuda en moneda extranjera). Aplicada al</w:t>
      </w:r>
      <w:r>
        <w:t xml:space="preserve"> </w:t>
      </w:r>
      <w:r>
        <w:rPr>
          <w:iCs/>
          <w:i/>
        </w:rPr>
        <w:t xml:space="preserve">stock</w:t>
      </w:r>
      <w:r>
        <w:t xml:space="preserve"> </w:t>
      </w:r>
      <w:r>
        <w:t xml:space="preserve">del FMI, la identidad reproduce su senda con un desvío máximo de 0,12 puntos del PIB. La robustez usa el escenario de 2025 (FMI, 2025, anexo II).</w:t>
      </w:r>
    </w:p>
    <w:p>
      <w:pPr>
        <w:pStyle w:val="BodyText"/>
      </w:pPr>
      <w:r>
        <w:rPr>
          <w:bCs/>
          <w:b/>
        </w:rPr>
        <w:t xml:space="preserve">Identidad de la deuda.</w:t>
      </w:r>
      <w:r>
        <w:t xml:space="preserve"> </w:t>
      </w:r>
      <w:r>
        <w:t xml:space="preserve">Para cada año t de 2026 a 2035:</w:t>
      </w:r>
    </w:p>
    <w:p>
      <w:pPr>
        <w:pStyle w:val="BodyText"/>
      </w:pPr>
      <w:r>
        <w:t xml:space="preserve">dₜ = dₜ₋₁ Mₜ - pbₜ + sfₜ fraca dₜ₋₁aᶠMI dᶠMIₜ₋₁ + riₜ frac(1-a) dₜ₋₁(1-aᶠMI) dᶠMIₜ₋₁</w:t>
      </w:r>
    </w:p>
    <w:p>
      <w:pPr>
        <w:pStyle w:val="BodyText"/>
      </w:pPr>
      <w:r>
        <w:t xml:space="preserve">Mₜ = ((1 + iₜ + (1-a) xₜ)(1 + (1-a) eₜ))/((1+piₜ)(1+gₜ))</w:t>
      </w:r>
    </w:p>
    <w:p>
      <w:pPr>
        <w:pStyle w:val="BodyText"/>
      </w:pPr>
      <w:r>
        <w:t xml:space="preserve">donde a es la proporción de la deuda en pesos (0,422 para la federal bruta y 0,315 para la consolidada con el BCRA), aᶠMI y dᶠMI son la proporción y el</w:t>
      </w:r>
      <w:r>
        <w:t xml:space="preserve"> </w:t>
      </w:r>
      <w:r>
        <w:rPr>
          <w:iCs/>
          <w:i/>
        </w:rPr>
        <w:t xml:space="preserve">stock</w:t>
      </w:r>
      <w:r>
        <w:t xml:space="preserve"> </w:t>
      </w:r>
      <w:r>
        <w:t xml:space="preserve">del FMI, eₜ es el desvío de la depreciación real que simula el SVARX y xₜ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Cs/>
          <w:b/>
        </w:rPr>
        <w:t xml:space="preserve">Algoritmo.</w:t>
      </w:r>
    </w:p>
    <w:p>
      <w:pPr>
        <w:numPr>
          <w:ilvl w:val="0"/>
          <w:numId w:val="1004"/>
        </w:numPr>
        <w:pStyle w:val="Compact"/>
      </w:pPr>
      <w:r>
        <w:t xml:space="preserve">El SVARX se simula durante 40 trimestres en desvíos respecto del escenario base, de modo que la constante y las variables binarias no intervienen.</w:t>
      </w:r>
    </w:p>
    <w:p>
      <w:pPr>
        <w:numPr>
          <w:ilvl w:val="0"/>
          <w:numId w:val="1004"/>
        </w:numPr>
        <w:pStyle w:val="Compact"/>
      </w:pPr>
      <w:r>
        <w:t xml:space="preserve">El VIX y el nivel de la tasa de la FED siguen procesos AR(1) estimados en la muestra (coeficientes de 0,703 y 0,972). Sus innovaciones históricas se remuestrean junto con los</w:t>
      </w:r>
      <w:r>
        <w:t xml:space="preserve"> </w:t>
      </w:r>
      <w:r>
        <w:rPr>
          <w:iCs/>
          <w:i/>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numPr>
          <w:ilvl w:val="0"/>
          <w:numId w:val="1004"/>
        </w:numPr>
        <w:pStyle w:val="Compact"/>
      </w:pPr>
      <w:r>
        <w:t xml:space="preserve">Al final de cada año los desvíos se anualizan: el del crecimiento es la variación del promedio anual del nivel del PIB; los del resultado primario y el EMBI, promedios del año; el del TCRM, la variación de fin de año.</w:t>
      </w:r>
    </w:p>
    <w:p>
      <w:pPr>
        <w:numPr>
          <w:ilvl w:val="0"/>
          <w:numId w:val="1004"/>
        </w:numPr>
        <w:pStyle w:val="Compact"/>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Cs/>
          <w:b/>
        </w:rPr>
        <w:t xml:space="preserve">Métrica.</w:t>
      </w:r>
      <w:r>
        <w:t xml:space="preserve"> </w:t>
      </w:r>
      <w:r>
        <w:t xml:space="preserve">La no estabilización se mide de dos maneras. La medida principal, con la que se contrastan H1b y la condición (ii) de H1a, es la definición operativa del FMI, porque las cifras con que se compara H1b surgen de ella y la hipótesis exige comparar magnitudes equivalentes. La medida complementaria es una métrica anual, que la tesis agrega porque capta un riesgo que la definición del FMI deja afuera por construcción: la valuación de la deuda en moneda extranjera año por año. Se presenta primero la métrica anual, porque la definición del FMI se obtiene a partir de ella. La métrica anual aplica la definición del FMI (2021, párr. 53) año por año: la deuda no se estabiliza en el año T si el resultado primario del escenario base es menor que el que la estabilizaría ese año en la trayectoria simulada,</w:t>
      </w:r>
    </w:p>
    <w:p>
      <w:pPr>
        <w:pStyle w:val="BodyText"/>
      </w:pPr>
      <w:r>
        <w:t xml:space="preserve">pb^*_T = d_T-1(M_T - 1) + sf_T + ri_T ,</w:t>
      </w:r>
    </w:p>
    <w:p>
      <w:pPr>
        <w:pStyle w:val="BodyText"/>
      </w:pPr>
      <w:r>
        <w:t xml:space="preserve">con sf y ri escalados como en la identidad. Equivale a que la deuda de T, con el resultado primario del escenario, supere a la de T-1, de modo que incluye la valuación de la deuda en moneda extranjera y el ajuste stock-flujo de ese año.</w:t>
      </w:r>
    </w:p>
    <w:p>
      <w:pPr>
        <w:pStyle w:val="BodyText"/>
      </w:pPr>
      <w:r>
        <w:t xml:space="preserve">La medida principal es una reconstrucción de la definición operativa del FMI, la que el organismo usa para las cifras con que se compara H1b; como el FMI no publica el cálculo, la tesis la reconstruye a partir de su guía. El resultado primario que estabiliza la deuda se calcula sin variación del tipo de cambio real ni ajuste stock-flujo, con las variables promediadas a lo largo de la trayectoria (FMI, 2022, recuadro 3). La tesis usa los impulsores del escenario en el año T más el desvío promedio de la trayectoria desde 2026,</w:t>
      </w:r>
    </w:p>
    <w:p>
      <w:pPr>
        <w:pStyle w:val="BodyText"/>
      </w:pPr>
      <w:r>
        <w:t xml:space="preserve">pb^*FMI_T = d_T-1(frac1 + i_T + (1-a)barx_T(1+pi_T)(1+g_T+barg_T) - 1) + ri_T ,</w:t>
      </w:r>
    </w:p>
    <w:p>
      <w:pPr>
        <w:pStyle w:val="BodyText"/>
      </w:pPr>
      <w:r>
        <w:t xml:space="preserve">donde barx_T y barg_T son los desvíos promedio de la tasa en dólares y del crecimiento entre 2026 y T (en la variante del canal de tasas en pesos se suma el desvío de la tasa en pesos). El término ri_T es el del escenario base, no un desvío simulado: la definición excluye los desvíos del tipo de cambio real, no la valuación prevista en el escenario, que el recuadro 3 incluye a través de la inflación relativa. Se informa también una lectura literal del recuadro, que promedia además los impulsores del escenario y el resultado primario.</w:t>
      </w:r>
    </w:p>
    <w:p>
      <w:pPr>
        <w:pStyle w:val="BodyText"/>
      </w:pPr>
      <w:r>
        <w:t xml:space="preserve">Las dos métricas se miden en 2031 y en 2035, los últimos años de los abanicos de mediano plazo y de diez años del FMI. Como medidas alternativas se usan la métrica anual con el resultado primario simulado y la probabilidad de que la deuda de 2031 supere a la de 2029.</w:t>
      </w:r>
    </w:p>
    <w:p>
      <w:pPr>
        <w:pStyle w:val="BodyText"/>
      </w:pPr>
      <w:r>
        <w:rPr>
          <w:bCs/>
          <w:b/>
        </w:rPr>
        <w:t xml:space="preserve">Estimación.</w:t>
      </w:r>
      <w:r>
        <w:t xml:space="preserve"> </w:t>
      </w:r>
      <w:r>
        <w:t xml:space="preserve">La estimación central usa 20.000 trayectorias; los intervalos, 1.000 réplicas de parámetros con 1.000 trayectorias cada una. Todas las especificaciones comparten los números aleatorios, y sus diferencias no provienen del sorteo.</w:t>
      </w:r>
    </w:p>
    <w:p>
      <w:pPr>
        <w:pStyle w:val="BodyText"/>
      </w:pPr>
      <w:r>
        <w:rPr>
          <w:bCs/>
          <w:b/>
        </w:rPr>
        <w:t xml:space="preserve">Descomposición de la varianza.</w:t>
      </w:r>
      <w:r>
        <w:t xml:space="preserve"> </w:t>
      </w:r>
      <w:r>
        <w:t xml:space="preserve">La simulación es no lineal, y los</w:t>
      </w:r>
      <w:r>
        <w:t xml:space="preserve"> </w:t>
      </w:r>
      <w:r>
        <w:rPr>
          <w:iCs/>
          <w:i/>
        </w:rPr>
        <w:t xml:space="preserve">shocks</w:t>
      </w:r>
      <w:r>
        <w:t xml:space="preserve"> </w:t>
      </w:r>
      <w:r>
        <w:t xml:space="preserve">domésticos y los externos se remuestrean juntos por fecha, de modo que las contribuciones por bloque no suman 100% de manera automática. Para cada bloque (fiscal, actividad, cambiario y de riesgo, externo) se simula la deuda de 2035 con las trayectorias de</w:t>
      </w:r>
      <w:r>
        <w:t xml:space="preserve"> </w:t>
      </w:r>
      <w:r>
        <w:rPr>
          <w:iCs/>
          <w:i/>
        </w:rPr>
        <w:t xml:space="preserve">shocks</w:t>
      </w:r>
      <w:r>
        <w:t xml:space="preserve"> </w:t>
      </w:r>
      <w:r>
        <w:t xml:space="preserve">de ese bloque solamente, con los demás en cero, y se calcula la varianza entre trayectorias. La participación de cada bloque es su varianza sobre la suma de las varianzas de los cuatro bloques; el denominador no es la varianza de la simulación completa, por la no linealidad y porque los bloques están correlacionados. Esa suma y la varianza total se informan en el Apéndice, sección A.9. El bloque externo se abre en tres partes con el mismo denominador: el VIX solo, la tasa de la FED sola y la tasa de la FED con solo su efecto directo en la identidad (el costo de la deuda en dólares), sin la respuesta de las variables del sistema. La diferencia entre la tasa de la FED completa y la directa es el efecto indirecto. Estas aperturas no son aditivas.</w:t>
      </w:r>
    </w:p>
    <w:p>
      <w:pPr>
        <w:pStyle w:val="BodyText"/>
      </w:pPr>
      <w:r>
        <w:rPr>
          <w:bCs/>
          <w:b/>
        </w:rPr>
        <w:t xml:space="preserve">Escenarios de la FED.</w:t>
      </w:r>
      <w:r>
        <w:t xml:space="preserve"> </w:t>
      </w:r>
      <w:r>
        <w:t xml:space="preserve">En el primero, el nivel de la tasa queda 0,501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Cs/>
          <w:b/>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y punto de partida, y con las dos métricas. Las demás variantes quitan la retroalimentación, usan el resultado primario con rentas de la propiedad, usan uno o tres rezagos, omiten los quiebres, las binarias presidenciales o los</w:t>
      </w:r>
      <w:r>
        <w:t xml:space="preserve"> </w:t>
      </w:r>
      <w:r>
        <w:rPr>
          <w:iCs/>
          <w:i/>
        </w:rPr>
        <w:t xml:space="preserve">shocks</w:t>
      </w:r>
      <w:r>
        <w:t xml:space="preserve"> </w:t>
      </w:r>
      <w:r>
        <w:t xml:space="preserve">de 2001T4-2005T3, usan solo el EMBI observado (datos desde 1999, sin empalme), empiezan en 2004, anulan el ajuste stock-flujo, corrigen el sesgo o usan el escenario de 2025. Con la principal suman 21 especificaciones del SVARX. Dos de ellas son equivalentes: con una elasticidad cíclica de cero, el</w:t>
      </w:r>
      <w:r>
        <w:t xml:space="preserve"> </w:t>
      </w:r>
      <w:r>
        <w:rPr>
          <w:iCs/>
          <w:i/>
        </w:rPr>
        <w:t xml:space="preserve">shock</w:t>
      </w:r>
      <w:r>
        <w:t xml:space="preserve"> </w:t>
      </w:r>
      <w:r>
        <w:t xml:space="preserve">fiscal absorbe toda la covarianza con el crecimiento, igual que en el ordenamiento de Cholesky con el resultado primario primero, de modo que dan los mismos resultados.</w:t>
      </w:r>
    </w:p>
    <w:p>
      <w:pPr>
        <w:pStyle w:val="BodyText"/>
      </w:pPr>
      <w:r>
        <w:t xml:space="preserve">El procedimiento del FMI genera</w:t>
      </w:r>
      <w:r>
        <w:t xml:space="preserve"> </w:t>
      </w:r>
      <w:r>
        <w:rPr>
          <w:iCs/>
          <w:i/>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central, porque los</w:t>
      </w:r>
      <w:r>
        <w:t xml:space="preserve"> </w:t>
      </w:r>
      <w:r>
        <w:rPr>
          <w:iCs/>
          <w:i/>
        </w:rPr>
        <w:t xml:space="preserve">shocks</w:t>
      </w:r>
      <w:r>
        <w:t xml:space="preserve"> </w:t>
      </w:r>
      <w:r>
        <w:t xml:space="preserve">estructurales reconstruyen los mismos residuos con cualquier S. Los intervalos sí difieren de una identificación a otra: en cada réplica la matriz S se reestima, mientras que los</w:t>
      </w:r>
      <w:r>
        <w:t xml:space="preserve"> </w:t>
      </w:r>
      <w:r>
        <w:rPr>
          <w:iCs/>
          <w:i/>
        </w:rPr>
        <w:t xml:space="preserve">shocks</w:t>
      </w:r>
      <w:r>
        <w:t xml:space="preserve"> </w:t>
      </w:r>
      <w:r>
        <w:t xml:space="preserve">históricos se calculan con la S de la estimación central, de modo que el residuo reconstruido en las réplicas depende de la identificación.</w:t>
      </w:r>
    </w:p>
    <w:bookmarkEnd w:id="69"/>
    <w:bookmarkStart w:id="70" w:name="contraste-de-las-hipótesis"/>
    <w:p>
      <w:pPr>
        <w:pStyle w:val="Heading2"/>
      </w:pPr>
      <w:r>
        <w:t xml:space="preserve">4.7 Contraste de las hipótesis</w:t>
      </w:r>
    </w:p>
    <w:p>
      <w:pPr>
        <w:pStyle w:val="FirstParagraph"/>
      </w:pPr>
      <w:r>
        <w:rPr>
          <w:bCs/>
          <w:b/>
        </w:rPr>
        <w:t xml:space="preserve">Tabla 4.4. Medidas y criterios de contraste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Contribución de cada bloque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varianza de la deuda simulada en 2035; y suficiencia del superávit</w:t>
            </w:r>
          </w:p>
        </w:tc>
        <w:tc>
          <w:tcPr/>
          <w:p>
            <w:pPr>
              <w:pStyle w:val="Compact"/>
              <w:jc w:val="left"/>
            </w:pPr>
            <w:r>
              <w:rPr>
                <w:rFonts w:ascii="Calibri" w:hAnsi="Calibri"/>
                <w:sz w:val="20"/>
              </w:rPr>
              <w:t xml:space="preserve">(i) La contribución de los bloques no fiscales supera a la del fiscal, con un intervalo de 90% de la diferencia que excluye el cero. (ii) Con el resultado primario de todos los años desplazado en la misma magnitud hasta que el de 2031 alcanza su máximo anual de 1996-2025, la probabilidad de no estabilización en 2031 sigue superando la cifra del FMI (1%), con cada métrica. H1a se acepta si se cumplen las dos condiciones. La condición (ii) se evalúa con la definición operativa del FMI; la métrica anual se informa como complemento.</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Probabilidad de no estabilización con el escenario base del FMI, en 2031 y en 2035, con la definición operativa del FMI (la métrica anual se informa como complemento)</w:t>
            </w:r>
          </w:p>
        </w:tc>
        <w:tc>
          <w:tcPr/>
          <w:p>
            <w:pPr>
              <w:pStyle w:val="Compact"/>
              <w:jc w:val="lef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Diferencia en esa probabilidad y en la deuda esperada en 2035 entre cada escenario de la FED y el base</w:t>
            </w:r>
          </w:p>
        </w:tc>
        <w:tc>
          <w:tcPr/>
          <w:p>
            <w:pPr>
              <w:pStyle w:val="Compact"/>
              <w:jc w:val="left"/>
            </w:pPr>
            <w:r>
              <w:rPr>
                <w:rFonts w:ascii="Calibri" w:hAnsi="Calibri"/>
                <w:sz w:val="20"/>
              </w:rPr>
              <w:t xml:space="preserve">El intervalo de 90% de la diferencia excluye el cero en las dos medidas. Si lo cumple en una medida o en un escenario y no en los otros, H2 se declara parcialmente respaldada y se informa cuál.</w:t>
            </w:r>
          </w:p>
        </w:tc>
      </w:tr>
    </w:tbl>
    <w:p>
      <w:pPr>
        <w:pStyle w:val="BodyText"/>
      </w:pPr>
      <w:r>
        <w:t xml:space="preserve">Fuente: elaboración propia.</w:t>
      </w:r>
    </w:p>
    <w:p>
      <w:pPr>
        <w:pStyle w:val="BodyText"/>
      </w:pPr>
      <w:r>
        <w:t xml:space="preserve">Como las cuatro participaciones de la condición (i) suman 100, esa condición equivale a que el bloque fiscal explique menos de la mitad de la varianza; la que contrasta que el superávit no baste es la condición (ii). El veredicto de H1a (ii) y de H1b se establece con la definición operativa del FMI. Como la métrica anual puede llevar a un resultado distinto, también se informa, pero no decide el contraste.</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La condición (ii) de H1a se evalúa con un análisis de la suficiencia del superávit: se desplaza en la misma magnitud el resultado primario de todos los años y se informan la probabilidad cuando el de 2031 alcanza el máximo anual de 1996-2025 y el desplazamiento que lleva la de 2031 al 1% que estima el FMI para Argentina, cifra que es una estimación para el país y no un umbral de riesgo.</w:t>
      </w:r>
    </w:p>
    <w:bookmarkEnd w:id="70"/>
    <w:bookmarkEnd w:id="71"/>
    <w:bookmarkStart w:id="88" w:name="datos"/>
    <w:p>
      <w:pPr>
        <w:pStyle w:val="Heading1"/>
      </w:pPr>
      <w:r>
        <w:t xml:space="preserve">5. Datos</w:t>
      </w:r>
    </w:p>
    <w:p>
      <w:pPr>
        <w:pStyle w:val="FirstParagraph"/>
      </w:pPr>
      <w:r>
        <w:t xml:space="preserve">Las series son trimestrales y cubren 1996-2025. Las ecuaciones se estiman con los trimestres 1998T2-2025T4 (111 observaciones; sección 4.5), porque la deuda federal bruta trimestral del MECON empieza en 1998T1 y entra rezagada; los trimestres anteriores sirven como condiciones iniciales de los demás rezagos.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72" w:name="series-y-fuentes"/>
    <w:p>
      <w:pPr>
        <w:pStyle w:val="Heading2"/>
      </w:pPr>
      <w:r>
        <w:t xml:space="preserve">5.1 Series y fuentes</w:t>
      </w:r>
    </w:p>
    <w:p>
      <w:pPr>
        <w:pStyle w:val="FirstParagraph"/>
      </w:pPr>
      <w:r>
        <w:rPr>
          <w:bCs/>
          <w:b/>
        </w:rPr>
        <w:t xml:space="preserve">Tabla 5.1. Series del modelo: rol, fuente y construcción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 en el modelo</w:t>
            </w:r>
          </w:p>
        </w:tc>
        <w:tc>
          <w:tcPr/>
          <w:p>
            <w:pPr>
              <w:pStyle w:val="Compact"/>
              <w:jc w:val="left"/>
            </w:pPr>
            <w:r>
              <w:rPr>
                <w:rFonts w:ascii="Calibri" w:hAnsi="Calibri"/>
                <w:sz w:val="20"/>
              </w:rPr>
              <w:t xml:space="preserve">Fuente</w:t>
            </w:r>
          </w:p>
        </w:tc>
        <w:tc>
          <w:tcPr/>
          <w:p>
            <w:pPr>
              <w:pStyle w:val="Compact"/>
              <w:jc w:val="left"/>
            </w:pPr>
            <w:r>
              <w:rPr>
                <w:rFonts w:ascii="Calibri" w:hAnsi="Calibri"/>
                <w:sz w:val="20"/>
              </w:rPr>
              <w:t xml:space="preserve">Construcción</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Especificación principal</w:t>
            </w:r>
          </w:p>
        </w:tc>
        <w:tc>
          <w:tcPr/>
          <w:p>
            <w:pPr>
              <w:pStyle w:val="Compact"/>
              <w:jc w:val="left"/>
            </w:pPr>
            <w:r>
              <w:rPr>
                <w:rFonts w:ascii="Calibri" w:hAnsi="Calibri"/>
                <w:sz w:val="20"/>
              </w:rPr>
              <w:t xml:space="preserve">MECON, Informe de Deuda Pública (Administración Central)</w:t>
            </w:r>
          </w:p>
        </w:tc>
        <w:tc>
          <w:tcPr/>
          <w:p>
            <w:pPr>
              <w:pStyle w:val="Compact"/>
              <w:jc w:val="left"/>
            </w:pPr>
            <w:r>
              <w:rPr>
                <w:rFonts w:ascii="Calibri" w:hAnsi="Calibri"/>
                <w:sz w:val="20"/>
              </w:rPr>
              <w:t xml:space="preserve">Sección 5.2</w:t>
            </w:r>
          </w:p>
        </w:tc>
      </w:tr>
      <w:tr>
        <w:tc>
          <w:tcPr/>
          <w:p>
            <w:pPr>
              <w:pStyle w:val="Compact"/>
              <w:jc w:val="left"/>
            </w:pPr>
            <w:r>
              <w:rPr>
                <w:rFonts w:ascii="Calibri" w:hAnsi="Calibri"/>
                <w:sz w:val="20"/>
              </w:rPr>
              <w:t xml:space="preserve">Deuda consolidada con el BCRA (% del PIB)</w:t>
            </w:r>
          </w:p>
        </w:tc>
        <w:tc>
          <w:tcPr/>
          <w:p>
            <w:pPr>
              <w:pStyle w:val="Compact"/>
              <w:jc w:val="left"/>
            </w:pPr>
            <w:r>
              <w:rPr>
                <w:rFonts w:ascii="Calibri" w:hAnsi="Calibri"/>
                <w:sz w:val="20"/>
              </w:rPr>
              <w:t xml:space="preserve">Extensión, estimada desde 2002</w:t>
            </w:r>
          </w:p>
        </w:tc>
        <w:tc>
          <w:tcPr/>
          <w:p>
            <w:pPr>
              <w:pStyle w:val="Compact"/>
              <w:jc w:val="left"/>
            </w:pPr>
            <w:r>
              <w:rPr>
                <w:rFonts w:ascii="Calibri" w:hAnsi="Calibri"/>
                <w:sz w:val="20"/>
              </w:rPr>
              <w:t xml:space="preserve">MECON (deuda de la Administración Central) y BCRA (balance y estadísticas monetarias)</w:t>
            </w:r>
          </w:p>
        </w:tc>
        <w:tc>
          <w:tcPr/>
          <w:p>
            <w:pPr>
              <w:pStyle w:val="Compact"/>
              <w:jc w:val="left"/>
            </w:pPr>
            <w:r>
              <w:rPr>
                <w:rFonts w:ascii="Calibri" w:hAnsi="Calibri"/>
                <w:sz w:val="20"/>
              </w:rPr>
              <w:t xml:space="preserve">Sección 5.2; no descuenta las tenencias del FGS (sección 5.6)</w:t>
            </w:r>
          </w:p>
        </w:tc>
      </w:tr>
      <w:tr>
        <w:tc>
          <w:tcPr/>
          <w:p>
            <w:pPr>
              <w:pStyle w:val="Compact"/>
              <w:jc w:val="left"/>
            </w:pPr>
            <w:r>
              <w:rPr>
                <w:rFonts w:ascii="Calibri" w:hAnsi="Calibri"/>
                <w:sz w:val="20"/>
              </w:rPr>
              <w:t xml:space="preserve">Resultado primario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MECON, esquema ahorro-inversión-financiamiento del Sector Público Nacional, base caja</w:t>
            </w:r>
          </w:p>
        </w:tc>
        <w:tc>
          <w:tcPr/>
          <w:p>
            <w:pPr>
              <w:pStyle w:val="Compact"/>
              <w:jc w:val="left"/>
            </w:pPr>
            <w:r>
              <w:rPr>
                <w:rFonts w:ascii="Calibri" w:hAnsi="Calibri"/>
                <w:sz w:val="20"/>
              </w:rPr>
              <w:t xml:space="preserve">Suma mensual por trimestre, anualizada; sin rentas de la propiedad (sección 5.3)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INDEC, PIB a precios constantes</w:t>
            </w:r>
          </w:p>
        </w:tc>
        <w:tc>
          <w:tcPr/>
          <w:p>
            <w:pPr>
              <w:pStyle w:val="Compact"/>
              <w:jc w:val="left"/>
            </w:pPr>
            <w:r>
              <w:rPr>
                <w:rFonts w:ascii="Calibri" w:hAnsi="Calibri"/>
                <w:sz w:val="20"/>
              </w:rPr>
              <w:t xml:space="preserve">Variación logarítmica trimestral; 1996-2003 en base 1993 empalmada a base 2004</w:t>
            </w:r>
          </w:p>
        </w:tc>
      </w:tr>
      <w:tr>
        <w:tc>
          <w:tcPr/>
          <w:p>
            <w:pPr>
              <w:pStyle w:val="Compact"/>
              <w:jc w:val="left"/>
            </w:pPr>
            <w:r>
              <w:rPr>
                <w:rFonts w:ascii="Calibri" w:hAnsi="Calibri"/>
                <w:sz w:val="20"/>
              </w:rPr>
              <w:t xml:space="preserve">Riesgo país: diferencial del índice EMBI de J.P. Morgan para Argentina (EMBI), en puntos básicos</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J.P. Morgan, serie diaria publicada por Ámbito Financiero desde el 11 de diciembre de 1998</w:t>
            </w:r>
          </w:p>
        </w:tc>
        <w:tc>
          <w:tcPr/>
          <w:p>
            <w:pPr>
              <w:pStyle w:val="Compact"/>
              <w:jc w:val="lef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jc w:val="left"/>
            </w:pPr>
            <w:r>
              <w:rPr>
                <w:rFonts w:ascii="Calibri" w:hAnsi="Calibri"/>
                <w:sz w:val="20"/>
              </w:rPr>
              <w:t xml:space="preserve">Tipo de cambio real multilateral (TCRM)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BCRA, desde enero de 1997</w:t>
            </w:r>
          </w:p>
        </w:tc>
        <w:tc>
          <w:tcPr/>
          <w:p>
            <w:pPr>
              <w:pStyle w:val="Compact"/>
              <w:jc w:val="left"/>
            </w:pPr>
            <w:r>
              <w:rPr>
                <w:rFonts w:ascii="Calibri" w:hAnsi="Calibri"/>
                <w:sz w:val="20"/>
              </w:rPr>
              <w:t xml:space="preserve">Promedio trimestral del índice; 1996 encadenado con el tipo de cambio real efectivo amplio del BIS (sección 5.4)</w:t>
            </w:r>
          </w:p>
        </w:tc>
      </w:tr>
      <w:tr>
        <w:tc>
          <w:tcPr/>
          <w:p>
            <w:pPr>
              <w:pStyle w:val="Compact"/>
              <w:jc w:val="left"/>
            </w:pPr>
            <w:r>
              <w:rPr>
                <w:rFonts w:ascii="Calibri" w:hAnsi="Calibri"/>
                <w:sz w:val="20"/>
              </w:rPr>
              <w:t xml:space="preserve">Tasa de política monetaria de la Reserva Federal (FED)</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jc w:val="left"/>
            </w:pPr>
            <w:r>
              <w:rPr>
                <w:rFonts w:ascii="Calibri" w:hAnsi="Calibri"/>
                <w:sz w:val="20"/>
              </w:rPr>
              <w:t xml:space="preserve">Promedio trimestral; tasa sombra en el límite cero; cambios de serie en 2009T1, 2016T1, 2020T2 y 2022T1 (sección 5.4)</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Índice VIX de la</w:t>
            </w:r>
            <w:r>
              <w:rPr>
                <w:rFonts w:ascii="Calibri" w:hAnsi="Calibri"/>
                <w:sz w:val="20"/>
              </w:rPr>
              <w:t xml:space="preserve"> </w:t>
            </w:r>
            <w:r>
              <w:rPr>
                <w:iCs/>
                <w:rFonts w:ascii="Calibri" w:hAnsi="Calibri"/>
                <w:i/>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jc w:val="lef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72"/>
    <w:bookmarkStart w:id="76"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Cs/>
          <w:i/>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 Se construye para 1996-2025, pero la extensión se estima desde 2002: hasta 2001 el BCRA operó con la autonomía formal de la Carta Orgánica de 1992 y bajo la Convertibilidad, con límites estrictos a la asistencia al Tesoro, y el criterio del FMI para consolidar al banco central con el gobierno es precisamente que lo financie o realice actividades cuasifiscales (sección 2.9). Antes de 2002 la consolidación no tiene fundamento en ese criterio. Por eso la extensión usa una muestra más corta que la especificación principal (sección 7.6). Aunque la serie se llama deuda consolidada con el BCRA, solo consolida al Tesoro con el BCRA y no descuenta la deuda del Tesoro en poder del FGS, de modo que no equivale a la deuda consolidada del FMI (sección 5.6):</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74" name="Picture"/>
            <a:graphic>
              <a:graphicData uri="http://schemas.openxmlformats.org/drawingml/2006/picture">
                <pic:pic>
                  <pic:nvPicPr>
                    <pic:cNvPr descr="../tesis/figuras/fig5_1_deuda_1996_2025.png" id="75" name="Picture"/>
                    <pic:cNvPicPr>
                      <a:picLocks noChangeArrowheads="1" noChangeAspect="1"/>
                    </pic:cNvPicPr>
                  </pic:nvPicPr>
                  <pic:blipFill>
                    <a:blip r:embed="rId7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76"/>
    <w:bookmarkStart w:id="77"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A.10).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77"/>
    <w:bookmarkStart w:id="84" w:name="variables-financieras-y-externas"/>
    <w:p>
      <w:pPr>
        <w:pStyle w:val="Heading2"/>
      </w:pPr>
      <w:r>
        <w:t xml:space="preserve">5.4 Variables financieras y externas</w:t>
      </w:r>
    </w:p>
    <w:p>
      <w:pPr>
        <w:pStyle w:val="FirstParagraph"/>
      </w:pPr>
      <w:r>
        <w:t xml:space="preserve">El EMBI mide la diferencia de rendimiento (</w:t>
      </w:r>
      <w:r>
        <w:rPr>
          <w:iCs/>
          <w:i/>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Cs/>
          <w:b/>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Cs/>
          <w:b/>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no entran en la estimación, que empieza en 1998T2; los usa la variante a la manera del FMI, cuyos impulsores anuales empiezan en 1997.</w:t>
      </w:r>
    </w:p>
    <w:p>
      <w:pPr>
        <w:pStyle w:val="BodyText"/>
      </w:pPr>
      <w:r>
        <w:rPr>
          <w:bCs/>
          <w:b/>
        </w:rPr>
        <w:t xml:space="preserve">Los resultados no dependen de los empalmes.</w:t>
      </w:r>
      <w:r>
        <w:t xml:space="preserve"> </w:t>
      </w:r>
      <w:r>
        <w:t xml:space="preserve">Con datos desde 1999, que solo usan el EMBI observado, la probabilidad de no estabilización de la deuda federal bruta en 2031, con la métrica anual, es de 29,5% [22,5; 36,7], contra 27,7% [20,6; 34,7] con la ventana completa, y las conclusiones sobre la condición (i) de H1a y sobre el efecto de la FED en la probabilidad no cambian (Apéndice, sección A.10).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La serie cambia de tramo cuatro veces: entra al límite cero en 2009T1 y 2020T2 y sale de él en 2016T1 y 2022T1. En cada una de esas transiciones la variación se calcula con la tasa efectiva en ambos trimestres, para no confundir el cambio de serie con un cambio de política; sin esa corrección, la variación de 2009T1 saldría de la diferencia entre una tasa sombra y una efectiva. Dentro de cada tramo se usa la propia serie. Su desvío estándar en la muestra, 0,501 puntos, es el tamaño del primer escenario de la FED (sección 4.6). Las Figuras 5.2 y 5.3 muestran las variables endógenas y las exógenas.</w:t>
      </w:r>
    </w:p>
    <w:p>
      <w:pPr>
        <w:pStyle w:val="CaptionedFigure"/>
      </w:pPr>
      <w:r>
        <w:drawing>
          <wp:inline>
            <wp:extent cx="5334000" cy="41148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79" name="Picture"/>
            <a:graphic>
              <a:graphicData uri="http://schemas.openxmlformats.org/drawingml/2006/picture">
                <pic:pic>
                  <pic:nvPicPr>
                    <pic:cNvPr descr="../tesis/figuras/fig5_2_variables_endogenas.png" id="80" name="Picture"/>
                    <pic:cNvPicPr>
                      <a:picLocks noChangeArrowheads="1" noChangeAspect="1"/>
                    </pic:cNvPicPr>
                  </pic:nvPicPr>
                  <pic:blipFill>
                    <a:blip r:embed="rId78"/>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82" name="Picture"/>
            <a:graphic>
              <a:graphicData uri="http://schemas.openxmlformats.org/drawingml/2006/picture">
                <pic:pic>
                  <pic:nvPicPr>
                    <pic:cNvPr descr="../tesis/figuras/fig5_3_fed_y_vix.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84"/>
    <w:bookmarkStart w:id="86" w:name="contraste-con-el-fmi"/>
    <w:p>
      <w:pPr>
        <w:pStyle w:val="Heading2"/>
      </w:pPr>
      <w:r>
        <w:t xml:space="preserve">5.5 Contraste con el FMI</w:t>
      </w:r>
    </w:p>
    <w:p>
      <w:pPr>
        <w:pStyle w:val="FirstParagraph"/>
      </w:pPr>
      <w:r>
        <w:rPr>
          <w:bCs/>
          <w:b/>
        </w:rPr>
        <w:t xml:space="preserve">Tabla 5.2. Deuda pública: esta tesis y FMI (% del PIB,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Concepto</w:t>
            </w:r>
          </w:p>
        </w:tc>
        <w:tc>
          <w:tcPr/>
          <w:p>
            <w:pPr>
              <w:pStyle w:val="Compact"/>
              <w:jc w:val="left"/>
            </w:pPr>
            <w:r>
              <w:rPr>
                <w:rFonts w:ascii="Calibri" w:hAnsi="Calibri"/>
                <w:sz w:val="20"/>
              </w:rPr>
              <w:t xml:space="preserve">2023, tesis</w:t>
            </w:r>
          </w:p>
        </w:tc>
        <w:tc>
          <w:tcPr/>
          <w:p>
            <w:pPr>
              <w:pStyle w:val="Compact"/>
              <w:jc w:val="left"/>
            </w:pPr>
            <w:r>
              <w:rPr>
                <w:rFonts w:ascii="Calibri" w:hAnsi="Calibri"/>
                <w:sz w:val="20"/>
              </w:rPr>
              <w:t xml:space="preserve">2023, FMI</w:t>
            </w:r>
          </w:p>
        </w:tc>
        <w:tc>
          <w:tcPr/>
          <w:p>
            <w:pPr>
              <w:pStyle w:val="Compact"/>
              <w:jc w:val="left"/>
            </w:pPr>
            <w:r>
              <w:rPr>
                <w:rFonts w:ascii="Calibri" w:hAnsi="Calibri"/>
                <w:sz w:val="20"/>
              </w:rPr>
              <w:t xml:space="preserve">2024, tesis</w:t>
            </w:r>
          </w:p>
        </w:tc>
        <w:tc>
          <w:tcPr/>
          <w:p>
            <w:pPr>
              <w:pStyle w:val="Compact"/>
              <w:jc w:val="left"/>
            </w:pPr>
            <w:r>
              <w:rPr>
                <w:rFonts w:ascii="Calibri" w:hAnsi="Calibri"/>
                <w:sz w:val="20"/>
              </w:rPr>
              <w:t xml:space="preserve">2024, FMI</w:t>
            </w:r>
          </w:p>
        </w:tc>
        <w:tc>
          <w:tcPr/>
          <w:p>
            <w:pPr>
              <w:pStyle w:val="Compact"/>
              <w:jc w:val="left"/>
            </w:pPr>
            <w:r>
              <w:rPr>
                <w:rFonts w:ascii="Calibri" w:hAnsi="Calibri"/>
                <w:sz w:val="20"/>
              </w:rPr>
              <w:t xml:space="preserve">2025, tesis</w:t>
            </w:r>
          </w:p>
        </w:tc>
        <w:tc>
          <w:tcPr/>
          <w:p>
            <w:pPr>
              <w:pStyle w:val="Compact"/>
              <w:jc w:val="left"/>
            </w:pPr>
            <w:r>
              <w:rPr>
                <w:rFonts w:ascii="Calibri" w:hAnsi="Calibri"/>
                <w:sz w:val="20"/>
              </w:rPr>
              <w:t xml:space="preserve">2025, FMI</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153,5</w:t>
            </w:r>
          </w:p>
        </w:tc>
        <w:tc>
          <w:tcPr/>
          <w:p>
            <w:pPr>
              <w:pStyle w:val="Compact"/>
              <w:jc w:val="left"/>
            </w:pPr>
            <w:r>
              <w:rPr>
                <w:rFonts w:ascii="Calibri" w:hAnsi="Calibri"/>
                <w:sz w:val="20"/>
              </w:rPr>
              <w:t xml:space="preserve">154,6</w:t>
            </w:r>
          </w:p>
        </w:tc>
        <w:tc>
          <w:tcPr/>
          <w:p>
            <w:pPr>
              <w:pStyle w:val="Compact"/>
              <w:jc w:val="left"/>
            </w:pPr>
            <w:r>
              <w:rPr>
                <w:rFonts w:ascii="Calibri" w:hAnsi="Calibri"/>
                <w:sz w:val="20"/>
              </w:rPr>
              <w:t xml:space="preserve">82,1</w:t>
            </w:r>
          </w:p>
        </w:tc>
        <w:tc>
          <w:tcPr/>
          <w:p>
            <w:pPr>
              <w:pStyle w:val="Compact"/>
              <w:jc w:val="left"/>
            </w:pPr>
            <w:r>
              <w:rPr>
                <w:rFonts w:ascii="Calibri" w:hAnsi="Calibri"/>
                <w:sz w:val="20"/>
              </w:rPr>
              <w:t xml:space="preserve">84,7</w:t>
            </w:r>
          </w:p>
        </w:tc>
        <w:tc>
          <w:tcPr/>
          <w:p>
            <w:pPr>
              <w:pStyle w:val="Compact"/>
              <w:jc w:val="left"/>
            </w:pPr>
            <w:r>
              <w:rPr>
                <w:rFonts w:ascii="Calibri" w:hAnsi="Calibri"/>
                <w:sz w:val="20"/>
              </w:rPr>
              <w:t xml:space="preserve">77,7</w:t>
            </w:r>
          </w:p>
        </w:tc>
        <w:tc>
          <w:tcPr/>
          <w:p>
            <w:pPr>
              <w:pStyle w:val="Compact"/>
              <w:jc w:val="left"/>
            </w:pPr>
            <w:r>
              <w:rPr>
                <w:rFonts w:ascii="Calibri" w:hAnsi="Calibri"/>
                <w:sz w:val="20"/>
              </w:rPr>
              <w:t xml:space="preserve">80,3</w:t>
            </w:r>
          </w:p>
        </w:tc>
      </w:tr>
      <w:tr>
        <w:tc>
          <w:tcPr/>
          <w:p>
            <w:pPr>
              <w:pStyle w:val="Compact"/>
              <w:jc w:val="left"/>
            </w:pPr>
            <w:r>
              <w:rPr>
                <w:rFonts w:ascii="Calibri" w:hAnsi="Calibri"/>
                <w:sz w:val="20"/>
              </w:rPr>
              <w:t xml:space="preserve">Deuda del Tesoro en poder del sector público</w:t>
            </w:r>
          </w:p>
        </w:tc>
        <w:tc>
          <w:tcPr/>
          <w:p>
            <w:pPr>
              <w:pStyle w:val="Compact"/>
              <w:jc w:val="left"/>
            </w:pPr>
            <w:r>
              <w:rPr>
                <w:rFonts w:ascii="Calibri" w:hAnsi="Calibri"/>
                <w:sz w:val="20"/>
              </w:rPr>
              <w:t xml:space="preserve">39,4 (solo BCRA)</w:t>
            </w:r>
          </w:p>
        </w:tc>
        <w:tc>
          <w:tcPr/>
          <w:p>
            <w:pPr>
              <w:pStyle w:val="Compact"/>
              <w:jc w:val="left"/>
            </w:pPr>
            <w:r>
              <w:rPr>
                <w:rFonts w:ascii="Calibri" w:hAnsi="Calibri"/>
                <w:sz w:val="20"/>
              </w:rPr>
              <w:t xml:space="preserve">62,1 (BCRA y FGS)</w:t>
            </w:r>
          </w:p>
        </w:tc>
        <w:tc>
          <w:tcPr/>
          <w:p>
            <w:pPr>
              <w:pStyle w:val="Compact"/>
              <w:jc w:val="left"/>
            </w:pPr>
            <w:r>
              <w:rPr>
                <w:rFonts w:ascii="Calibri" w:hAnsi="Calibri"/>
                <w:sz w:val="20"/>
              </w:rPr>
              <w:t xml:space="preserve">20,4 (solo BCRA)</w:t>
            </w:r>
          </w:p>
        </w:tc>
        <w:tc>
          <w:tcPr/>
          <w:p>
            <w:pPr>
              <w:pStyle w:val="Compact"/>
              <w:jc w:val="left"/>
            </w:pPr>
            <w:r>
              <w:rPr>
                <w:rFonts w:ascii="Calibri" w:hAnsi="Calibri"/>
                <w:sz w:val="20"/>
              </w:rPr>
              <w:t xml:space="preserve">33,7 (BCRA y FGS)</w:t>
            </w:r>
          </w:p>
        </w:tc>
        <w:tc>
          <w:tcPr/>
          <w:p>
            <w:pPr>
              <w:pStyle w:val="Compact"/>
              <w:jc w:val="left"/>
            </w:pPr>
            <w:r>
              <w:rPr>
                <w:rFonts w:ascii="Calibri" w:hAnsi="Calibri"/>
                <w:sz w:val="20"/>
              </w:rPr>
              <w:t xml:space="preserve">17,2 (solo BCRA)</w:t>
            </w:r>
          </w:p>
        </w:tc>
        <w:tc>
          <w:tcPr/>
          <w:p>
            <w:pPr>
              <w:pStyle w:val="Compact"/>
              <w:jc w:val="left"/>
            </w:pPr>
            <w:r>
              <w:rPr>
                <w:rFonts w:ascii="Calibri" w:hAnsi="Calibri"/>
                <w:sz w:val="20"/>
              </w:rPr>
              <w:t xml:space="preserve">31,4 (BCRA y FGS)</w:t>
            </w:r>
          </w:p>
        </w:tc>
      </w:tr>
      <w:tr>
        <w:tc>
          <w:tcPr/>
          <w:p>
            <w:pPr>
              <w:pStyle w:val="Compact"/>
              <w:jc w:val="left"/>
            </w:pPr>
            <w:r>
              <w:rPr>
                <w:rFonts w:ascii="Calibri" w:hAnsi="Calibri"/>
                <w:sz w:val="20"/>
              </w:rPr>
              <w:t xml:space="preserve">Pasivos del BCRA</w:t>
            </w:r>
          </w:p>
        </w:tc>
        <w:tc>
          <w:tcPr/>
          <w:p>
            <w:pPr>
              <w:pStyle w:val="Compact"/>
              <w:jc w:val="left"/>
            </w:pPr>
            <w:r>
              <w:rPr>
                <w:rFonts w:ascii="Calibri" w:hAnsi="Calibri"/>
                <w:sz w:val="20"/>
              </w:rPr>
              <w:t xml:space="preserve">14,6</w:t>
            </w:r>
          </w:p>
        </w:tc>
        <w:tc>
          <w:tcPr/>
          <w:p>
            <w:pPr>
              <w:pStyle w:val="Compact"/>
              <w:jc w:val="left"/>
            </w:pPr>
            <w:r>
              <w:rPr>
                <w:rFonts w:ascii="Calibri" w:hAnsi="Calibri"/>
                <w:sz w:val="20"/>
              </w:rPr>
              <w:t xml:space="preserve">19,2</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2,6</w:t>
            </w:r>
          </w:p>
        </w:tc>
        <w:tc>
          <w:tcPr/>
          <w:p>
            <w:pPr>
              <w:pStyle w:val="Compact"/>
              <w:jc w:val="left"/>
            </w:pPr>
            <w:r>
              <w:rPr>
                <w:rFonts w:ascii="Calibri" w:hAnsi="Calibri"/>
                <w:sz w:val="20"/>
              </w:rPr>
              <w:t xml:space="preserve">1,3</w:t>
            </w:r>
          </w:p>
        </w:tc>
        <w:tc>
          <w:tcPr/>
          <w:p>
            <w:pPr>
              <w:pStyle w:val="Compact"/>
              <w:jc w:val="left"/>
            </w:pPr>
            <w:r>
              <w:rPr>
                <w:rFonts w:ascii="Calibri" w:hAnsi="Calibri"/>
                <w:sz w:val="20"/>
              </w:rPr>
              <w:t xml:space="preserve">3,3</w:t>
            </w:r>
          </w:p>
        </w:tc>
      </w:tr>
      <w:tr>
        <w:tc>
          <w:tcPr/>
          <w:p>
            <w:pPr>
              <w:pStyle w:val="Compact"/>
              <w:jc w:val="left"/>
            </w:pPr>
            <w:r>
              <w:rPr>
                <w:rFonts w:ascii="Calibri" w:hAnsi="Calibri"/>
                <w:sz w:val="20"/>
              </w:rPr>
              <w:t xml:space="preserve">Depósitos del Tesoro en el BCRA</w:t>
            </w:r>
          </w:p>
        </w:tc>
        <w:tc>
          <w:tcPr/>
          <w:p>
            <w:pPr>
              <w:pStyle w:val="Compact"/>
              <w:jc w:val="left"/>
            </w:pPr>
            <w:r>
              <w:rPr>
                <w:rFonts w:ascii="Calibri" w:hAnsi="Calibri"/>
                <w:sz w:val="20"/>
              </w:rPr>
              <w:t xml:space="preserve">0,5</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0,8</w:t>
            </w:r>
          </w:p>
        </w:tc>
        <w:tc>
          <w:tcPr/>
          <w:p>
            <w:pPr>
              <w:pStyle w:val="Compact"/>
              <w:jc w:val="left"/>
            </w:pPr>
            <w:r>
              <w:rPr>
                <w:rFonts w:ascii="Calibri" w:hAnsi="Calibri"/>
                <w:sz w:val="20"/>
              </w:rPr>
              <w:t xml:space="preserve">no se restan</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128,2</w:t>
            </w:r>
          </w:p>
        </w:tc>
        <w:tc>
          <w:tcPr/>
          <w:p>
            <w:pPr>
              <w:pStyle w:val="Compact"/>
              <w:jc w:val="left"/>
            </w:pPr>
            <w:r>
              <w:rPr>
                <w:rFonts w:ascii="Calibri" w:hAnsi="Calibri"/>
                <w:sz w:val="20"/>
              </w:rPr>
              <w:t xml:space="preserve">111,1</w:t>
            </w:r>
          </w:p>
        </w:tc>
        <w:tc>
          <w:tcPr/>
          <w:p>
            <w:pPr>
              <w:pStyle w:val="Compact"/>
              <w:jc w:val="left"/>
            </w:pPr>
            <w:r>
              <w:rPr>
                <w:rFonts w:ascii="Calibri" w:hAnsi="Calibri"/>
                <w:sz w:val="20"/>
              </w:rPr>
              <w:t xml:space="preserve">61,1</w:t>
            </w:r>
          </w:p>
        </w:tc>
        <w:tc>
          <w:tcPr/>
          <w:p>
            <w:pPr>
              <w:pStyle w:val="Compact"/>
              <w:jc w:val="left"/>
            </w:pPr>
            <w:r>
              <w:rPr>
                <w:rFonts w:ascii="Calibri" w:hAnsi="Calibri"/>
                <w:sz w:val="20"/>
              </w:rPr>
              <w:t xml:space="preserve">53,6</w:t>
            </w:r>
          </w:p>
        </w:tc>
        <w:tc>
          <w:tcPr/>
          <w:p>
            <w:pPr>
              <w:pStyle w:val="Compact"/>
              <w:jc w:val="left"/>
            </w:pPr>
            <w:r>
              <w:rPr>
                <w:rFonts w:ascii="Calibri" w:hAnsi="Calibri"/>
                <w:sz w:val="20"/>
              </w:rPr>
              <w:t xml:space="preserve">61,0</w:t>
            </w:r>
          </w:p>
        </w:tc>
        <w:tc>
          <w:tcPr/>
          <w:p>
            <w:pPr>
              <w:pStyle w:val="Compact"/>
              <w:jc w:val="lef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Cs/>
          <w:i/>
        </w:rPr>
        <w:t xml:space="preserve">swap</w:t>
      </w:r>
      <w:r>
        <w:rPr>
          <w:rStyle w:val="FootnoteReference"/>
        </w:rPr>
        <w:footnoteReference w:id="85"/>
      </w:r>
      <w:r>
        <w:t xml:space="preserve"> </w:t>
      </w:r>
      <w:r>
        <w:t xml:space="preserve">con el Banco Popular de China, que no tiene serie pública (0,9% del PIB en 2024 y en 2025 según el FMI).</w:t>
      </w:r>
    </w:p>
    <w:bookmarkEnd w:id="86"/>
    <w:bookmarkStart w:id="8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p>
      <w:pPr>
        <w:pStyle w:val="BodyText"/>
      </w:pPr>
      <w:r>
        <w:t xml:space="preserve">La muestra de estimación empieza en 1998T2, de modo que incluye seis años de la Convertibilidad y su crisis, y para esos años varias series no son observaciones directas. La deuda federal bruta trimestral del MECON empieza en 1998T1; los seis trimestres que no son de diciembre en 1996-1997 se interpolan linealmente en dólares, y solo intervienen en la detección de quiebres, no en la estimación. El PIB real de 1996-2003 proviene de la base 1993 del INDEC, empalmada a la base 2004 con un coeficiente de enlace (k = 1,751): el nivel anterior a 2004 depende de ese año de enlace, pero las tasas de crecimiento, que son lo que entra al modelo, no. El EMBI de 1996T1-1998T3 y el TCRM de 1996 se reconstruyen con variables puente (sección 5.4), y la estimación con datos desde 1999, sin ellos, se informa en la Tabla 6.6. El resultado primario es mensual y no se interpola.</w:t>
      </w:r>
    </w:p>
    <w:bookmarkEnd w:id="87"/>
    <w:bookmarkEnd w:id="88"/>
    <w:bookmarkStart w:id="110"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Cs/>
          <w:i/>
        </w:rPr>
        <w:t xml:space="preserve">bootstrap</w:t>
      </w:r>
      <w:r>
        <w:t xml:space="preserve"> </w:t>
      </w:r>
      <w:r>
        <w:t xml:space="preserve">descripto en la sección 4.5. Los</w:t>
      </w:r>
      <w:r>
        <w:t xml:space="preserve"> </w:t>
      </w:r>
      <w:r>
        <w:rPr>
          <w:iCs/>
          <w:i/>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92" w:name="el-svarx-estimado"/>
    <w:p>
      <w:pPr>
        <w:pStyle w:val="Heading2"/>
      </w:pPr>
      <w:r>
        <w:t xml:space="preserve">6.1 El SVARX estimado</w:t>
      </w:r>
    </w:p>
    <w:p>
      <w:pPr>
        <w:pStyle w:val="FirstParagraph"/>
      </w:pPr>
      <w:r>
        <w:rPr>
          <w:bCs/>
          <w:b/>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tres quiebres en la deuda federal bruta, en 2001T4, 2006T2 y 2018T1; el de 2001T4 coincide con el inicio del gobierno de Duhalde y lo reemplazan las binarias presidenciales (Apéndice, sección A.3), de modo que el modelo conserva los de 2006T2 y 2018T1. Zivot y Andrews (1992) ubican uno en 2005T1, sin rechazar la raíz unitaria.</w:t>
      </w:r>
    </w:p>
    <w:p>
      <w:pPr>
        <w:pStyle w:val="BodyText"/>
      </w:pPr>
      <w:r>
        <w:rPr>
          <w:bCs/>
          <w:b/>
        </w:rPr>
        <w:t xml:space="preserve">Rezagos y diagnósticos.</w:t>
      </w:r>
      <w:r>
        <w:t xml:space="preserve"> </w:t>
      </w:r>
      <w:r>
        <w:t xml:space="preserve">Con dos rezagos (sección 4.5), el sistema es estable: el autovalor máximo es 0,776, y su mediana entre las réplicas del</w:t>
      </w:r>
      <w:r>
        <w:t xml:space="preserve"> </w:t>
      </w:r>
      <w:r>
        <w:rPr>
          <w:iCs/>
          <w:i/>
        </w:rPr>
        <w:t xml:space="preserve">bootstrap</w:t>
      </w:r>
      <w:r>
        <w:t xml:space="preserve">, 0,773. El criterio de Schwarz elige un rezago, pero con ese orden el Portmanteau rechaza la ausencia de autocorrelación; ningún orden estable que lo pase existe en esta muestra, y se adopta el de mayor p-valor entre los estables que no están por debajo del de Schwarz (Portmanteau, p = 0,031; sección 4.5 y Apéndice, sección A.4). Esa autocorrelación residual leve es una limitación (sección 7.6). Los residuos no muestran heterocedasticidad condicional al 5% en tres de las cuatro ecuaciones (ARCH-LM; Engle, 1982); en la del TCRM sí (p &lt; 0,001). Rechazan la normalidad multivariada (Jarque y Bera, 1987; p &lt; 0,001), lo que justifica remuestrear</w:t>
      </w:r>
      <w:r>
        <w:t xml:space="preserve"> </w:t>
      </w:r>
      <w:r>
        <w:rPr>
          <w:iCs/>
          <w:i/>
        </w:rPr>
        <w:t xml:space="preserve">shocks</w:t>
      </w:r>
      <w:r>
        <w:t xml:space="preserve"> </w:t>
      </w:r>
      <w:r>
        <w:t xml:space="preserve">históricos (Apéndice, sección A.5).</w:t>
      </w:r>
    </w:p>
    <w:p>
      <w:pPr>
        <w:pStyle w:val="BodyText"/>
      </w:pPr>
      <w:r>
        <w:rPr>
          <w:bCs/>
          <w:b/>
        </w:rPr>
        <w:t xml:space="preserve">Binarias presidenciales.</w:t>
      </w:r>
      <w:r>
        <w:t xml:space="preserve"> </w:t>
      </w:r>
      <w:r>
        <w:t xml:space="preserve">Las binarias de mandato entran como exógenas (sección 4.3). Los contrastes de Wald las rechazan conjuntamente en las ecuaciones del resultado primario (p = 0,014), del EMBI (p &lt; 0,001) y del TCRM (p = 0,005), no en la del crecimiento (p = 0,127), y la razón de verosimilitud del sistema completo las rechaza (p &lt; 0,001; Apéndice, sección A.3). Pesan en los resultados: modifican varias cifras de las secciones 6.3 y 6.5, por lo que la variante sin ellas se informa en la Tabla 6.6.</w:t>
      </w:r>
    </w:p>
    <w:p>
      <w:pPr>
        <w:pStyle w:val="BodyText"/>
      </w:pPr>
      <w:r>
        <w:rPr>
          <w:bCs/>
          <w:b/>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A.8). Los dos son positivos, con intervalos que excluyen el cero, en los dos perímetros.</w:t>
      </w:r>
    </w:p>
    <w:p>
      <w:pPr>
        <w:pStyle w:val="BodyText"/>
      </w:pPr>
      <w:r>
        <w:rPr>
          <w:bCs/>
          <w:b/>
        </w:rPr>
        <w:t xml:space="preserve">Tabla 6.1. Reacción fiscal según el perímetro de la deuda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Perímetro</w:t>
            </w:r>
          </w:p>
        </w:tc>
        <w:tc>
          <w:tcPr/>
          <w:p>
            <w:pPr>
              <w:pStyle w:val="Compact"/>
              <w:jc w:val="left"/>
            </w:pPr>
            <w:r>
              <w:rPr>
                <w:rFonts w:ascii="Calibri" w:hAnsi="Calibri"/>
                <w:sz w:val="20"/>
              </w:rPr>
              <w:t xml:space="preserve">Impacto</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Largo plazo</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Deuda federal bruta (principal)</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[0,0231; 0,0835]</w:t>
            </w:r>
          </w:p>
        </w:tc>
        <w:tc>
          <w:tcPr/>
          <w:p>
            <w:pPr>
              <w:pStyle w:val="Compact"/>
              <w:jc w:val="left"/>
            </w:pPr>
            <w:r>
              <w:rPr>
                <w:rFonts w:ascii="Calibri" w:hAnsi="Calibri"/>
                <w:sz w:val="20"/>
              </w:rPr>
              <w:t xml:space="preserve">0,079</w:t>
            </w:r>
          </w:p>
        </w:tc>
        <w:tc>
          <w:tcPr/>
          <w:p>
            <w:pPr>
              <w:pStyle w:val="Compact"/>
              <w:jc w:val="left"/>
            </w:pPr>
            <w:r>
              <w:rPr>
                <w:rFonts w:ascii="Calibri" w:hAnsi="Calibri"/>
                <w:sz w:val="20"/>
              </w:rPr>
              <w:t xml:space="preserve">[0,062; 0,147]</w:t>
            </w:r>
          </w:p>
        </w:tc>
      </w:tr>
      <w:tr>
        <w:tc>
          <w:tcPr/>
          <w:p>
            <w:pPr>
              <w:pStyle w:val="Compact"/>
              <w:jc w:val="left"/>
            </w:pPr>
            <w:r>
              <w:rPr>
                <w:rFonts w:ascii="Calibri" w:hAnsi="Calibri"/>
                <w:sz w:val="20"/>
              </w:rPr>
              <w:t xml:space="preserve">Deuda consolidada con el BCRA (extensión)</w:t>
            </w:r>
          </w:p>
        </w:tc>
        <w:tc>
          <w:tcPr/>
          <w:p>
            <w:pPr>
              <w:pStyle w:val="Compact"/>
              <w:jc w:val="left"/>
            </w:pPr>
            <w:r>
              <w:rPr>
                <w:rFonts w:ascii="Calibri" w:hAnsi="Calibri"/>
                <w:sz w:val="20"/>
              </w:rPr>
              <w:t xml:space="preserve">0,0481</w:t>
            </w:r>
          </w:p>
        </w:tc>
        <w:tc>
          <w:tcPr/>
          <w:p>
            <w:pPr>
              <w:pStyle w:val="Compact"/>
              <w:jc w:val="left"/>
            </w:pPr>
            <w:r>
              <w:rPr>
                <w:rFonts w:ascii="Calibri" w:hAnsi="Calibri"/>
                <w:sz w:val="20"/>
              </w:rPr>
              <w:t xml:space="preserve">[0,0106; 0,0887]</w:t>
            </w:r>
          </w:p>
        </w:tc>
        <w:tc>
          <w:tcPr/>
          <w:p>
            <w:pPr>
              <w:pStyle w:val="Compact"/>
              <w:jc w:val="left"/>
            </w:pPr>
            <w:r>
              <w:rPr>
                <w:rFonts w:ascii="Calibri" w:hAnsi="Calibri"/>
                <w:sz w:val="20"/>
              </w:rPr>
              <w:t xml:space="preserve">0,062</w:t>
            </w:r>
          </w:p>
        </w:tc>
        <w:tc>
          <w:tcPr/>
          <w:p>
            <w:pPr>
              <w:pStyle w:val="Compact"/>
              <w:jc w:val="left"/>
            </w:pPr>
            <w:r>
              <w:rPr>
                <w:rFonts w:ascii="Calibri" w:hAnsi="Calibri"/>
                <w:sz w:val="20"/>
              </w:rPr>
              <w:t xml:space="preserve">[0,019; 0,117]</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Cs/>
          <w:i/>
        </w:rPr>
        <w:t xml:space="preserve">shocks</w:t>
      </w:r>
      <w:r>
        <w:t xml:space="preserve"> </w:t>
      </w:r>
      <w:r>
        <w:t xml:space="preserve">que enfrenta. El coeficiente de largo plazo de la deuda federal, 0,079, es del orden de los 0,05 que se asocian a Bohn (1998) y, en el sentido de la sección 3.2, estabilizaría la deuda solo si el diferencial entre la tasa efectiva y el crecimiento, (r − g)/(1 + g), se mantuviera por debajo de unos ocho puntos; el límite inferior del intervalo, 0,062, lo baja a seis. Como los años de estrés de la historia argentina superan esos valores, el coeficiente positivo no equivale a suficiencia, que es lo que H1a pone a prueba.</w:t>
      </w:r>
    </w:p>
    <w:p>
      <w:pPr>
        <w:pStyle w:val="BodyText"/>
      </w:pPr>
      <w:r>
        <w:rPr>
          <w:bCs/>
          <w:b/>
        </w:rPr>
        <w:t xml:space="preserve">Retroalimentación de la deuda.</w:t>
      </w:r>
      <w:r>
        <w:t xml:space="preserve"> </w:t>
      </w:r>
      <w:r>
        <w:t xml:space="preserve">La deuda rezagada entra en las cuatro ecuaciones del sistema (Favero y Giavazzi, 2007). Fuera de la ecuación fiscal, el efecto sobre el riesgo país, medido por el diferencial del índice EMBI de J.P. Morgan para Argentina (EMBI), es distinguible del cero: la estimación puntual es de unos 35 puntos básicos por punto de deuda, con un intervalo de 90% de [13,9; 47,6] (36,7 [13,1; 52,4] en la deuda consolidada). Sin las binarias presidenciales el intervalo incluye el cero (15,3 [-5,3; 30,4]), de modo que el resultado depende de controlar por los mandatos y se lo trata como una estimación sujeta a esa especificación. El efecto sobre el crecimiento, 0,07 con un intervalo de [-0,001; 0,126], roza el cero y es de signo positivo, y con el tipo de cambio real multilateral (TCRM) no hay relación.</w:t>
      </w:r>
    </w:p>
    <w:p>
      <w:pPr>
        <w:pStyle w:val="BodyText"/>
      </w:pPr>
      <w:r>
        <w:rPr>
          <w:bCs/>
          <w:b/>
        </w:rPr>
        <w:t xml:space="preserve">Respuesta a la tasa de la FED.</w:t>
      </w:r>
      <w:r>
        <w:t xml:space="preserve"> </w:t>
      </w:r>
      <w:r>
        <w:t xml:space="preserve">Un aumento de un desvío estándar en la variación de la tasa de política monetaria de la Reserva Federal (FED), de 0,501 puntos, no produce respuestas sistemáticas de las variables domésticas (Figura 6.1). De las 84 respuestas estimadas (cuatro variables en 21 horizontes), 11 tienen un intervalo que excluye el cero: la del resultado primario en el impacto (+0,32) y de cinco a nueve trimestres después (negativas, de -0,05 a -0,11), las del EMBI a cuatro, cinco y seis trimestres (de +43 a +63 puntos básicos) y las del TCRM a dos y tres trimestres, con signo de apreciación real. Con intervalos de 90% y 84 respuestas, el azar produciría unas ocho exclusiones aunque la FED no tuviera efecto, así que 11 es poco más de lo esperable; el EMBI y el resultado primario muestran un patrón coherente en el tiempo (tasa más alta, mayor riesgo país algunos trimestres después), aunque ninguna respuesta aislada resiste una corrección por comparaciones múltiples. El modelo no distingue con claridad los efectos indirectos de la FED del ruido.</w:t>
      </w:r>
    </w:p>
    <w:p>
      <w:pPr>
        <w:pStyle w:val="CaptionedFigure"/>
      </w:pPr>
      <w:r>
        <w:drawing>
          <wp:inline>
            <wp:extent cx="5334000" cy="3505200"/>
            <wp:effectExtent b="0" l="0" r="0" t="0"/>
            <wp:docPr descr="Figura 6.1. Respuestas al impulso ante una suba de la tasa de la FED. Aumento de un desvío estándar (0,501 puntos porcentuales) en la variación trimestral de la tasa; deuda federal bruta, dos rezagos, parámetros de mínimos cuadrados e intervalos de 90% del bootstrap. Fuente: elaboración propia." title="" id="90" name="Picture"/>
            <a:graphic>
              <a:graphicData uri="http://schemas.openxmlformats.org/drawingml/2006/picture">
                <pic:pic>
                  <pic:nvPicPr>
                    <pic:cNvPr descr="../tesis/figuras/fig6_1_respuesta_fed.png" id="91" name="Picture"/>
                    <pic:cNvPicPr>
                      <a:picLocks noChangeArrowheads="1" noChangeAspect="1"/>
                    </pic:cNvPicPr>
                  </pic:nvPicPr>
                  <pic:blipFill>
                    <a:blip r:embed="rId89"/>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(0,501 puntos porcentuales) en la variación trimestral de la tasa; deuda federal bruta, dos rezagos, parámetros de mínimos cuadrados e intervalos de 90% del</w:t>
      </w:r>
      <w:r>
        <w:t xml:space="preserve"> </w:t>
      </w:r>
      <w:r>
        <w:rPr>
          <w:iCs/>
          <w:i/>
        </w:rPr>
        <w:t xml:space="preserve">bootstrap</w:t>
      </w:r>
      <w:r>
        <w:t xml:space="preserve">. Fuente: elaboración propia.</w:t>
      </w:r>
    </w:p>
    <w:bookmarkEnd w:id="92"/>
    <w:bookmarkStart w:id="9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52,9% en 2031 y a 41,4%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45,0%, por encima de la mediana, y el percentil 95 supera el punto de partida.</w:t>
      </w:r>
    </w:p>
    <w:p>
      <w:pPr>
        <w:pStyle w:val="BodyText"/>
      </w:pPr>
      <w:r>
        <w:rPr>
          <w:bCs/>
          <w:b/>
        </w:rPr>
        <w:t xml:space="preserve">Tabla 6.2. Deuda federal bruta simulada (% del PIB), percentiles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Año</w:t>
            </w:r>
          </w:p>
        </w:tc>
        <w:tc>
          <w:tcPr/>
          <w:p>
            <w:pPr>
              <w:pStyle w:val="Compact"/>
              <w:jc w:val="left"/>
            </w:pPr>
            <w:r>
              <w:rPr>
                <w:rFonts w:ascii="Calibri" w:hAnsi="Calibri"/>
                <w:sz w:val="20"/>
              </w:rPr>
              <w:t xml:space="preserve">p5</w:t>
            </w:r>
          </w:p>
        </w:tc>
        <w:tc>
          <w:tcPr/>
          <w:p>
            <w:pPr>
              <w:pStyle w:val="Compact"/>
              <w:jc w:val="left"/>
            </w:pPr>
            <w:r>
              <w:rPr>
                <w:rFonts w:ascii="Calibri" w:hAnsi="Calibri"/>
                <w:sz w:val="20"/>
              </w:rPr>
              <w:t xml:space="preserve">p25</w:t>
            </w:r>
          </w:p>
        </w:tc>
        <w:tc>
          <w:tcPr/>
          <w:p>
            <w:pPr>
              <w:pStyle w:val="Compact"/>
              <w:jc w:val="left"/>
            </w:pPr>
            <w:r>
              <w:rPr>
                <w:rFonts w:ascii="Calibri" w:hAnsi="Calibri"/>
                <w:sz w:val="20"/>
              </w:rPr>
              <w:t xml:space="preserve">Mediana</w:t>
            </w:r>
          </w:p>
        </w:tc>
        <w:tc>
          <w:tcPr/>
          <w:p>
            <w:pPr>
              <w:pStyle w:val="Compact"/>
              <w:jc w:val="left"/>
            </w:pPr>
            <w:r>
              <w:rPr>
                <w:rFonts w:ascii="Calibri" w:hAnsi="Calibri"/>
                <w:sz w:val="20"/>
              </w:rPr>
              <w:t xml:space="preserve">p75</w:t>
            </w:r>
          </w:p>
        </w:tc>
        <w:tc>
          <w:tcPr/>
          <w:p>
            <w:pPr>
              <w:pStyle w:val="Compact"/>
              <w:jc w:val="left"/>
            </w:pPr>
            <w:r>
              <w:rPr>
                <w:rFonts w:ascii="Calibri" w:hAnsi="Calibri"/>
                <w:sz w:val="20"/>
              </w:rPr>
              <w:t xml:space="preserve">p95</w:t>
            </w:r>
          </w:p>
        </w:tc>
      </w:tr>
      <w:tr>
        <w:tc>
          <w:tcPr/>
          <w:p>
            <w:pPr>
              <w:pStyle w:val="Compact"/>
              <w:jc w:val="left"/>
            </w:pPr>
            <w:r>
              <w:rPr>
                <w:rFonts w:ascii="Calibri" w:hAnsi="Calibri"/>
                <w:sz w:val="20"/>
              </w:rPr>
              <w:t xml:space="preserve">2026</w:t>
            </w:r>
          </w:p>
        </w:tc>
        <w:tc>
          <w:tcPr/>
          <w:p>
            <w:pPr>
              <w:pStyle w:val="Compact"/>
              <w:jc w:val="left"/>
            </w:pPr>
            <w:r>
              <w:rPr>
                <w:rFonts w:ascii="Calibri" w:hAnsi="Calibri"/>
                <w:sz w:val="20"/>
              </w:rPr>
              <w:t xml:space="preserve">67,2</w:t>
            </w:r>
          </w:p>
        </w:tc>
        <w:tc>
          <w:tcPr/>
          <w:p>
            <w:pPr>
              <w:pStyle w:val="Compact"/>
              <w:jc w:val="left"/>
            </w:pPr>
            <w:r>
              <w:rPr>
                <w:rFonts w:ascii="Calibri" w:hAnsi="Calibri"/>
                <w:sz w:val="20"/>
              </w:rPr>
              <w:t xml:space="preserve">70,3</w:t>
            </w:r>
          </w:p>
        </w:tc>
        <w:tc>
          <w:tcPr/>
          <w:p>
            <w:pPr>
              <w:pStyle w:val="Compact"/>
              <w:jc w:val="left"/>
            </w:pPr>
            <w:r>
              <w:rPr>
                <w:rFonts w:ascii="Calibri" w:hAnsi="Calibri"/>
                <w:sz w:val="20"/>
              </w:rPr>
              <w:t xml:space="preserve">72,5</w:t>
            </w:r>
          </w:p>
        </w:tc>
        <w:tc>
          <w:tcPr/>
          <w:p>
            <w:pPr>
              <w:pStyle w:val="Compact"/>
              <w:jc w:val="left"/>
            </w:pPr>
            <w:r>
              <w:rPr>
                <w:rFonts w:ascii="Calibri" w:hAnsi="Calibri"/>
                <w:sz w:val="20"/>
              </w:rPr>
              <w:t xml:space="preserve">74,9</w:t>
            </w:r>
          </w:p>
        </w:tc>
        <w:tc>
          <w:tcPr/>
          <w:p>
            <w:pPr>
              <w:pStyle w:val="Compact"/>
              <w:jc w:val="left"/>
            </w:pPr>
            <w:r>
              <w:rPr>
                <w:rFonts w:ascii="Calibri" w:hAnsi="Calibri"/>
                <w:sz w:val="20"/>
              </w:rPr>
              <w:t xml:space="preserve">87,7</w:t>
            </w:r>
          </w:p>
        </w:tc>
      </w:tr>
      <w:tr>
        <w:tc>
          <w:tcPr/>
          <w:p>
            <w:pPr>
              <w:pStyle w:val="Compact"/>
              <w:jc w:val="left"/>
            </w:pPr>
            <w:r>
              <w:rPr>
                <w:rFonts w:ascii="Calibri" w:hAnsi="Calibri"/>
                <w:sz w:val="20"/>
              </w:rPr>
              <w:t xml:space="preserve">2028</w:t>
            </w:r>
          </w:p>
        </w:tc>
        <w:tc>
          <w:tcPr/>
          <w:p>
            <w:pPr>
              <w:pStyle w:val="Compact"/>
              <w:jc w:val="left"/>
            </w:pPr>
            <w:r>
              <w:rPr>
                <w:rFonts w:ascii="Calibri" w:hAnsi="Calibri"/>
                <w:sz w:val="20"/>
              </w:rPr>
              <w:t xml:space="preserve">54,1</w:t>
            </w:r>
          </w:p>
        </w:tc>
        <w:tc>
          <w:tcPr/>
          <w:p>
            <w:pPr>
              <w:pStyle w:val="Compact"/>
              <w:jc w:val="left"/>
            </w:pPr>
            <w:r>
              <w:rPr>
                <w:rFonts w:ascii="Calibri" w:hAnsi="Calibri"/>
                <w:sz w:val="20"/>
              </w:rPr>
              <w:t xml:space="preserve">60,4</w:t>
            </w:r>
          </w:p>
        </w:tc>
        <w:tc>
          <w:tcPr/>
          <w:p>
            <w:pPr>
              <w:pStyle w:val="Compact"/>
              <w:jc w:val="left"/>
            </w:pPr>
            <w:r>
              <w:rPr>
                <w:rFonts w:ascii="Calibri" w:hAnsi="Calibri"/>
                <w:sz w:val="20"/>
              </w:rPr>
              <w:t xml:space="preserve">64,8</w:t>
            </w:r>
          </w:p>
        </w:tc>
        <w:tc>
          <w:tcPr/>
          <w:p>
            <w:pPr>
              <w:pStyle w:val="Compact"/>
              <w:jc w:val="left"/>
            </w:pPr>
            <w:r>
              <w:rPr>
                <w:rFonts w:ascii="Calibri" w:hAnsi="Calibri"/>
                <w:sz w:val="20"/>
              </w:rPr>
              <w:t xml:space="preserve">70,2</w:t>
            </w:r>
          </w:p>
        </w:tc>
        <w:tc>
          <w:tcPr/>
          <w:p>
            <w:pPr>
              <w:pStyle w:val="Compact"/>
              <w:jc w:val="left"/>
            </w:pPr>
            <w:r>
              <w:rPr>
                <w:rFonts w:ascii="Calibri" w:hAnsi="Calibri"/>
                <w:sz w:val="20"/>
              </w:rPr>
              <w:t xml:space="preserve">80,4</w:t>
            </w:r>
          </w:p>
        </w:tc>
      </w:tr>
      <w:tr>
        <w:tc>
          <w:tcPr/>
          <w:p>
            <w:pPr>
              <w:pStyle w:val="Compact"/>
              <w:jc w:val="left"/>
            </w:pPr>
            <w:r>
              <w:rPr>
                <w:rFonts w:ascii="Calibri" w:hAnsi="Calibri"/>
                <w:sz w:val="20"/>
              </w:rPr>
              <w:t xml:space="preserve">2031</w:t>
            </w:r>
          </w:p>
        </w:tc>
        <w:tc>
          <w:tcPr/>
          <w:p>
            <w:pPr>
              <w:pStyle w:val="Compact"/>
              <w:jc w:val="left"/>
            </w:pPr>
            <w:r>
              <w:rPr>
                <w:rFonts w:ascii="Calibri" w:hAnsi="Calibri"/>
                <w:sz w:val="20"/>
              </w:rPr>
              <w:t xml:space="preserve">36,0</w:t>
            </w:r>
          </w:p>
        </w:tc>
        <w:tc>
          <w:tcPr/>
          <w:p>
            <w:pPr>
              <w:pStyle w:val="Compact"/>
              <w:jc w:val="left"/>
            </w:pPr>
            <w:r>
              <w:rPr>
                <w:rFonts w:ascii="Calibri" w:hAnsi="Calibri"/>
                <w:sz w:val="20"/>
              </w:rPr>
              <w:t xml:space="preserve">45,7</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61,4</w:t>
            </w:r>
          </w:p>
        </w:tc>
        <w:tc>
          <w:tcPr/>
          <w:p>
            <w:pPr>
              <w:pStyle w:val="Compact"/>
              <w:jc w:val="left"/>
            </w:pPr>
            <w:r>
              <w:rPr>
                <w:rFonts w:ascii="Calibri" w:hAnsi="Calibri"/>
                <w:sz w:val="20"/>
              </w:rPr>
              <w:t xml:space="preserve">76,5</w:t>
            </w:r>
          </w:p>
        </w:tc>
      </w:tr>
      <w:tr>
        <w:tc>
          <w:tcPr/>
          <w:p>
            <w:pPr>
              <w:pStyle w:val="Compact"/>
              <w:jc w:val="left"/>
            </w:pPr>
            <w:r>
              <w:rPr>
                <w:rFonts w:ascii="Calibri" w:hAnsi="Calibri"/>
                <w:sz w:val="20"/>
              </w:rPr>
              <w:t xml:space="preserve">2033</w:t>
            </w:r>
          </w:p>
        </w:tc>
        <w:tc>
          <w:tcPr/>
          <w:p>
            <w:pPr>
              <w:pStyle w:val="Compact"/>
              <w:jc w:val="left"/>
            </w:pPr>
            <w:r>
              <w:rPr>
                <w:rFonts w:ascii="Calibri" w:hAnsi="Calibri"/>
                <w:sz w:val="20"/>
              </w:rPr>
              <w:t xml:space="preserve">26,7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47,4</w:t>
            </w:r>
          </w:p>
        </w:tc>
        <w:tc>
          <w:tcPr/>
          <w:p>
            <w:pPr>
              <w:pStyle w:val="Compact"/>
              <w:jc w:val="left"/>
            </w:pPr>
            <w:r>
              <w:rPr>
                <w:rFonts w:ascii="Calibri" w:hAnsi="Calibri"/>
                <w:sz w:val="20"/>
              </w:rPr>
              <w:t xml:space="preserve">58,6</w:t>
            </w:r>
          </w:p>
        </w:tc>
        <w:tc>
          <w:tcPr/>
          <w:p>
            <w:pPr>
              <w:pStyle w:val="Compact"/>
              <w:jc w:val="left"/>
            </w:pPr>
            <w:r>
              <w:rPr>
                <w:rFonts w:ascii="Calibri" w:hAnsi="Calibri"/>
                <w:sz w:val="20"/>
              </w:rPr>
              <w:t xml:space="preserve">78,9</w:t>
            </w:r>
          </w:p>
        </w:tc>
      </w:tr>
      <w:tr>
        <w:tc>
          <w:tcPr/>
          <w:p>
            <w:pPr>
              <w:pStyle w:val="Compact"/>
              <w:jc w:val="left"/>
            </w:pPr>
            <w:r>
              <w:rPr>
                <w:rFonts w:ascii="Calibri" w:hAnsi="Calibri"/>
                <w:sz w:val="20"/>
              </w:rPr>
              <w:t xml:space="preserve">2035</w:t>
            </w:r>
          </w:p>
        </w:tc>
        <w:tc>
          <w:tcPr/>
          <w:p>
            <w:pPr>
              <w:pStyle w:val="Compact"/>
              <w:jc w:val="left"/>
            </w:pPr>
            <w:r>
              <w:rPr>
                <w:rFonts w:ascii="Calibri" w:hAnsi="Calibri"/>
                <w:sz w:val="20"/>
              </w:rPr>
              <w:t xml:space="preserve">17,7</w:t>
            </w:r>
          </w:p>
        </w:tc>
        <w:tc>
          <w:tcPr/>
          <w:p>
            <w:pPr>
              <w:pStyle w:val="Compact"/>
              <w:jc w:val="left"/>
            </w:pPr>
            <w:r>
              <w:rPr>
                <w:rFonts w:ascii="Calibri" w:hAnsi="Calibri"/>
                <w:sz w:val="20"/>
              </w:rPr>
              <w:t xml:space="preserve">30,4</w:t>
            </w:r>
          </w:p>
        </w:tc>
        <w:tc>
          <w:tcPr/>
          <w:p>
            <w:pPr>
              <w:pStyle w:val="Compact"/>
              <w:jc w:val="left"/>
            </w:pPr>
            <w:r>
              <w:rPr>
                <w:rFonts w:ascii="Calibri" w:hAnsi="Calibri"/>
                <w:sz w:val="20"/>
              </w:rPr>
              <w:t xml:space="preserve">41,4</w:t>
            </w:r>
          </w:p>
        </w:tc>
        <w:tc>
          <w:tcPr/>
          <w:p>
            <w:pPr>
              <w:pStyle w:val="Compact"/>
              <w:jc w:val="left"/>
            </w:pPr>
            <w:r>
              <w:rPr>
                <w:rFonts w:ascii="Calibri" w:hAnsi="Calibri"/>
                <w:sz w:val="20"/>
              </w:rPr>
              <w:t xml:space="preserve">55,9</w:t>
            </w:r>
          </w:p>
        </w:tc>
        <w:tc>
          <w:tcPr/>
          <w:p>
            <w:pPr>
              <w:pStyle w:val="Compact"/>
              <w:jc w:val="left"/>
            </w:pPr>
            <w:r>
              <w:rPr>
                <w:rFonts w:ascii="Calibri" w:hAnsi="Calibri"/>
                <w:sz w:val="20"/>
              </w:rPr>
              <w:t xml:space="preserve">84,3</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94" name="Picture"/>
            <a:graphic>
              <a:graphicData uri="http://schemas.openxmlformats.org/drawingml/2006/picture">
                <pic:pic>
                  <pic:nvPicPr>
                    <pic:cNvPr descr="../tesis/figuras/fig6_2_abanico_deuda.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Cs/>
          <w:i/>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40,5 puntos en 2031, con un intervalo de [32,4; 54,5]. El del FMI para la misma deuda es 71,5 (FMI, 2026, cuadro 7). El Capítulo 7 analiza por qué un abanico más angosto convive, con la métrica anual, con una probabilidad de no estabilización mayor.</w:t>
      </w:r>
    </w:p>
    <w:bookmarkEnd w:id="96"/>
    <w:bookmarkStart w:id="10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Cs/>
          <w:i/>
        </w:rPr>
        <w:t xml:space="preserve">shocks</w:t>
      </w:r>
      <w:r>
        <w:t xml:space="preserve">. El bloque externo explica 59,4% y el cambiario y de riesgo 28,3%; el de actividad, 10,7%, y el fiscal, 1,6%. La diferencia entre los</w:t>
      </w:r>
      <w:r>
        <w:t xml:space="preserve"> </w:t>
      </w:r>
      <w:r>
        <w:rPr>
          <w:iCs/>
          <w:i/>
        </w:rPr>
        <w:t xml:space="preserve">shocks</w:t>
      </w:r>
      <w:r>
        <w:t xml:space="preserve"> </w:t>
      </w:r>
      <w:r>
        <w:t xml:space="preserve">no fiscales y el fiscal es de 96,8 puntos, con un intervalo de [90,8; 99,8] que excluye el cero. Con el criterio de la Tabla 4.4, la condición de varianza se cumple. Dos cautelas acompañan esa conclusión. Primera, la participación fiscal es tan baja en parte porque las binarias presidenciales absorben variación del resultado primario que, sin ellas, recogería el</w:t>
      </w:r>
      <w:r>
        <w:t xml:space="preserve"> </w:t>
      </w:r>
      <w:r>
        <w:rPr>
          <w:iCs/>
          <w:i/>
        </w:rPr>
        <w:t xml:space="preserve">shock</w:t>
      </w:r>
      <w:r>
        <w:t xml:space="preserve"> </w:t>
      </w:r>
      <w:r>
        <w:t xml:space="preserve">fiscal: sin ellas la diferencia es de 77,9 puntos [67,3; 99,4] (Tabla 6.6), todavía a favor de H1a. Segunda, la participación del bloque fiscal no mide la importancia de la política fiscal, sino cuánta incertidumbre de la deuda proviene de</w:t>
      </w:r>
      <w:r>
        <w:t xml:space="preserve"> </w:t>
      </w:r>
      <w:r>
        <w:rPr>
          <w:iCs/>
          <w:i/>
        </w:rPr>
        <w:t xml:space="preserve">shocks</w:t>
      </w:r>
      <w:r>
        <w:t xml:space="preserve"> </w:t>
      </w:r>
      <w:r>
        <w:t xml:space="preserve">no anticipados del resultado primario respecto del escenario del FMI.</w:t>
      </w:r>
    </w:p>
    <w:p>
      <w:pPr>
        <w:pStyle w:val="BodyText"/>
      </w:pPr>
      <w:r>
        <w:rPr>
          <w:bCs/>
          <w:b/>
        </w:rPr>
        <w:t xml:space="preserve">Tabla 6.3. Participación de cada bloque de</w:t>
      </w:r>
      <w:r>
        <w:rPr>
          <w:bCs/>
          <w:b/>
        </w:rPr>
        <w:t xml:space="preserve"> </w:t>
      </w:r>
      <w:r>
        <w:rPr>
          <w:iCs/>
          <w:i/>
          <w:bCs/>
          <w:b/>
        </w:rPr>
        <w:t xml:space="preserve">shocks</w:t>
      </w:r>
      <w:r>
        <w:rPr>
          <w:bCs/>
          <w:b/>
        </w:rPr>
        <w:t xml:space="preserve"> </w:t>
      </w:r>
      <w:r>
        <w:rPr>
          <w:bCs/>
          <w:b/>
        </w:rPr>
        <w:t xml:space="preserve">en la varianza de la deuda en 2035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Bloque de</w:t>
            </w:r>
            <w:r>
              <w:rPr>
                <w:rFonts w:ascii="Calibri" w:hAnsi="Calibri"/>
                <w:sz w:val="20"/>
              </w:rPr>
              <w:t xml:space="preserve"> </w:t>
            </w:r>
            <w:r>
              <w:rPr>
                <w:iCs/>
                <w:rFonts w:ascii="Calibri" w:hAnsi="Calibri"/>
                <w:i/>
                <w:sz w:val="20"/>
              </w:rPr>
              <w:t xml:space="preserve">shocks</w:t>
            </w:r>
          </w:p>
        </w:tc>
        <w:tc>
          <w:tcPr/>
          <w:p>
            <w:pPr>
              <w:pStyle w:val="Compact"/>
              <w:jc w:val="left"/>
            </w:pPr>
            <w:r>
              <w:rPr>
                <w:rFonts w:ascii="Calibri" w:hAnsi="Calibri"/>
                <w:sz w:val="20"/>
              </w:rPr>
              <w:t xml:space="preserve">Participación</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Fiscal</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Actividad</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Cambiario y de riesgo (EMBI y TCRM)</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Externo (FED y VIX)</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  VIX solo</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  Tasa de la FED sola</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  Tasa de la FED, solo efecto directo en la identidad</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No fiscal menos fiscal (diferencia)</w:t>
            </w:r>
          </w:p>
        </w:tc>
        <w:tc>
          <w:tcPr/>
          <w:p>
            <w:pPr>
              <w:pStyle w:val="Compact"/>
              <w:jc w:val="left"/>
            </w:pPr>
            <w:r>
              <w:rPr>
                <w:rFonts w:ascii="Calibri" w:hAnsi="Calibri"/>
                <w:sz w:val="20"/>
              </w:rPr>
              <w:t xml:space="preserve">96,8 puntos</w:t>
            </w:r>
          </w:p>
        </w:tc>
        <w:tc>
          <w:tcPr/>
          <w:p>
            <w:pPr>
              <w:pStyle w:val="Compact"/>
              <w:jc w:val="left"/>
            </w:pPr>
            <w:r>
              <w:rPr>
                <w:rFonts w:ascii="Calibri" w:hAnsi="Calibri"/>
                <w:sz w:val="20"/>
              </w:rPr>
              <w:t xml:space="preserve">[90,8; 99,8]</w:t>
            </w:r>
          </w:p>
        </w:tc>
      </w:tr>
    </w:tbl>
    <w:p>
      <w:pPr>
        <w:pStyle w:val="BodyText"/>
      </w:pPr>
      <w:r>
        <w:t xml:space="preserve">Fuente: elaboración propia. Los intervalos son percentiles 5 y 95 de las réplicas, sin corrección de sesgo, porque las participaciones están acotadas. Las tres filas del VIX y la FED abren el bloque externo; no son aditivas y su base es la suma de las varianzas de los cuatro bloques (sección 4.6), por lo que el VIX solo puede superar 100%.</w:t>
      </w:r>
    </w:p>
    <w:p>
      <w:pPr>
        <w:pStyle w:val="BodyText"/>
      </w:pPr>
      <w:r>
        <w:t xml:space="preserve">El VIX solo explica más que el bloque externo completo (113,2% contra 59,4%) porque sus efectos se compensan en parte con los de la tasa de la FED: como los</w:t>
      </w:r>
      <w:r>
        <w:t xml:space="preserve"> </w:t>
      </w:r>
      <w:r>
        <w:rPr>
          <w:iCs/>
          <w:i/>
        </w:rPr>
        <w:t xml:space="preserve">shocks</w:t>
      </w:r>
      <w:r>
        <w:t xml:space="preserve"> </w:t>
      </w:r>
      <w:r>
        <w:t xml:space="preserve">se remuestrean por fecha, los picos del VIX coinciden con los recortes de la tasa de la FED de 2008 y de 2020, y la deuda que generan uno y otro por separado se mueve en sentidos opuestos. Por eso las aperturas no suman; lo que importa es el orden de magnitud: dentro del bloque externo, el costo directo de la tasa de la FED es una parte menor (7,6%) y su efecto indirecto, la diferencia entre 13,3% y 7,6%, es pequeño, con intervalos que incluyen el cero.</w:t>
      </w:r>
    </w:p>
    <w:p>
      <w:pPr>
        <w:pStyle w:val="BodyText"/>
      </w:pPr>
      <w:r>
        <w:t xml:space="preserve">En la descomposición (Figura 6.3), los intervalos de los bloques externo y cambiario y de riesgo se superponen y no permiten ordenarlos entre sí.</w:t>
      </w:r>
    </w:p>
    <w:p>
      <w:pPr>
        <w:pStyle w:val="CaptionedFigure"/>
      </w:pPr>
      <w:r>
        <w:drawing>
          <wp:inline>
            <wp:extent cx="5334000" cy="2032000"/>
            <wp:effectExtent b="0" l="0" r="0" t="0"/>
            <wp:docPr descr="Figura 6.3. Varianza de la deuda en 2035 por bloque de shocks. Participación de los bloques fiscal, de actividad, cambiario y de riesgo, y externo en la varianza de la deuda federal bruta simulada en 2035; estimación central e intervalos de 90%. Fuente: elaboración propia." title="" id="98" name="Picture"/>
            <a:graphic>
              <a:graphicData uri="http://schemas.openxmlformats.org/drawingml/2006/picture">
                <pic:pic>
                  <pic:nvPicPr>
                    <pic:cNvPr descr="../tesis/figuras/fig6_3_varianza_por_bloque.png" id="99" name="Picture"/>
                    <pic:cNvPicPr>
                      <a:picLocks noChangeArrowheads="1" noChangeAspect="1"/>
                    </pic:cNvPicPr>
                  </pic:nvPicPr>
                  <pic:blipFill>
                    <a:blip r:embed="rId97"/>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Cs/>
          <w:i/>
        </w:rPr>
        <w:t xml:space="preserve">shocks</w:t>
      </w:r>
      <w:r>
        <w:t xml:space="preserve">. Participación de los bloques fiscal, de actividad, cambiario y de riesgo, y externo en la varianza de la deuda federal bruta simulada en 2035; estimación central e intervalos de 90%. Fuente: elaboración propia.</w:t>
      </w:r>
    </w:p>
    <w:p>
      <w:pPr>
        <w:pStyle w:val="BodyText"/>
      </w:pPr>
      <w:r>
        <w:t xml:space="preserve">El resultado se sostiene en las 20 especificaciones en que se informa el reparto de la varianza (sección 6.6; en la consolidada no se informa). El menor límite inferior, 67,3 puntos, aparece en la variante sin binarias presidenciales; entre las variantes de identificación, el ordenamiento de Cholesky con el resultado primario primero y la elasticidad cíclica de cero dan 85,6 [72,3; 99,5].</w:t>
      </w:r>
    </w:p>
    <w:p>
      <w:pPr>
        <w:pStyle w:val="BodyText"/>
      </w:pPr>
      <w:r>
        <w:rPr>
          <w:bCs/>
          <w:b/>
        </w:rPr>
        <w:t xml:space="preserve">Suficiencia del superávit.</w:t>
      </w:r>
      <w:r>
        <w:t xml:space="preserve"> </w:t>
      </w:r>
      <w:r>
        <w:t xml:space="preserve">La segunda condición de H1a (Tabla 4.4) se evalúa desplazando en la misma magnitud el resultado primario de todos los años del escenario base (Figura 6.4). El máximo anual de 1996-2025 es 3,29% del PIB, en 2004, con la definición de la tesis (sin rentas de la propiedad); con rentas de la propiedad es 3,58%, el mismo año. Con un desplazamiento uniforme que lleva el resultado primario de 2031 a ese máximo, la probabilidad de no estabilización en 2031 con la métrica anual es 23,0% (el de 2026 queda en 2,39%, porque el escenario base del FMI parte de 1,40% en 2026 y de 2,30% en 2031); con el máximo de la variante con rentas es 21,6%. Para llevarla al 1% que estima el FMI para Argentina hay que sumar 7,25 puntos al resultado primario del escenario en todos los años: un superávit de 8,65% del PIB en 2026 y de 9,55% en 2031, casi el triple del máximo observado. Con la definición operativa del FMI, que es la medida del contraste (sección 4.6), la segunda condición de H1a no se cumple: ya sin desplazamiento, el intervalo de la probabilidad de 2031, 3,1% [0,0; 6,3], incluye la cifra del FMI, y con el resultado primario de 2031 en el máximo histórico la estimación central baja a 0,9%; alcanza un desplazamiento de 1,00 punto. Con la métrica anual, en cambio, aun con el resultado primario de 2031 en el máximo histórico la probabilidad queda más de veinte veces por encima de la cifra del FMI. H1a no queda respaldada: se cumple la condición (i), que no depende de la métrica, pero no la (ii). La lectura es que, medido como lo mide el FMI, un superávit cercano al máximo histórico alcanza para llevar la probabilidad a la cifra del organismo; lo que no controla es el riesgo cambiario de cada año, que solo capta la métrica anual.</w:t>
      </w:r>
    </w:p>
    <w:p>
      <w:pPr>
        <w:pStyle w:val="BodyText"/>
      </w:pPr>
      <w:r>
        <w:t xml:space="preserve">Con la métrica anual, la relación en 2035 no es monótona. La probabilidad baja hasta 0,12% con un desplazamiento de 6,25 puntos y vuelve a subir, a 1,99% con 10,00 puntos. Con superávits tan altos la deuda queda cerca de cero, y la métrica, que compara el resultado primario necesario con el previsto año por año, se activa con</w:t>
      </w:r>
      <w:r>
        <w:t xml:space="preserve"> </w:t>
      </w:r>
      <w:r>
        <w:rPr>
          <w:iCs/>
          <w:i/>
        </w:rPr>
        <w:t xml:space="preserve">shocks</w:t>
      </w:r>
      <w:r>
        <w:t xml:space="preserve"> </w:t>
      </w:r>
      <w:r>
        <w:t xml:space="preserve">pequeños.</w:t>
      </w:r>
    </w:p>
    <w:p>
      <w:pPr>
        <w:pStyle w:val="CaptionedFigure"/>
      </w:pPr>
      <w:r>
        <w:drawing>
          <wp:inline>
            <wp:extent cx="5334000" cy="2790092"/>
            <wp:effectExtent b="0" l="0" r="0" t="0"/>
            <wp:docPr descr="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 title="" id="101" name="Picture"/>
            <a:graphic>
              <a:graphicData uri="http://schemas.openxmlformats.org/drawingml/2006/picture">
                <pic:pic>
                  <pic:nvPicPr>
                    <pic:cNvPr descr="../tesis/figuras/fig6_5_suficiencia_superavit.png" id="102" name="Picture"/>
                    <pic:cNvPicPr>
                      <a:picLocks noChangeArrowheads="1" noChangeAspect="1"/>
                    </pic:cNvPicPr>
                  </pic:nvPicPr>
                  <pic:blipFill>
                    <a:blip r:embed="rId100"/>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w:t>
      </w:r>
    </w:p>
    <w:bookmarkEnd w:id="103"/>
    <w:bookmarkStart w:id="10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y el mismo escenario, cada horizonte se contrasta contra la cifra del FMI correspondiente con la definición operativa del organismo, y se informa al lado la métrica anual (sección 4.6; Tabla 6.4).</w:t>
      </w:r>
    </w:p>
    <w:p>
      <w:pPr>
        <w:pStyle w:val="BodyText"/>
      </w:pPr>
      <w:r>
        <w:rPr>
          <w:bCs/>
          <w:b/>
        </w:rPr>
        <w:t xml:space="preserve">Tabla 6.4. Contraste de H1b</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Horizonte</w:t>
            </w:r>
          </w:p>
        </w:tc>
        <w:tc>
          <w:tcPr/>
          <w:p>
            <w:pPr>
              <w:pStyle w:val="Compact"/>
              <w:jc w:val="left"/>
            </w:pPr>
            <w:r>
              <w:rPr>
                <w:rFonts w:ascii="Calibri" w:hAnsi="Calibri"/>
                <w:sz w:val="20"/>
              </w:rPr>
              <w:t xml:space="preserve">Métrica</w:t>
            </w:r>
          </w:p>
        </w:tc>
        <w:tc>
          <w:tcPr/>
          <w:p>
            <w:pPr>
              <w:pStyle w:val="Compact"/>
              <w:jc w:val="left"/>
            </w:pPr>
            <w:r>
              <w:rPr>
                <w:rFonts w:ascii="Calibri" w:hAnsi="Calibri"/>
                <w:sz w:val="20"/>
              </w:rPr>
              <w:t xml:space="preserve">Probabilidad de no estabilización</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Cifra del FMI</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Lo supera</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Lo supera</w:t>
            </w:r>
          </w:p>
        </w:tc>
      </w:tr>
    </w:tbl>
    <w:p>
      <w:pPr>
        <w:pStyle w:val="BodyText"/>
      </w:pPr>
      <w:r>
        <w:t xml:space="preserve">Fuente: elaboración propia. Error de Monte Carlo de la estimación central con la métrica anual: 0,32 puntos. Los límites inferiores de Hall que caen por debajo de cero se informan como cero.</w:t>
      </w:r>
    </w:p>
    <w:p>
      <w:pPr>
        <w:pStyle w:val="BodyText"/>
      </w:pPr>
      <w:r>
        <w:t xml:space="preserve">Con la definición operativa del FMI, la estimación central triplica la cifra del FMI en 2031 (3,1% contra 1%) y la supera en 2035 (5,1% contra menos de 3%), pero los intervalos incluyen esas cifras, de modo que no se distinguen de ellas. El límite inferior supera la cifra del FMI, en los dos horizontes, solo en 2 de las 21 especificaciones: la deuda consolidada (11,0% [2,7; 20,2] en 2031) y el canal de tasas en pesos (9,0% [2,7; 17,0]). Con la lectura literal del recuadro 3, que promedia también el escenario, la probabilidad es 0,0% en 2031 y 0,9% en 2035. En el SVARX, la diferencia entre las dos métricas es la volatilidad de un solo año: la anual se activa con que la deuda suba un año por una depreciación real o un crecimiento bajo; la definición operativa promedia los</w:t>
      </w:r>
      <w:r>
        <w:t xml:space="preserve"> </w:t>
      </w:r>
      <w:r>
        <w:rPr>
          <w:iCs/>
          <w:i/>
        </w:rPr>
        <w:t xml:space="preserve">shocks</w:t>
      </w:r>
      <w:r>
        <w:t xml:space="preserve"> </w:t>
      </w:r>
      <w:r>
        <w:t xml:space="preserve">de toda la trayectoria y deja afuera el tipo de cambio real, de modo que solo se activa con un deterioro persistente de la tasa o del crecimiento (sección 7.2).</w:t>
      </w:r>
    </w:p>
    <w:p>
      <w:pPr>
        <w:pStyle w:val="BodyText"/>
      </w:pPr>
      <w:r>
        <w:t xml:space="preserve">Con la métrica anual, el resultado es otro: en los dos horizontes el intervalo queda entero muy por encima de la cifra del FMI, y la conclusión se mantiene con la corrección de Bonferroni (límites inferiores de 19,0% y 24,1%). Las medidas alternativas van en la misma dirección: con el resultado primario simulado en lugar del previsto, la probabilidad en 2031 es 29,7% [23,5; 37,3], y la probabilidad de que la deuda de 2031 supere a la de 2029 es 20,0% [17,3; 26,7]. En las 21 especificaciones el límite inferior supera las cifras del FMI; el menor, 16,2% en 2031, corresponde a la variante de tres rezagos, y en 2035 es 18,0% (la variante sin ajuste stock-flujo y la del escenario de 2025).</w:t>
      </w:r>
    </w:p>
    <w:p>
      <w:pPr>
        <w:pStyle w:val="BodyText"/>
      </w:pPr>
      <w:r>
        <w:t xml:space="preserve">H1b no queda respaldada. Con la medida del contraste, la probabilidad de no estabilización no se distingue de la que informa el FMI. Con la métrica anual la supera con holgura, pero el 1% y el menos de 3% son cifras calculadas con otra definición, de modo que esa comparación no prueba que el organismo subestime el riesgo: muestra cuánto pesa la valuación anual de la deuda en moneda extranjera, que la definición del FMI excluye (sección 7.1).</w:t>
      </w:r>
    </w:p>
    <w:bookmarkEnd w:id="104"/>
    <w:bookmarkStart w:id="105" w:name="contraste-de-h2"/>
    <w:p>
      <w:pPr>
        <w:pStyle w:val="Heading2"/>
      </w:pPr>
      <w:r>
        <w:t xml:space="preserve">6.5 Contraste de H2</w:t>
      </w:r>
    </w:p>
    <w:p>
      <w:pPr>
        <w:pStyle w:val="FirstParagraph"/>
      </w:pPr>
      <w:r>
        <w:rPr>
          <w:bCs/>
          <w:b/>
        </w:rPr>
        <w:t xml:space="preserve">Tabla 6.5. Efecto de la FED sobre la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Escenario</w:t>
            </w:r>
          </w:p>
        </w:tc>
        <w:tc>
          <w:tcPr/>
          <w:p>
            <w:pPr>
              <w:pStyle w:val="Compact"/>
              <w:jc w:val="left"/>
            </w:pPr>
            <w:r>
              <w:rPr>
                <w:rFonts w:ascii="Calibri" w:hAnsi="Calibri"/>
                <w:sz w:val="20"/>
              </w:rPr>
              <w:t xml:space="preserve">Probabilidad en 2031 (pp)</w:t>
            </w:r>
          </w:p>
        </w:tc>
        <w:tc>
          <w:tcPr/>
          <w:p>
            <w:pPr>
              <w:pStyle w:val="Compact"/>
              <w:jc w:val="left"/>
            </w:pPr>
            <w:r>
              <w:rPr>
                <w:rFonts w:ascii="Calibri" w:hAnsi="Calibri"/>
                <w:sz w:val="20"/>
              </w:rPr>
              <w:t xml:space="preserve">Probabilidad en 2035 (pp)</w:t>
            </w:r>
          </w:p>
        </w:tc>
        <w:tc>
          <w:tcPr/>
          <w:p>
            <w:pPr>
              <w:pStyle w:val="Compact"/>
              <w:jc w:val="left"/>
            </w:pPr>
            <w:r>
              <w:rPr>
                <w:rFonts w:ascii="Calibri" w:hAnsi="Calibri"/>
                <w:sz w:val="20"/>
              </w:rPr>
              <w:t xml:space="preserve">Deuda media 2035 (pp del PIB)</w:t>
            </w:r>
          </w:p>
        </w:tc>
      </w:tr>
      <w:tr>
        <w:tc>
          <w:tcPr/>
          <w:p>
            <w:pPr>
              <w:pStyle w:val="Compact"/>
              <w:jc w:val="left"/>
            </w:pPr>
            <w:r>
              <w:rPr>
                <w:rFonts w:ascii="Calibri" w:hAnsi="Calibri"/>
                <w:sz w:val="20"/>
              </w:rPr>
              <w:t xml:space="preserve">Nivel 0,501 pp más alto desde 2026T1</w:t>
            </w:r>
          </w:p>
        </w:tc>
        <w:tc>
          <w:tcPr/>
          <w:p>
            <w:pPr>
              <w:pStyle w:val="Compact"/>
              <w:jc w:val="left"/>
            </w:pPr>
            <w:r>
              <w:rPr>
                <w:rFonts w:ascii="Calibri" w:hAnsi="Calibri"/>
                <w:sz w:val="20"/>
              </w:rPr>
              <w:t xml:space="preserve">+1,0 [-0,3; 1,6]</w:t>
            </w:r>
          </w:p>
        </w:tc>
        <w:tc>
          <w:tcPr/>
          <w:p>
            <w:pPr>
              <w:pStyle w:val="Compact"/>
              <w:jc w:val="left"/>
            </w:pPr>
            <w:r>
              <w:rPr>
                <w:rFonts w:ascii="Calibri" w:hAnsi="Calibri"/>
                <w:sz w:val="20"/>
              </w:rPr>
              <w:t xml:space="preserve">+1,9 [0,3; 3,2]</w:t>
            </w:r>
          </w:p>
        </w:tc>
        <w:tc>
          <w:tcPr/>
          <w:p>
            <w:pPr>
              <w:pStyle w:val="Compact"/>
              <w:jc w:val="left"/>
            </w:pPr>
            <w:r>
              <w:rPr>
                <w:rFonts w:ascii="Calibri" w:hAnsi="Calibri"/>
                <w:sz w:val="20"/>
              </w:rPr>
              <w:t xml:space="preserve">+2,0 [0,4; 3,2]</w:t>
            </w:r>
          </w:p>
        </w:tc>
      </w:tr>
      <w:tr>
        <w:tc>
          <w:tcPr/>
          <w:p>
            <w:pPr>
              <w:pStyle w:val="Compact"/>
              <w:jc w:val="left"/>
            </w:pPr>
            <w:r>
              <w:rPr>
                <w:rFonts w:ascii="Calibri" w:hAnsi="Calibri"/>
                <w:sz w:val="20"/>
              </w:rPr>
              <w:t xml:space="preserve">Senda de 2022-2025 repetida en 2026-2029</w:t>
            </w:r>
          </w:p>
        </w:tc>
        <w:tc>
          <w:tcPr/>
          <w:p>
            <w:pPr>
              <w:pStyle w:val="Compact"/>
              <w:jc w:val="left"/>
            </w:pPr>
            <w:r>
              <w:rPr>
                <w:rFonts w:ascii="Calibri" w:hAnsi="Calibri"/>
                <w:sz w:val="20"/>
              </w:rPr>
              <w:t xml:space="preserve">+6,7 [0,6; 12,8]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bl>
    <w:p>
      <w:pPr>
        <w:pStyle w:val="BodyText"/>
      </w:pPr>
      <w:r>
        <w:t xml:space="preserve">Fuente: elaboración propia. Diferencias respecto del escenario base; entre corchetes, intervalos de 90%.</w:t>
      </w:r>
    </w:p>
    <w:p>
      <w:pPr>
        <w:pStyle w:val="BodyText"/>
      </w:pPr>
      <w:r>
        <w:t xml:space="preserve">Con el criterio de la Tabla 4.4, que pide que el intervalo excluya el cero en la probabilidad y en la deuda esperada de 2035, el resultado es mixto. El escenario de un desvío estándar lo cumple en las dos medidas, con un efecto pequeño: 1,9 puntos de probabilidad y 2,0 de deuda. El de la senda de 2022-2025 lo cumple en la probabilidad (+18,4 puntos [6,3; 29,1]) pero no en la deuda esperada, cuyo intervalo [-0,3; 31,3] incluye el cero por un margen mínimo. El efecto en 2031, que se acumula menos, tiene un límite inferior negativo en el escenario de un desvío estándar.</w:t>
      </w:r>
    </w:p>
    <w:p>
      <w:pPr>
        <w:pStyle w:val="BodyText"/>
      </w:pPr>
      <w:r>
        <w:t xml:space="preserve">La evidencia más sólida es la del efecto de la senda de 2022-2025 sobre la probabilidad. Con la corrección de Bonferroni, ese efecto sigue excluyendo el cero, con un intervalo de 95% de [4,1; 30,8]. El del escenario de un desvío estándar sobre la probabilidad ([-0,1; 3,3]) y los dos efectos sobre la deuda esperada ([-0,4; 3,4] y [-8,4; 32,8]) no lo excluyen. Entre las especificaciones de robustez, el efecto de la senda sobre la probabilidad excluye el cero en 20 de 21; la excepción son los datos desde 2004. El efecto sobre la deuda esperada lo incluye en 7 de las 21, lo excluye en 11 (en cuatro de ellas con un límite inferior menor que 0,1 punto), tiene un límite inferior de 0,00 en una (sin los</w:t>
      </w:r>
      <w:r>
        <w:t xml:space="preserve"> </w:t>
      </w:r>
      <w:r>
        <w:rPr>
          <w:iCs/>
          <w:i/>
        </w:rPr>
        <w:t xml:space="preserve">shocks</w:t>
      </w:r>
      <w:r>
        <w:t xml:space="preserve"> </w:t>
      </w:r>
      <w:r>
        <w:t xml:space="preserve">de 2001T4-2005T3) y no se informa en dos. En el escenario de un desvío estándar, el efecto sobre la probabilidad incluye el cero en 2 de 21 (datos desde 2004 y sin binarias presidenciales), y el efecto sobre la deuda, en 4, y no se informa en 2.</w:t>
      </w:r>
    </w:p>
    <w:p>
      <w:pPr>
        <w:pStyle w:val="BodyText"/>
      </w:pPr>
      <w:r>
        <w:t xml:space="preserve">Con la definición operativa del FMI, el efecto de la senda de 2022-2025 sobre la probabilidad de 2035 es parecido, 17,1 puntos [0,6; 32,6], y también excluye el cero, aunque no resiste la corrección de Bonferroni ([-3,6; 33,6]); el del escenario de un desvío estándar, 1,1 [-0,5; 2,2], lo incluye. Las medidas de la deuda esperada no dependen de la métrica.</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14,8 de los 19,3 puntos de aumento de la deuda en 2035 (77%); el resto, 4,5 puntos, corresponde a la respuesta del EMBI, el TCRM y el crecimiento, que individualmente no se distinguen con claridad del azar (sección 6.1).</w:t>
      </w:r>
    </w:p>
    <w:p>
      <w:pPr>
        <w:pStyle w:val="BodyText"/>
      </w:pPr>
      <w:r>
        <w:t xml:space="preserve">El resultado sobre H2 depende de la especificación con binarias presidenciales: sin ellas, el efecto de la senda de 2022-2025 es de +9,7 puntos de probabilidad y +9,2 de deuda [-0,2; 17,1], es decir, la mitad (Tabla 6.6). H2 queda parcialmente respaldada: el efecto sobre la probabilidad de no estabilización en el escenario de la senda de 2022-2025 excluye el cero con las dos métricas, con Bonferroni en la anual y en 20 de las 21 especificaciones, aunque su magnitud depende de las binarias presidenciales y de la velocidad de refinanciamiento (de 11,1 puntos con λ = 0,15 a 23,0 con λ = 0,40); el efecto sobre la deuda esperada es positivo en la especificación principal y en casi todas las variantes, pero su intervalo incluye el cero en el escenario de mayor impacto, y el escenario de un desvío estándar es estadísticamente distinguible pero de magnitud pequeña. El mecanismo principal es el costo directo de la deuda en dólares; la transmisión por los canales domésticos de la sección 4.3 solo se verifica en parte, con las respuestas del EMBI.</w:t>
      </w:r>
    </w:p>
    <w:bookmarkEnd w:id="105"/>
    <w:bookmarkStart w:id="109" w:name="robustez"/>
    <w:p>
      <w:pPr>
        <w:pStyle w:val="Heading2"/>
      </w:pPr>
      <w:r>
        <w:t xml:space="preserve">6.6 Robustez</w:t>
      </w:r>
    </w:p>
    <w:p>
      <w:pPr>
        <w:pStyle w:val="FirstParagraph"/>
      </w:pPr>
      <w:r>
        <w:t xml:space="preserve">La Tabla 6.6 resume las especificaciones alternativas más relevantes. La primera columna usa la definición operativa del FMI, que es la del contraste; las demás probabilidades, la métrica anual. La tabla completa, con las 21 especificaciones del SVARX, las dos filas a la manera del FMI y la cifra del FMI, está en el Apéndice, sección A.10.</w:t>
      </w:r>
    </w:p>
    <w:p>
      <w:pPr>
        <w:pStyle w:val="BodyText"/>
      </w:pPr>
      <w:r>
        <w:rPr>
          <w:bCs/>
          <w:b/>
        </w:rPr>
        <w:t xml:space="preserve">Tabla 6.6. Robustez (selección)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definición del FMI</w:t>
            </w:r>
          </w:p>
        </w:tc>
        <w:tc>
          <w:tcPr/>
          <w:p>
            <w:pPr>
              <w:pStyle w:val="Compact"/>
              <w:jc w:val="left"/>
            </w:pPr>
            <w:r>
              <w:rPr>
                <w:rFonts w:ascii="Calibri" w:hAnsi="Calibri"/>
                <w:sz w:val="20"/>
              </w:rPr>
              <w:t xml:space="preserve">No estabilización 2031, anual</w:t>
            </w:r>
          </w:p>
        </w:tc>
        <w:tc>
          <w:tcPr/>
          <w:p>
            <w:pPr>
              <w:pStyle w:val="Compact"/>
              <w:jc w:val="left"/>
            </w:pPr>
            <w:r>
              <w:rPr>
                <w:rFonts w:ascii="Calibri" w:hAnsi="Calibri"/>
                <w:sz w:val="20"/>
              </w:rPr>
              <w:t xml:space="preserve">No estabilización 2035, anual</w:t>
            </w:r>
          </w:p>
        </w:tc>
        <w:tc>
          <w:tcPr/>
          <w:p>
            <w:pPr>
              <w:pStyle w:val="Compact"/>
              <w:jc w:val="left"/>
            </w:pPr>
            <w:r>
              <w:rPr>
                <w:rFonts w:ascii="Calibri" w:hAnsi="Calibri"/>
                <w:sz w:val="20"/>
              </w:rPr>
              <w:t xml:space="preserve">Ancho en 2031</w:t>
            </w:r>
          </w:p>
        </w:tc>
        <w:tc>
          <w:tcPr/>
          <w:p>
            <w:pPr>
              <w:pStyle w:val="Compact"/>
              <w:jc w:val="left"/>
            </w:pPr>
            <w:r>
              <w:rPr>
                <w:rFonts w:ascii="Calibri" w:hAnsi="Calibri"/>
                <w:sz w:val="20"/>
              </w:rPr>
              <w:t xml:space="preserve">No fiscal menos fiscal</w:t>
            </w:r>
          </w:p>
        </w:tc>
        <w:tc>
          <w:tcPr/>
          <w:p>
            <w:pPr>
              <w:pStyle w:val="Compact"/>
              <w:jc w:val="left"/>
            </w:pPr>
            <w:r>
              <w:rPr>
                <w:rFonts w:ascii="Calibri" w:hAnsi="Calibri"/>
                <w:sz w:val="20"/>
              </w:rPr>
              <w:t xml:space="preserve">Senda de la FED: probabilidad 2035</w:t>
            </w:r>
          </w:p>
        </w:tc>
        <w:tc>
          <w:tcPr/>
          <w:p>
            <w:pPr>
              <w:pStyle w:val="Compact"/>
              <w:jc w:val="left"/>
            </w:pPr>
            <w:r>
              <w:rPr>
                <w:rFonts w:ascii="Calibri" w:hAnsi="Calibri"/>
                <w:sz w:val="20"/>
              </w:rPr>
              <w:t xml:space="preserve">Senda de la FED: deuda 2035</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r>
        <w:tc>
          <w:tcPr/>
          <w:p>
            <w:pPr>
              <w:pStyle w:val="Compact"/>
              <w:jc w:val="left"/>
            </w:pPr>
            <w:r>
              <w:rPr>
                <w:rFonts w:ascii="Calibri" w:hAnsi="Calibri"/>
                <w:sz w:val="20"/>
              </w:rPr>
              <w:t xml:space="preserve">Sin binarias presidenciales</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 [-0,2; 17,1]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 [3,5; 34,7]</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 [7,8; 18,4]</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17,3 [8,1; 28,4]</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19,7 [-1,9; 32,6]</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25,0 [-11,6; 45,4]</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r>
        <w:t xml:space="preserve"> </w:t>
      </w:r>
      <w:r>
        <w:t xml:space="preserve">“</w:t>
      </w:r>
      <w:r>
        <w:t xml:space="preserve">No se informa</w:t>
      </w:r>
      <w:r>
        <w:t xml:space="preserve">”</w:t>
      </w:r>
      <w:r>
        <w:t xml:space="preserve">: la media de la deuda en 2035 es inestable en esas especificaciones, porque trayectorias explosivas dominan el promedio en una parte de las réplicas (368 de 1.000 con la deuda consolidada y 32 con los datos desde 2004). Las probabilidades no dependen de la media, pero sus intervalos salen de las mismas réplicas, de modo que en la deuda consolidada también son menos confiables. En la deuda consolidada tampoco se informa el reparto de la varianza, que esas trayectorias dominan.</w:t>
      </w:r>
    </w:p>
    <w:p>
      <w:pPr>
        <w:pStyle w:val="BodyText"/>
      </w:pPr>
      <w:r>
        <w:rPr>
          <w:bCs/>
          <w:b/>
        </w:rPr>
        <w:t xml:space="preserve">Hipótesis.</w:t>
      </w:r>
      <w:r>
        <w:t xml:space="preserve"> </w:t>
      </w:r>
      <w:r>
        <w:t xml:space="preserve">Con la definición operativa del FMI, el criterio de H1b se cumple solo en 2 de las 21 especificaciones, la deuda consolidada y el canal de tasas en pesos, de modo que el veredicto no depende de la especificación. Con la métrica anual, el límite inferior supera las cifras del FMI en todas, con valores de entre 16,2% (tres rezagos) y 27,7% (un rezago) en 2031 y de entre 18,0% y 32,3% en 2035. La condición (i) de H1a también se sostiene: la diferencia entre los</w:t>
      </w:r>
      <w:r>
        <w:t xml:space="preserve"> </w:t>
      </w:r>
      <w:r>
        <w:rPr>
          <w:iCs/>
          <w:i/>
        </w:rPr>
        <w:t xml:space="preserve">shocks</w:t>
      </w:r>
      <w:r>
        <w:t xml:space="preserve"> </w:t>
      </w:r>
      <w:r>
        <w:t xml:space="preserve">no fiscales y el fiscal excluye el cero en las 20 en que se informa, con un menor límite inferior de 67,3 puntos. El efecto de la senda de la FED sobre la probabilidad excluye el cero en todas menos la de los datos desde 2004, la especificación con menos observaciones; el efecto sobre la deuda esperada lo incluye en 7 de las 21, lo excluye en 11 (cuatro de ellas con un límite inferior menor que 0,1 punto), tiene un límite inferior de 0,00 en una y no se informa en dos. Las variantes de identificación, con dos ordenamientos de Cholesky (resultado primario primero y resultado primario último) y elasticidades cíclicas de 0 y 0,5, no modifican la estimación central de la probabilidad, porque todas las especificaciones comparten el sorteo y los</w:t>
      </w:r>
      <w:r>
        <w:t xml:space="preserve"> </w:t>
      </w:r>
      <w:r>
        <w:rPr>
          <w:iCs/>
          <w:i/>
        </w:rPr>
        <w:t xml:space="preserve">shocks</w:t>
      </w:r>
      <w:r>
        <w:t xml:space="preserve"> </w:t>
      </w:r>
      <w:r>
        <w:t xml:space="preserve">estructurales reconstruyen los mismos residuos (sección 4.6); cambian el reparto de la varianza entre bloques y, levemente, los intervalos, porque en cada réplica la matriz de identificación se reestima (sección 4.6).</w:t>
      </w:r>
    </w:p>
    <w:p>
      <w:pPr>
        <w:pStyle w:val="BodyText"/>
      </w:pPr>
      <w:r>
        <w:rPr>
          <w:bCs/>
          <w:b/>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28,5% [22,3; 36,0], contra 27,7% con la definición de la tesis. H1a y H1b no cambian; H2 se respalda en las dos medidas, porque el efecto de la senda de la FED sobre la deuda esperada, 21,3 [3,5; 34,7], excluye el cero.</w:t>
      </w:r>
    </w:p>
    <w:p>
      <w:pPr>
        <w:pStyle w:val="BodyText"/>
      </w:pPr>
      <w:r>
        <w:rPr>
          <w:bCs/>
          <w:b/>
        </w:rPr>
        <w:t xml:space="preserve">Empalme del EMBI.</w:t>
      </w:r>
      <w:r>
        <w:t xml:space="preserve"> </w:t>
      </w:r>
      <w:r>
        <w:t xml:space="preserve">Con datos desde 1999, que usan solo el EMBI observado, la probabilidad de no estabilización es 29,5% [22,5; 36,7] en 2031, contra 27,7% [20,6; 34,7] con la ventana completa, y en 2035 es 30,7%, contra 29,0%. La diferencia entre los</w:t>
      </w:r>
      <w:r>
        <w:t xml:space="preserve"> </w:t>
      </w:r>
      <w:r>
        <w:rPr>
          <w:iCs/>
          <w:i/>
        </w:rPr>
        <w:t xml:space="preserve">shocks</w:t>
      </w:r>
      <w:r>
        <w:t xml:space="preserve"> </w:t>
      </w:r>
      <w:r>
        <w:t xml:space="preserve">no fiscales y el fiscal y el efecto de la senda de la FED sobre la probabilidad siguen excluyendo el cero. Los resultados no dependen del empalme del EMBI, que en la especificación principal solo afecta a 1997T4-1998T3. La calidad del empalme del EMBI con la tasa interbancaria en dólares, que se apoya en 12 observaciones superpuestas, se discute en la sección 5.4.</w:t>
      </w:r>
    </w:p>
    <w:p>
      <w:pPr>
        <w:pStyle w:val="BodyText"/>
      </w:pPr>
      <w:r>
        <w:rPr>
          <w:bCs/>
          <w:b/>
        </w:rPr>
        <w:t xml:space="preserve">Extensión consolidada.</w:t>
      </w:r>
      <w:r>
        <w:t xml:space="preserve"> </w:t>
      </w:r>
      <w:r>
        <w:t xml:space="preserve">Con la deuda consolidada con el BCRA, que parte de 52,1% del PIB y se estima desde 2002, la senda base llega a 31,9% en 2031 y a 21,8% en 2035, pero el abanico es más ancho que el federal (55,2 contra 40,5 puntos en 2031). La probabilidad de no estabilización, 31,1% [27,6; 41,5] en 2031 y 35,0% [32,3; 49,8] en 2035, supera con holgura las cifras del FMI, y la senda de la FED eleva la probabilidad en 19,2 puntos [3,2; 33,8]. No se informan el reparto de la varianza ni el efecto sobre la deuda esperada, porque trayectorias explosivas dominan las varianzas y las medias en más de un tercio de las réplicas (368 de 1.000), y con 90 trimestres la estimación es poco estable. Por eso esta extensión se presenta como exploratoria: confirma el orden de magnitud de la probabilidad de no estabilización, pero no sirve para contrastar H1a ni la parte de H2 sobre la deuda esperada.</w:t>
      </w:r>
    </w:p>
    <w:p>
      <w:pPr>
        <w:pStyle w:val="BodyText"/>
      </w:pPr>
      <w:r>
        <w:rPr>
          <w:bCs/>
          <w:b/>
        </w:rPr>
        <w:t xml:space="preserve">Procedimiento del FMI.</w:t>
      </w:r>
      <w:r>
        <w:t xml:space="preserve"> </w:t>
      </w:r>
      <w:r>
        <w:t xml:space="preserve">Con</w:t>
      </w:r>
      <w:r>
        <w:t xml:space="preserve"> </w:t>
      </w:r>
      <w:r>
        <w:rPr>
          <w:iCs/>
          <w:i/>
        </w:rPr>
        <w:t xml:space="preserve">shocks</w:t>
      </w:r>
      <w:r>
        <w:t xml:space="preserve"> </w:t>
      </w:r>
      <w:r>
        <w:t xml:space="preserve">generados a la manera del FMI sobre la historia argentina de la ventana 1996-2025, la probabilidad en 2031 es 24,1% con la métrica anual, cerca de nueve décimas de la del SVARX (27,7%) y muy superior a la del FMI, con un abanico más de dos veces más ancho que el del organismo (148,4 contra 71,5 puntos; Capítulo 7). Con la definición operativa del FMI, ese procedimiento da 29,1% en 2031 y 19,1% en 2035, muy por encima del SVARX con la misma definición (3,1% y 5,1%): con la historia argentina, el procedimiento del propio FMI no reproduce el 1%, y la diferencia con el SVARX está en los</w:t>
      </w:r>
      <w:r>
        <w:t xml:space="preserve"> </w:t>
      </w:r>
      <w:r>
        <w:rPr>
          <w:iCs/>
          <w:i/>
        </w:rPr>
        <w:t xml:space="preserve">shocks</w:t>
      </w:r>
      <w:r>
        <w:t xml:space="preserve">, que en el SVARX son sorpresas y en ese procedimiento, desvíos respecto de una media de largo plazo.</w:t>
      </w:r>
    </w:p>
    <w:p>
      <w:pPr>
        <w:pStyle w:val="CaptionedFigure"/>
      </w:pPr>
      <w:r>
        <w:drawing>
          <wp:inline>
            <wp:extent cx="5334000" cy="2667000"/>
            <wp:effectExtent b="0" l="0" r="0" t="0"/>
            <wp:docPr descr="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 title="" id="107" name="Picture"/>
            <a:graphic>
              <a:graphicData uri="http://schemas.openxmlformats.org/drawingml/2006/picture">
                <pic:pic>
                  <pic:nvPicPr>
                    <pic:cNvPr descr="../tesis/figuras/fig6_4_probabilidad_no_estabilizacion.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w:t>
      </w:r>
    </w:p>
    <w:bookmarkEnd w:id="109"/>
    <w:bookmarkEnd w:id="110"/>
    <w:bookmarkStart w:id="123" w:name="discusión"/>
    <w:p>
      <w:pPr>
        <w:pStyle w:val="Heading1"/>
      </w:pPr>
      <w:r>
        <w:t xml:space="preserve">7. Discusión</w:t>
      </w:r>
    </w:p>
    <w:bookmarkStart w:id="111"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y horizonte. Con la definición operativa del FMI, que es la medida del contraste, la probabilidad del SVARX en 2031 es 3,1% [0,0; 6,3]: del mismo orden que la del organismo y estadísticamente indistinguible de ella. La tesis no encuentra, entonces, que el FMI subestime el riesgo de no estabilización tal como el organismo lo mide. Con la métrica anual, la probabilidad es 27,7%.</w:t>
      </w:r>
    </w:p>
    <w:p>
      <w:pPr>
        <w:pStyle w:val="BodyText"/>
      </w:pPr>
      <w:r>
        <w:rPr>
          <w:bCs/>
          <w:b/>
        </w:rPr>
        <w:t xml:space="preserve">Por qué la definición del FMI decide el contraste y qué agrega la métrica anual.</w:t>
      </w:r>
      <w:r>
        <w:t xml:space="preserve"> </w:t>
      </w:r>
      <w:r>
        <w:t xml:space="preserve">H1b compara la probabilidad de la tesis con las cifras del FMI, y esas cifras surgen de su definición operativa; contrastarlas con otra medida compararía eventos distintos. Por eso la definición operativa decide H1b y la condición (ii) de H1a. Mide un deterioro persistente de las condiciones de la deuda a lo largo de la trayectoria y deja afuera, por construcción, la variación del tipo de cambio real. La métrica anual conserva esa valuación, que en Argentina pesa más que en la mayoría de los países a los que se aplica el marco (57,8% de la deuda federal bruta está en moneda extranjera), y se activa con que la deuda suba un solo año. La distancia entre las dos, de 3,1% a 27,7% en 2031, mide cuánto del riesgo de no estabilización proviene de la valuación anual de la deuda en moneda extranjera: es el aporte de la métrica anual, no una prueba de que la cifra del FMI esté mal calculada.</w:t>
      </w:r>
    </w:p>
    <w:p>
      <w:pPr>
        <w:pStyle w:val="BodyText"/>
      </w:pPr>
      <w:r>
        <w:t xml:space="preserve">El procedimiento del FMI aplicado a la historia argentina de la ventana 1996-2025 tampoco reproduce el 1%: da 24,1% con la métrica anual y 29,1% con la definición operativa. El FMI no publica la historia de</w:t>
      </w:r>
      <w:r>
        <w:t xml:space="preserve"> </w:t>
      </w:r>
      <w:r>
        <w:rPr>
          <w:iCs/>
          <w:i/>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Con la métrica anual, la retroalimentación explica poco de la distancia: sin ella, la probabilidad del SVARX en 2031 pasa de 27,7% a 27,2%. Con la definición operativa pesa más: sin ella la probabilidad pasa de 3,1% a 1,3%, cerca de la cifra del FMI, de modo que con esa métrica buena parte de la distancia que queda con el organismo corresponde a la retroalimentación que su abanico omite (Apéndice, sección A.10).</w:t>
      </w:r>
    </w:p>
    <w:p>
      <w:pPr>
        <w:pStyle w:val="BodyText"/>
      </w:pPr>
      <w:r>
        <w:rPr>
          <w:bCs/>
          <w:b/>
        </w:rPr>
        <w:t xml:space="preserve">Una comparación asimétrica.</w:t>
      </w:r>
      <w:r>
        <w:t xml:space="preserve"> </w:t>
      </w:r>
      <w:r>
        <w:t xml:space="preserve">El contraste de H1b enfrenta el intervalo de 90% de esta tesis con una cifra puntual del FMI, 1% a mediano plazo y menos de 3% a diez años, que no tiene intervalo público y forma parte de una evaluación que incluye juicio cualitativo del equipo técnico. Por eso H1b contrasta si el valor del FMI queda fuera del rango que sostienen los datos con su propio escenario, y no si dos intervalos se solapan. La asimetría tiene dos consecuencias: el resultado no puede leerse como una prueba de que el FMI esté equivocado, porque no se conoce la incertidumbre que el organismo asocia a su cifra, y el cálculo de esta tesis es mecánico, sin los ajustes de juicio que el equipo técnico puede aplicar a la suya.</w:t>
      </w:r>
    </w:p>
    <w:p>
      <w:pPr>
        <w:pStyle w:val="BodyText"/>
      </w:pPr>
      <w:r>
        <w:rPr>
          <w:bCs/>
          <w:b/>
        </w:rPr>
        <w:t xml:space="preserve">Federal y consolidada.</w:t>
      </w:r>
      <w:r>
        <w:t xml:space="preserve"> </w:t>
      </w:r>
      <w:r>
        <w:t xml:space="preserve">Consolidar con el BCRA baja el punto de partida a 52,1% del PIB. Su proporción en moneda extranjera es mayor, pero la deuda en moneda extranjera medida en puntos del PIB es menor. Con menos deuda expuesta a la tasa en dólares y a la depreciación real cabría esperar una probabilidad menor, y no ocurre: la de no estabilización de la deuda consolidada con el BCRA es 31,1% en 2031, por encima de la federal (27,7%), y el abanico es más ancho. La diferencia no puede atribuirse al perímetro, porque las dos estimaciones usan muestras distintas (la consolidada, desde 2002) y órdenes de rezagos distintos (sección 7.6). La reacción fiscal es parecida, con intervalos que se superponen (Tabla 6.1). Con la métrica anual, H1b lleva a la misma conclusión; con la definición operativa, la consolidada sí supera la cifra del FMI (11,0% [2,7; 20,2] en 2031), aunque con los intervalos poco confiables de esa extensión; H1a no se contrasta en la extensión, porque el reparto de la varianza no es estable (sección 6.6). La consolidación aporta, sobre todo, una medición distinta del</w:t>
      </w:r>
      <w:r>
        <w:t xml:space="preserve"> </w:t>
      </w:r>
      <w:r>
        <w:rPr>
          <w:iCs/>
          <w:i/>
        </w:rPr>
        <w:t xml:space="preserve">stock</w:t>
      </w:r>
      <w:r>
        <w:t xml:space="preserve"> </w:t>
      </w:r>
      <w:r>
        <w:t xml:space="preserve">expuesto a los</w:t>
      </w:r>
      <w:r>
        <w:t xml:space="preserve"> </w:t>
      </w:r>
      <w:r>
        <w:rPr>
          <w:iCs/>
          <w:i/>
        </w:rPr>
        <w:t xml:space="preserve">shocks</w:t>
      </w:r>
      <w:r>
        <w:t xml:space="preserve">, y una advertencia: el resultado de la probabilidad no es sensible al perímetro de manera previsible.</w:t>
      </w:r>
    </w:p>
    <w:bookmarkEnd w:id="111"/>
    <w:bookmarkStart w:id="118" w:name="X7b6dcdf9e1e567750029be8a049e3633abc5d7f"/>
    <w:p>
      <w:pPr>
        <w:pStyle w:val="Heading2"/>
      </w:pPr>
      <w:r>
        <w:t xml:space="preserve">7.2 Por qué el abanico es más angosto y, con la métrica anual, la probabilidad es mayor</w:t>
      </w:r>
    </w:p>
    <w:p>
      <w:pPr>
        <w:pStyle w:val="FirstParagraph"/>
      </w:pPr>
      <w:r>
        <w:t xml:space="preserve">El abanico del SVARX mide 40,5 puntos del PIB en 2031, contra 71,5 del FMI y 148,4 del procedimiento del FMI aplicado a la historia argentina, que comparte con el SVARX deuda, identidad y métricas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13" name="Picture"/>
            <a:graphic>
              <a:graphicData uri="http://schemas.openxmlformats.org/drawingml/2006/picture">
                <pic:pic>
                  <pic:nvPicPr>
                    <pic:cNvPr descr="../tesis/figuras/fig7_1_abanico_svarx_vs_fmi.png" id="114" name="Picture"/>
                    <pic:cNvPicPr>
                      <a:picLocks noChangeArrowheads="1" noChangeAspect="1"/>
                    </pic:cNvPicPr>
                  </pic:nvPicPr>
                  <pic:blipFill>
                    <a:blip r:embed="rId11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Cs/>
          <w:i/>
        </w:rPr>
        <w:t xml:space="preserve">shocks</w:t>
      </w:r>
      <w:r>
        <w:t xml:space="preserve"> </w:t>
      </w:r>
      <w:r>
        <w:t xml:space="preserve">del SVARX y con</w:t>
      </w:r>
      <w:r>
        <w:t xml:space="preserve"> </w:t>
      </w:r>
      <w:r>
        <w:rPr>
          <w:iCs/>
          <w:i/>
        </w:rPr>
        <w:t xml:space="preserve">shocks</w:t>
      </w:r>
      <w:r>
        <w:t xml:space="preserve"> </w:t>
      </w:r>
      <w:r>
        <w:t xml:space="preserve">a la manera del FMI. Deuda federal bruta simulada, percentiles 5 y 95 y mediana (% del PIB); los</w:t>
      </w:r>
      <w:r>
        <w:t xml:space="preserve"> </w:t>
      </w:r>
      <w:r>
        <w:rPr>
          <w:iCs/>
          <w:i/>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Cs/>
          <w:i/>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520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16" name="Picture"/>
            <a:graphic>
              <a:graphicData uri="http://schemas.openxmlformats.org/drawingml/2006/picture">
                <pic:pic>
                  <pic:nvPicPr>
                    <pic:cNvPr descr="../tesis/figuras/fig7_2_impulsores_historicos.png" id="117" name="Picture"/>
                    <pic:cNvPicPr>
                      <a:picLocks noChangeArrowheads="1" noChangeAspect="1"/>
                    </pic:cNvPicPr>
                  </pic:nvPicPr>
                  <pic:blipFill>
                    <a:blip r:embed="rId11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Cs/>
          <w:b/>
        </w:rPr>
        <w:t xml:space="preserve">Tabla 7.1. Diagnóstico de la variante con</w:t>
      </w:r>
      <w:r>
        <w:rPr>
          <w:bCs/>
          <w:b/>
        </w:rPr>
        <w:t xml:space="preserve"> </w:t>
      </w:r>
      <w:r>
        <w:rPr>
          <w:iCs/>
          <w:i/>
          <w:bCs/>
          <w:b/>
        </w:rPr>
        <w:t xml:space="preserve">shocks</w:t>
      </w:r>
      <w:r>
        <w:rPr>
          <w:bCs/>
          <w:b/>
        </w:rPr>
        <w:t xml:space="preserve"> </w:t>
      </w:r>
      <w:r>
        <w:rPr>
          <w:bCs/>
          <w:b/>
        </w:rPr>
        <w:t xml:space="preserve">a la manera del FMI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Variante</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del abanico 2031</w:t>
            </w:r>
          </w:p>
        </w:tc>
      </w:tr>
      <w:tr>
        <w:tc>
          <w:tcPr/>
          <w:p>
            <w:pPr>
              <w:pStyle w:val="Compact"/>
              <w:jc w:val="left"/>
            </w:pPr>
            <w:r>
              <w:rPr>
                <w:rFonts w:ascii="Calibri" w:hAnsi="Calibri"/>
                <w:sz w:val="20"/>
              </w:rPr>
              <w:t xml:space="preserve">Todos los años de la ventana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r>
      <w:tr>
        <w:tc>
          <w:tcPr/>
          <w:p>
            <w:pPr>
              <w:pStyle w:val="Compact"/>
              <w:jc w:val="left"/>
            </w:pPr>
            <w:r>
              <w:rPr>
                <w:rFonts w:ascii="Calibri" w:hAnsi="Calibri"/>
                <w:sz w:val="20"/>
              </w:rPr>
              <w:t xml:space="preserve">Sin el año 2002</w:t>
            </w:r>
          </w:p>
        </w:tc>
        <w:tc>
          <w:tcPr/>
          <w:p>
            <w:pPr>
              <w:pStyle w:val="Compact"/>
              <w:jc w:val="left"/>
            </w:pPr>
            <w:r>
              <w:rPr>
                <w:rFonts w:ascii="Calibri" w:hAnsi="Calibri"/>
                <w:sz w:val="20"/>
              </w:rPr>
              <w:t xml:space="preserve">24,4%</w:t>
            </w:r>
          </w:p>
        </w:tc>
        <w:tc>
          <w:tcPr/>
          <w:p>
            <w:pPr>
              <w:pStyle w:val="Compact"/>
              <w:jc w:val="left"/>
            </w:pPr>
            <w:r>
              <w:rPr>
                <w:rFonts w:ascii="Calibri" w:hAnsi="Calibri"/>
                <w:sz w:val="20"/>
              </w:rPr>
              <w:t xml:space="preserve">21,9%</w:t>
            </w:r>
          </w:p>
        </w:tc>
        <w:tc>
          <w:tcPr/>
          <w:p>
            <w:pPr>
              <w:pStyle w:val="Compact"/>
              <w:jc w:val="left"/>
            </w:pPr>
            <w:r>
              <w:rPr>
                <w:rFonts w:ascii="Calibri" w:hAnsi="Calibri"/>
                <w:sz w:val="20"/>
              </w:rPr>
              <w:t xml:space="preserve">115,7</w:t>
            </w:r>
          </w:p>
        </w:tc>
      </w:tr>
      <w:tr>
        <w:tc>
          <w:tcPr/>
          <w:p>
            <w:pPr>
              <w:pStyle w:val="Compact"/>
              <w:jc w:val="left"/>
            </w:pPr>
            <w:r>
              <w:rPr>
                <w:rFonts w:ascii="Calibri" w:hAnsi="Calibri"/>
                <w:sz w:val="20"/>
              </w:rPr>
              <w:t xml:space="preserve">Depreciación real en su media</w:t>
            </w:r>
          </w:p>
        </w:tc>
        <w:tc>
          <w:tcPr/>
          <w:p>
            <w:pPr>
              <w:pStyle w:val="Compact"/>
              <w:jc w:val="left"/>
            </w:pPr>
            <w:r>
              <w:rPr>
                <w:rFonts w:ascii="Calibri" w:hAnsi="Calibri"/>
                <w:sz w:val="20"/>
              </w:rPr>
              <w:t xml:space="preserve">22,8%</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122,8</w:t>
            </w:r>
          </w:p>
        </w:tc>
      </w:tr>
      <w:tr>
        <w:tc>
          <w:tcPr/>
          <w:p>
            <w:pPr>
              <w:pStyle w:val="Compact"/>
              <w:jc w:val="left"/>
            </w:pPr>
            <w:r>
              <w:rPr>
                <w:rFonts w:ascii="Calibri" w:hAnsi="Calibri"/>
                <w:sz w:val="20"/>
              </w:rPr>
              <w:t xml:space="preserve">Tasa real efectiva en su media</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18,3%</w:t>
            </w:r>
          </w:p>
        </w:tc>
        <w:tc>
          <w:tcPr/>
          <w:p>
            <w:pPr>
              <w:pStyle w:val="Compact"/>
              <w:jc w:val="left"/>
            </w:pPr>
            <w:r>
              <w:rPr>
                <w:rFonts w:ascii="Calibri" w:hAnsi="Calibri"/>
                <w:sz w:val="20"/>
              </w:rPr>
              <w:t xml:space="preserve">92,3</w:t>
            </w:r>
          </w:p>
        </w:tc>
      </w:tr>
      <w:tr>
        <w:tc>
          <w:tcPr/>
          <w:p>
            <w:pPr>
              <w:pStyle w:val="Compact"/>
              <w:jc w:val="left"/>
            </w:pPr>
            <w:r>
              <w:rPr>
                <w:rFonts w:ascii="Calibri" w:hAnsi="Calibri"/>
                <w:sz w:val="20"/>
              </w:rPr>
              <w:t xml:space="preserve">Crecimiento en su media</w:t>
            </w:r>
          </w:p>
        </w:tc>
        <w:tc>
          <w:tcPr/>
          <w:p>
            <w:pPr>
              <w:pStyle w:val="Compact"/>
              <w:jc w:val="left"/>
            </w:pPr>
            <w:r>
              <w:rPr>
                <w:rFonts w:ascii="Calibri" w:hAnsi="Calibri"/>
                <w:sz w:val="20"/>
              </w:rPr>
              <w:t xml:space="preserve">30,0%</w:t>
            </w:r>
          </w:p>
        </w:tc>
        <w:tc>
          <w:tcPr/>
          <w:p>
            <w:pPr>
              <w:pStyle w:val="Compact"/>
              <w:jc w:val="left"/>
            </w:pPr>
            <w:r>
              <w:rPr>
                <w:rFonts w:ascii="Calibri" w:hAnsi="Calibri"/>
                <w:sz w:val="20"/>
              </w:rPr>
              <w:t xml:space="preserve">25,6%</w:t>
            </w:r>
          </w:p>
        </w:tc>
        <w:tc>
          <w:tcPr/>
          <w:p>
            <w:pPr>
              <w:pStyle w:val="Compact"/>
              <w:jc w:val="left"/>
            </w:pPr>
            <w:r>
              <w:rPr>
                <w:rFonts w:ascii="Calibri" w:hAnsi="Calibri"/>
                <w:sz w:val="20"/>
              </w:rPr>
              <w:t xml:space="preserve">129,7</w:t>
            </w:r>
          </w:p>
        </w:tc>
      </w:tr>
      <w:tr>
        <w:tc>
          <w:tcPr/>
          <w:p>
            <w:pPr>
              <w:pStyle w:val="Compact"/>
              <w:jc w:val="left"/>
            </w:pPr>
            <w:r>
              <w:rPr>
                <w:rFonts w:ascii="Calibri" w:hAnsi="Calibri"/>
                <w:sz w:val="20"/>
              </w:rPr>
              <w:t xml:space="preserve">Resultado primario en su media</w:t>
            </w:r>
          </w:p>
        </w:tc>
        <w:tc>
          <w:tcPr/>
          <w:p>
            <w:pPr>
              <w:pStyle w:val="Compact"/>
              <w:jc w:val="left"/>
            </w:pPr>
            <w:r>
              <w:rPr>
                <w:rFonts w:ascii="Calibri" w:hAnsi="Calibri"/>
                <w:sz w:val="20"/>
              </w:rPr>
              <w:t xml:space="preserve">24,2%</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155,9</w:t>
            </w:r>
          </w:p>
        </w:tc>
      </w:tr>
    </w:tbl>
    <w:p>
      <w:pPr>
        <w:pStyle w:val="BodyText"/>
      </w:pPr>
      <w:r>
        <w:t xml:space="preserve">Fuente: elaboración propia. Métrica anual;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Cs/>
          <w:i/>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anual,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es decir, para que la deuda, con el resultado primario previsto, suba ese año, aunque la tendencia de varios años siga siendo descendente. La definición operativa del FMI evita ese efecto: promedia los</w:t>
      </w:r>
      <w:r>
        <w:t xml:space="preserve"> </w:t>
      </w:r>
      <w:r>
        <w:rPr>
          <w:iCs/>
          <w:i/>
        </w:rPr>
        <w:t xml:space="preserve">shocks</w:t>
      </w:r>
      <w:r>
        <w:t xml:space="preserve"> </w:t>
      </w:r>
      <w:r>
        <w:t xml:space="preserve">de toda la trayectoria y deja afuera el tipo de cambio real, y con ella la probabilidad del SVARX cae a 3,1% en 2031. Contribuye que en el escenario base la tasa real efectiva es menor que el crecimiento (M_T &lt; 1): el resultado primario que estabiliza la deuda es negativo y baja cuando la deuda sube, de modo que, si los</w:t>
      </w:r>
      <w:r>
        <w:t xml:space="preserve"> </w:t>
      </w:r>
      <w:r>
        <w:rPr>
          <w:iCs/>
          <w:i/>
        </w:rPr>
        <w:t xml:space="preserve">shocks</w:t>
      </w:r>
      <w:r>
        <w:t xml:space="preserve"> </w:t>
      </w:r>
      <w:r>
        <w:t xml:space="preserve">se promedian, una deuda más alta por depreciaciones anteriores hace la no estabilización menos probable y no más. Con los</w:t>
      </w:r>
      <w:r>
        <w:t xml:space="preserve"> </w:t>
      </w:r>
      <w:r>
        <w:rPr>
          <w:iCs/>
          <w:i/>
        </w:rPr>
        <w:t xml:space="preserve">shocks</w:t>
      </w:r>
      <w:r>
        <w:t xml:space="preserve"> </w:t>
      </w:r>
      <w:r>
        <w:t xml:space="preserve">a la manera del FMI la relación entre las métricas se invierte (29,1% con la definición operativa contra 24,1% con la anual): esos</w:t>
      </w:r>
      <w:r>
        <w:t xml:space="preserve"> </w:t>
      </w:r>
      <w:r>
        <w:rPr>
          <w:iCs/>
          <w:i/>
        </w:rPr>
        <w:t xml:space="preserve">shocks</w:t>
      </w:r>
      <w:r>
        <w:t xml:space="preserve"> </w:t>
      </w:r>
      <w:r>
        <w:t xml:space="preserve">son desvíos persistentes respecto de una media de largo plazo, que el promedio no cancela. Entre las dos queda la medida que exige que la deuda suba en dos años: la probabilidad de que la deuda de 2031 supere a la de 2029 es 20,0% [17,3; 26,7]. Esa medida no se compara con la cifra del FMI, porque mide otra cosa, pero muestra que una parte de las subas que capta la métrica anual dura más de un año. La métrica anual se interpreta, además, con cautela en 2035, donde su relación con el superávit deja de ser monótona (sección 6.3).</w:t>
      </w:r>
    </w:p>
    <w:bookmarkEnd w:id="118"/>
    <w:bookmarkStart w:id="119"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una fracción mínima de la varianza de la deuda en 2035 (1,6%), y los bloques externo y cambiario y de riesgo, casi nueve décimas (59,4% y 28,3%). La cifra fiscal depende en parte de las binarias presidenciales, que absorben variación del resultado primario: sin ellas, la diferencia a favor de los</w:t>
      </w:r>
      <w:r>
        <w:t xml:space="preserve"> </w:t>
      </w:r>
      <w:r>
        <w:rPr>
          <w:iCs/>
          <w:i/>
        </w:rPr>
        <w:t xml:space="preserve">shocks</w:t>
      </w:r>
      <w:r>
        <w:t xml:space="preserve"> </w:t>
      </w:r>
      <w:r>
        <w:t xml:space="preserve">no fiscales sigue excluyendo el cero, pero baja de 96,8 a 77,9 puntos [67,3; 99,4]. Por eso la conclusión relevante es el orden de magnitud y no la cifra puntual.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Cs/>
          <w:i/>
        </w:rPr>
        <w:t xml:space="preserve">shock</w:t>
      </w:r>
      <w:r>
        <w:t xml:space="preserve"> </w:t>
      </w:r>
      <w:r>
        <w:t xml:space="preserve">fiscal absorbe toda la covarianza con el crecimiento, la diferencia a favor de los</w:t>
      </w:r>
      <w:r>
        <w:t xml:space="preserve"> </w:t>
      </w:r>
      <w:r>
        <w:rPr>
          <w:iCs/>
          <w:i/>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desplazamiento uniforme del superávit que lleve el de 2031 al mejor año de la ventana, 3,29% del PIB en 2004, deja sin estabilizar la deuda de 2031 en casi una de cada cuatro trayectorias con la métrica anual (23,0%), y llevar la probabilidad a la cifra del FMI exigiría un superávit cercano al 9% del PIB todos los años, casi el triple del máximo y sin precedentes en la historia argentina. Con la definición operativa del FMI, que es la del contraste, ese mismo superávit baja la probabilidad a 0,9%, debajo de la cifra del organismo, y alcanza un desplazamiento de un punto: con la métrica del FMI, la afirmación de que el superávit no basta no se sostiene, y por eso H1a no queda respaldada. Las dos lecturas son compatibles. El superávit alcanza para estabilizar la deuda frente a un deterioro persistente de la tasa y del crecimiento, que es lo que mide el FMI, pero no la protege de la valuación anual de la deuda en moneda extranjera, que domina la varianza y que la política fiscal no controla.</w:t>
      </w:r>
    </w:p>
    <w:bookmarkEnd w:id="119"/>
    <w:bookmarkStart w:id="120" w:name="el-shock-de-la-fed"/>
    <w:p>
      <w:pPr>
        <w:pStyle w:val="Heading2"/>
      </w:pPr>
      <w:r>
        <w:t xml:space="preserve">7.4 El</w:t>
      </w:r>
      <w:r>
        <w:t xml:space="preserve"> </w:t>
      </w:r>
      <w:r>
        <w:rPr>
          <w:iCs/>
          <w:i/>
        </w:rPr>
        <w:t xml:space="preserve">shock</w:t>
      </w:r>
      <w:r>
        <w:t xml:space="preserve"> </w:t>
      </w:r>
      <w:r>
        <w:t xml:space="preserve">de la FED</w:t>
      </w:r>
    </w:p>
    <w:p>
      <w:pPr>
        <w:pStyle w:val="FirstParagraph"/>
      </w:pPr>
      <w:r>
        <w:t xml:space="preserve">H2 queda parcialmente respaldada: en su efecto sobre la probabilidad en el escenario de la senda de 2022-2025, y no en su mecanismo ni en la deuda esperada de ese escenario. Repetir la senda de la tasa de política monetaria de la Reserva Federal (FED) de 2022-2025 eleva la probabilidad de no estabilización en 2035, con la métrica anual, en 18,4 puntos; el efecto resiste la corrección por contrastes múltiples y se sostiene en 20 de las 21 especificaciones (la excepción son los datos desde 2004). Con la definición operativa del FMI el efecto es parecido, 17,1 puntos [0,6; 32,6], pero no resiste Bonferroni. El efecto sobre la deuda esperada, +19,3 puntos del PIB, tiene un intervalo de [-0,3; 31,3] que incluye el cero por un margen mínimo, no resiste Bonferroni y excluye el cero en 11 de las 21 especificaciones (en 7 lo incluye, en una el límite inferior es 0,00 y en dos no se informa). El escenario de un desvío estándar cumple el criterio en la especificación principal, con un efecto pequeño (1,9 puntos de probabilidad), pero no resiste Bonferroni.</w:t>
      </w:r>
    </w:p>
    <w:p>
      <w:pPr>
        <w:pStyle w:val="BodyText"/>
      </w:pPr>
      <w:r>
        <w:t xml:space="preserve">El 77% del aumento de la deuda en 2035 (14,8 de 19,3 puntos) viene del mayor costo de la deuda en dólares, que el modelo incorpora por construcción a través de la identidad. El resto proviene de las respuestas del riesgo país, medido por el diferencial del índice EMBI de J.P. Morgan para Argentina (EMBI), del tipo de cambio real multilateral (TCRM) y del crecimiento. Con las binarias presidenciales, el EMBI responde a la FED cuatro a seis trimestres después del</w:t>
      </w:r>
      <w:r>
        <w:t xml:space="preserve"> </w:t>
      </w:r>
      <w:r>
        <w:rPr>
          <w:iCs/>
          <w:i/>
        </w:rPr>
        <w:t xml:space="preserve">shock</w:t>
      </w:r>
      <w:r>
        <w:t xml:space="preserve"> </w:t>
      </w:r>
      <w:r>
        <w:t xml:space="preserve">con intervalos que excluyen el cero (sección 6.1), un canal que la teoría predice; las respuestas del TCRM, con signo de apreciación real, son contrarias a lo esperado, y las del resultado primario, de signo cambiante, no tienen interpretación clara. Uribe y Yue (2006) y Canova (2005) documentan esos canales con paneles y muestras más largas; una sola serie trimestral argentina de treinta años no permite medirlos con precisión. El bloque externo es el de mayor participación en la varianza de la deuda, pero dentro de él pesa más el VIX que la tasa de la FED: la FED explica 13,3% de la varianza y solo 7,6% por el costo directo (Tabla 6.3). La magnitud del efecto de la senda de la FED depende, además, de las binarias presidenciales: sin ellas es de +9,7 puntos de probabilidad y +9,2 de deuda (Tabla 6.6).</w:t>
      </w:r>
    </w:p>
    <w:bookmarkEnd w:id="120"/>
    <w:bookmarkStart w:id="121" w:name="diálogo-con-la-literatura"/>
    <w:p>
      <w:pPr>
        <w:pStyle w:val="Heading2"/>
      </w:pPr>
      <w:r>
        <w:t xml:space="preserve">7.5 Diálogo con la literatura</w:t>
      </w:r>
    </w:p>
    <w:p>
      <w:pPr>
        <w:numPr>
          <w:ilvl w:val="0"/>
          <w:numId w:val="1005"/>
        </w:numPr>
        <w:pStyle w:val="Compact"/>
      </w:pPr>
      <w:r>
        <w:rPr>
          <w:bCs/>
          <w:b/>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Cs/>
          <w:i/>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numPr>
          <w:ilvl w:val="0"/>
          <w:numId w:val="1005"/>
        </w:numPr>
        <w:pStyle w:val="Compact"/>
      </w:pPr>
      <w:r>
        <w:rPr>
          <w:bCs/>
          <w:b/>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numPr>
          <w:ilvl w:val="0"/>
          <w:numId w:val="1005"/>
        </w:numPr>
        <w:pStyle w:val="Compact"/>
      </w:pPr>
      <w:r>
        <w:rPr>
          <w:bCs/>
          <w:b/>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21"/>
    <w:bookmarkStart w:id="122" w:name="limitaciones"/>
    <w:p>
      <w:pPr>
        <w:pStyle w:val="Heading2"/>
      </w:pPr>
      <w:r>
        <w:t xml:space="preserve">7.6 Limitaciones</w:t>
      </w:r>
    </w:p>
    <w:p>
      <w:pPr>
        <w:numPr>
          <w:ilvl w:val="0"/>
          <w:numId w:val="1006"/>
        </w:numPr>
        <w:pStyle w:val="Compact"/>
      </w:pPr>
      <w:r>
        <w:rPr>
          <w:bCs/>
          <w:b/>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numPr>
          <w:ilvl w:val="0"/>
          <w:numId w:val="1006"/>
        </w:numPr>
        <w:pStyle w:val="Compact"/>
      </w:pPr>
      <w:r>
        <w:rPr>
          <w:bCs/>
          <w:b/>
        </w:rPr>
        <w:t xml:space="preserve">Retroalimentación anual.</w:t>
      </w:r>
      <w:r>
        <w:t xml:space="preserve"> </w:t>
      </w:r>
      <w:r>
        <w:t xml:space="preserve">La deuda vuelve al sistema al cierre de cada año; dentro del año, las ecuaciones usan la del cierre anterior.</w:t>
      </w:r>
    </w:p>
    <w:p>
      <w:pPr>
        <w:numPr>
          <w:ilvl w:val="0"/>
          <w:numId w:val="1006"/>
        </w:numPr>
        <w:pStyle w:val="Compact"/>
      </w:pPr>
      <w:r>
        <w:rPr>
          <w:bCs/>
          <w:b/>
        </w:rPr>
        <w:t xml:space="preserve">Composición por monedas fija.</w:t>
      </w:r>
      <w:r>
        <w:t xml:space="preserve"> </w:t>
      </w:r>
      <w:r>
        <w:t xml:space="preserve">Si la depreciación real eleva la proporción en moneda extranjera, el riesgo cambiario está subestimado, como en el FMI.</w:t>
      </w:r>
    </w:p>
    <w:p>
      <w:pPr>
        <w:numPr>
          <w:ilvl w:val="0"/>
          <w:numId w:val="1006"/>
        </w:numPr>
        <w:pStyle w:val="Compact"/>
      </w:pPr>
      <w:r>
        <w:rPr>
          <w:bCs/>
          <w:b/>
        </w:rPr>
        <w:t xml:space="preserve">Variables externas.</w:t>
      </w:r>
      <w:r>
        <w:t xml:space="preserve"> </w:t>
      </w:r>
      <w:r>
        <w:t xml:space="preserve">Los procesos AR(1) del VIX y de la FED no se reestiman en cada réplica del</w:t>
      </w:r>
      <w:r>
        <w:t xml:space="preserve"> </w:t>
      </w:r>
      <w:r>
        <w:rPr>
          <w:iCs/>
          <w:i/>
        </w:rPr>
        <w:t xml:space="preserve">bootstrap</w:t>
      </w:r>
      <w:r>
        <w:t xml:space="preserve">, y el VIX no responde a la FED.</w:t>
      </w:r>
    </w:p>
    <w:p>
      <w:pPr>
        <w:numPr>
          <w:ilvl w:val="0"/>
          <w:numId w:val="1006"/>
        </w:numPr>
        <w:pStyle w:val="Compact"/>
      </w:pPr>
      <w:r>
        <w:rPr>
          <w:bCs/>
          <w:b/>
        </w:rPr>
        <w:t xml:space="preserve">Quiebres.</w:t>
      </w:r>
      <w:r>
        <w:t xml:space="preserve"> </w:t>
      </w:r>
      <w:r>
        <w:t xml:space="preserve">Sus fechas se estiman sobre la serie de deuda y se toman como conocidas; solo mueven el nivel de las ecuaciones, y el régimen posterior a 2024 casi no está en la muestra. El de 2001T4 lo reemplazan las binarias presidenciales, y los quiebres se recalculan al reestimar con otra muestra.</w:t>
      </w:r>
    </w:p>
    <w:p>
      <w:pPr>
        <w:numPr>
          <w:ilvl w:val="0"/>
          <w:numId w:val="1006"/>
        </w:numPr>
        <w:pStyle w:val="Compact"/>
      </w:pPr>
      <w:r>
        <w:rPr>
          <w:bCs/>
          <w:b/>
        </w:rPr>
        <w:t xml:space="preserve">Binarias presidenciales y grados de libertad.</w:t>
      </w:r>
      <w:r>
        <w:t xml:space="preserve"> </w:t>
      </w:r>
      <w:r>
        <w:t xml:space="preserve">La binaria de la administración Milei se apoya en nueve trimestres (2023T4-2025T4), de modo que su efecto sobre el nivel de cada ecuación se estima con muy pocas observaciones, y las siete binarias consumen grados de libertad en las cuatro ecuaciones. Como la simulación se hace en desvíos respecto del escenario base, no alteran la proyección 2026-2035, pero su precisión es limitada. Las binarias absorben diferencias de nivel entre gobiernos y no diferencias en la reacción fiscal, que exigirían más observaciones por mandato. La especificación sin binarias se informa en la sección 6.6; sus resultados no alteran la condición (i) de H1a ni el veredicto de H1b con cada métrica, pero reducen a la mitad el efecto de la senda de la FED, de modo que la magnitud de ese efecto depende de esa especificación.</w:t>
      </w:r>
    </w:p>
    <w:p>
      <w:pPr>
        <w:numPr>
          <w:ilvl w:val="0"/>
          <w:numId w:val="1006"/>
        </w:numPr>
        <w:pStyle w:val="Compact"/>
      </w:pPr>
      <w:r>
        <w:rPr>
          <w:bCs/>
          <w:b/>
        </w:rPr>
        <w:t xml:space="preserve">Series construidas antes de 2004.</w:t>
      </w:r>
      <w:r>
        <w:t xml:space="preserve"> </w:t>
      </w:r>
      <w:r>
        <w:t xml:space="preserve">La muestra incluye 1998T2-2003T4, años en los que el PIB real proviene de un empalme entre bases del INDEC, la deuda de 1996-1997 se interpola en los trimestres que no son de diciembre (solo para detectar quiebres) y el EMBI y el TCRM se reconstruyen con variables puente. Los errores de medición de esos años pueden afectar los coeficientes del tramo de la Convertibilidad y su crisis; la estimación desde 2004 (Tabla 6.6) mantiene H1a y H1b.</w:t>
      </w:r>
    </w:p>
    <w:p>
      <w:pPr>
        <w:numPr>
          <w:ilvl w:val="0"/>
          <w:numId w:val="1006"/>
        </w:numPr>
        <w:pStyle w:val="Compact"/>
      </w:pPr>
      <w:r>
        <w:rPr>
          <w:bCs/>
          <w:b/>
        </w:rPr>
        <w:t xml:space="preserve">Empalmes de 1996-1998.</w:t>
      </w:r>
      <w:r>
        <w:t xml:space="preserve"> </w:t>
      </w:r>
      <w:r>
        <w:t xml:space="preserve">El EMBI de 1996T1-1998T3 y el TCRM de 1996 no tienen dato publicado y se reconstruyen con variables puente (Apéndice, sección A.2). Su peso en la estimación es pequeño: como la muestra empieza en 1998T2, el TCRM de 1996 no entra, y el EMBI reconstruido solo aparece en 1998T2-1998T3 y como rezago en 1997T4-1998T1; el TCRM de 1996 sí entra en la variante a la manera del FMI, para calcular la depreciación real de 1997.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29,5% [22,5; 36,7], contra 27,7% con la ventana completa (métrica anual), y la condición (i) de H1a y el efecto de la FED sobre la probabilidad no cambian (sección 6.6). El empalme se apoya en 12 observaciones superpuestas y su error de predicción es grande (102 puntos básicos), de modo que cualquier uso del EMBI de 1996-1998 es aproximado.</w:t>
      </w:r>
    </w:p>
    <w:p>
      <w:pPr>
        <w:numPr>
          <w:ilvl w:val="0"/>
          <w:numId w:val="1006"/>
        </w:numPr>
        <w:pStyle w:val="Compact"/>
      </w:pPr>
      <w:r>
        <w:rPr>
          <w:bCs/>
          <w:b/>
        </w:rPr>
        <w:t xml:space="preserve">Definición operativa de la métrica.</w:t>
      </w:r>
      <w:r>
        <w:t xml:space="preserve"> </w:t>
      </w:r>
      <w:r>
        <w:t xml:space="preserve">El FMI no publica el cálculo con que obtiene su probabilidad de no estabilización. La tesis sigue el recuadro 3 de su guía (FMI, 2022), con los impulsores del escenario en el año final más el desvío promedio de la trayectoria; la lectura literal, que promedia también el escenario, da probabilidades aún menores (0,0% en 2031 y 0,9% en 2035). Las dos llevan al mismo veredicto sobre H1b.</w:t>
      </w:r>
    </w:p>
    <w:p>
      <w:pPr>
        <w:numPr>
          <w:ilvl w:val="0"/>
          <w:numId w:val="1006"/>
        </w:numPr>
        <w:pStyle w:val="Compact"/>
      </w:pPr>
      <w:r>
        <w:rPr>
          <w:bCs/>
          <w:b/>
        </w:rPr>
        <w:t xml:space="preserve">Rezagos y autocorrelación residual.</w:t>
      </w:r>
      <w:r>
        <w:t xml:space="preserve"> </w:t>
      </w:r>
      <w:r>
        <w:t xml:space="preserve">El criterio de Schwarz elige un rezago, pero con ese orden hay autocorrelación en los residuos; se adopta el orden de dos rezagos, el estable de mayor p-valor del Portmanteau (0,031), que sigue por debajo del 5%. Los resultados con tres rezagos están en la Tabla 6.6, y con uno y con tres, en el Apéndice A.10, y no cambian la condición (i) de H1a ni el veredicto de H1b con cada métrica.</w:t>
      </w:r>
    </w:p>
    <w:p>
      <w:pPr>
        <w:numPr>
          <w:ilvl w:val="0"/>
          <w:numId w:val="1006"/>
        </w:numPr>
        <w:pStyle w:val="Compact"/>
      </w:pPr>
      <w:r>
        <w:rPr>
          <w:bCs/>
          <w:b/>
        </w:rPr>
        <w:t xml:space="preserve">Media de la deuda simulada.</w:t>
      </w:r>
      <w:r>
        <w:t xml:space="preserve"> </w:t>
      </w:r>
      <w:r>
        <w:t xml:space="preserve">La media de la deuda en 2035 es sensible a trayectorias explosivas en una parte de las réplicas (más de un tercio en la consolidada y 32 de 1.000 con los datos desde 2004), de modo que las conclusiones se apoyan sobre todo en las probabilidades.</w:t>
      </w:r>
    </w:p>
    <w:p>
      <w:pPr>
        <w:numPr>
          <w:ilvl w:val="0"/>
          <w:numId w:val="1006"/>
        </w:numPr>
        <w:pStyle w:val="Compact"/>
      </w:pPr>
      <w:r>
        <w:rPr>
          <w:bCs/>
          <w:b/>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Cs/>
          <w:i/>
        </w:rPr>
        <w:t xml:space="preserve">bootstrap</w:t>
      </w:r>
      <w:r>
        <w:t xml:space="preserve">.</w:t>
      </w:r>
    </w:p>
    <w:p>
      <w:pPr>
        <w:numPr>
          <w:ilvl w:val="0"/>
          <w:numId w:val="1006"/>
        </w:numPr>
        <w:pStyle w:val="Compact"/>
      </w:pPr>
      <w:r>
        <w:rPr>
          <w:bCs/>
          <w:b/>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 Se estima desde 2002, con una muestra efectiva más corta que la de la especificación principal (el Apéndice, sección A.4, da el número de observaciones y el orden del VAR, que se selecciona de nuevo para esa muestra). Las dos estimaciones no cubren el mismo período, de modo que sus diferencias mezclan el perímetro de la deuda con la muestra.</w:t>
      </w:r>
    </w:p>
    <w:p>
      <w:pPr>
        <w:numPr>
          <w:ilvl w:val="0"/>
          <w:numId w:val="1006"/>
        </w:numPr>
        <w:pStyle w:val="Compact"/>
      </w:pPr>
      <w:r>
        <w:rPr>
          <w:iCs/>
          <w:i/>
          <w:bCs/>
          <w:b/>
        </w:rPr>
        <w:t xml:space="preserve">Shock</w:t>
      </w:r>
      <w:r>
        <w:rPr>
          <w:bCs/>
          <w:b/>
        </w:rPr>
        <w:t xml:space="preserve"> </w:t>
      </w:r>
      <w:r>
        <w:rPr>
          <w:bCs/>
          <w:b/>
        </w:rPr>
        <w:t xml:space="preserve">de la FED.</w:t>
      </w:r>
      <w:r>
        <w:t xml:space="preserve"> </w:t>
      </w:r>
      <w:r>
        <w:t xml:space="preserve">Es la variación observada de la tasa y no un</w:t>
      </w:r>
      <w:r>
        <w:t xml:space="preserve"> </w:t>
      </w:r>
      <w:r>
        <w:rPr>
          <w:iCs/>
          <w:i/>
        </w:rPr>
        <w:t xml:space="preserve">shock</w:t>
      </w:r>
      <w:r>
        <w:t xml:space="preserve"> </w:t>
      </w:r>
      <w:r>
        <w:t xml:space="preserve">monetario identificado con datos de alta frecuencia.</w:t>
      </w:r>
    </w:p>
    <w:bookmarkEnd w:id="122"/>
    <w:bookmarkEnd w:id="123"/>
    <w:bookmarkStart w:id="12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la no estabilización se midió con la definición operativa del FMI, que decide el contraste, y con una métrica anual como complemento. Las variables endógenas son el resultado primario, el crecimiento,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Cs/>
          <w:b/>
        </w:rPr>
        <w:t xml:space="preserve">H1a.</w:t>
      </w:r>
      <w:r>
        <w:t xml:space="preserve"> </w:t>
      </w:r>
      <w:r>
        <w:t xml:space="preserve">Los</w:t>
      </w:r>
      <w:r>
        <w:t xml:space="preserve"> </w:t>
      </w:r>
      <w:r>
        <w:rPr>
          <w:iCs/>
          <w:i/>
        </w:rPr>
        <w:t xml:space="preserve">shocks</w:t>
      </w:r>
      <w:r>
        <w:t xml:space="preserve"> </w:t>
      </w:r>
      <w:r>
        <w:t xml:space="preserve">no fiscales explican la mayor parte de la incertidumbre sobre la deuda de 2035: su contribución a la varianza supera a la del</w:t>
      </w:r>
      <w:r>
        <w:t xml:space="preserve"> </w:t>
      </w:r>
      <w:r>
        <w:rPr>
          <w:iCs/>
          <w:i/>
        </w:rPr>
        <w:t xml:space="preserve">shock</w:t>
      </w:r>
      <w:r>
        <w:t xml:space="preserve"> </w:t>
      </w:r>
      <w:r>
        <w:t xml:space="preserve">fiscal en 96,8 puntos, con un intervalo de 90% de 90,8 a 99,8. El bloque externo (FED y VIX) aporta 59,4% de la varianza y el cambiario y de riesgo, 28,3%, frente a 1,6% del fiscal. La primera condición de H1a se cumple en las 20 especificaciones en que se informa; el menor límite inferior, 67,3 puntos, corresponde a la variante sin binarias presidenciales, en la que la diferencia es de 77,9 puntos: la cifra fiscal es tan baja en la especificación principal en parte porque esas binarias absorben variación del resultado primario, de modo que lo robusto es el orden de magnitud y no el valor puntual. La política fiscal respondió a la deuda en el período: el coeficiente de impacto de la deuda rezagada sobre el resultado primario trimestral es 0,0466, con un intervalo de 0,0231 a 0,0835, y el de largo plazo, 0,079 (0,062 a 0,147). La segunda condición de H1a, la suficiencia del superávit, se evalúa con la definición operativa del FMI y no se cumple: con el resultado primario de 2031 en su máximo histórico, la probabilidad de no estabilización en 2031 baja a 0,9%, debajo del 1% del FMI, y alcanza un desplazamiento de un punto. Con la métrica anual el resultado es otro: con un desplazamiento uniforme del resultado primario que lleve el de 2031 a su máximo anual de 1996-2025 (3,29% del PIB, en 2004; el de 2026 quedaría en 2,39%), la probabilidad de no estabilización en 2031 sería de 23,0% (21,6% con el máximo de la serie con rentas, 3,58%), muy por encima del 1% del FMI, y llevarla a esa cifra requeriría sumar 7,25 puntos al resultado primario del escenario en todos los años (8,65% del PIB en 2026 y 9,55% en 2031). H1a no queda respaldada: se sostiene el predominio de los</w:t>
      </w:r>
      <w:r>
        <w:t xml:space="preserve"> </w:t>
      </w:r>
      <w:r>
        <w:rPr>
          <w:iCs/>
          <w:i/>
        </w:rPr>
        <w:t xml:space="preserve">shocks</w:t>
      </w:r>
      <w:r>
        <w:t xml:space="preserve"> </w:t>
      </w:r>
      <w:r>
        <w:t xml:space="preserve">no fiscales en la incertidumbre, que no depende de la métrica, pero no que el superávit por sí solo no baste para estabilizar la deuda tal como la mide el FMI.</w:t>
      </w:r>
    </w:p>
    <w:p>
      <w:pPr>
        <w:pStyle w:val="BodyText"/>
      </w:pPr>
      <w:r>
        <w:rPr>
          <w:bCs/>
          <w:b/>
        </w:rPr>
        <w:t xml:space="preserve">H1b.</w:t>
      </w:r>
      <w:r>
        <w:t xml:space="preserve"> </w:t>
      </w:r>
      <w:r>
        <w:t xml:space="preserve">Con la definición operativa del FMI, la probabilidad de que la deuda federal bruta no se estabilice es de 3,1% en 2031 (intervalo de 90%: 0,0% a 6,3%) y de 5,1% en 2035 (0,0% a 10,2%), frente a alrededor de 1% y menos de 3% en el análisis del FMI con el mismo perímetro, punto de partida y escenario. Las estimaciones centrales son mayores que las del organismo, pero los intervalos las incluyen, y el límite inferior las supera solo en 2 de las 21 especificaciones (la deuda consolidada y el canal de tasas en pesos). H1b no queda respaldada: con la métrica del FMI, la dinámica histórica estimada da una probabilidad del mismo orden que la del organismo. La comparación es, además, asimétrica, porque la cifra del FMI no tiene intervalo (sección 7.1). Con la métrica anual, que incluye la valuación de la deuda en moneda extranjera de cada año, la probabilidad sube a 27,7% en 2031 (20,6% a 34,7%) y a 29,0% en 2035 (25,0% a 36,1%), con límites inferiores por encima de las cifras del FMI en las 21 especificaciones y con la corrección de Bonferroni (19,0% y 24,1%). Esa distancia no prueba que el FMI subestime el riesgo, porque sus cifras se calculan con otra definición; mide cuánto del riesgo de no estabilización proviene de la valuación anual de la deuda en moneda extranjera, que la definición del FMI excluye por construcción. Con el procedimiento de</w:t>
      </w:r>
      <w:r>
        <w:t xml:space="preserve"> </w:t>
      </w:r>
      <w:r>
        <w:rPr>
          <w:iCs/>
          <w:i/>
        </w:rPr>
        <w:t xml:space="preserve">shocks</w:t>
      </w:r>
      <w:r>
        <w:t xml:space="preserve"> </w:t>
      </w:r>
      <w:r>
        <w:t xml:space="preserve">del FMI aplicado a los impulsores anuales de la historia argentina, la probabilidad de 2031 es de 29,1% con la definición operativa y de 24,1% con la métrica anual: con la historia argentina, el procedimiento del propio organismo no reproduce el 1%, y la tesis no atribuye esa diferencia a una causa que no puede verificar, porque el FMI no publica su distribución de</w:t>
      </w:r>
      <w:r>
        <w:t xml:space="preserve"> </w:t>
      </w:r>
      <w:r>
        <w:rPr>
          <w:iCs/>
          <w:i/>
        </w:rPr>
        <w:t xml:space="preserve">shocks</w:t>
      </w:r>
      <w:r>
        <w:t xml:space="preserve">.</w:t>
      </w:r>
    </w:p>
    <w:p>
      <w:pPr>
        <w:pStyle w:val="BodyText"/>
      </w:pPr>
      <w:r>
        <w:rPr>
          <w:bCs/>
          <w:b/>
        </w:rPr>
        <w:t xml:space="preserve">H2.</w:t>
      </w:r>
      <w:r>
        <w:t xml:space="preserve"> </w:t>
      </w:r>
      <w:r>
        <w:t xml:space="preserve">Repetir en 2026-2029 la senda de la tasa de la FED de 2022-2025, que deja su nivel 3,82 puntos por encima del escenario base desde 2030, eleva la probabilidad de no estabilización de 2035 en 18,4 puntos (6,3 a 29,1; con la definición operativa del FMI, 17,1 puntos, de 0,6 a 32,6) y la deuda esperada de 2035 en 19,3 puntos del PIB (-0,3 a 31,3). Un nivel de la tasa 0,501 puntos más alto en forma permanente las eleva en 1,9 puntos (0,3 a 3,2) y 2,0 puntos del PIB (0,4 a 3,2). H2 queda parcialmente respaldada. El efecto de la senda de 2022-2025 sobre la probabilidad resiste la corrección de Bonferroni (4,1 a 30,8) y excluye el cero en 20 de las 21 especificaciones; la excepción son los datos desde 2004. El efecto de esa senda sobre la deuda esperada no excluye el cero por un margen mínimo en la especificación principal, no resiste Bonferroni y lo excluye en 11 de 21 (en 7 lo incluye, en una el límite inferior es 0,00 y en dos no se informa); el del nivel más alto en forma permanente cumple el criterio pero es pequeño y tampoco resiste esa corrección. Los canales por los que opera el</w:t>
      </w:r>
      <w:r>
        <w:t xml:space="preserve"> </w:t>
      </w:r>
      <w:r>
        <w:rPr>
          <w:iCs/>
          <w:i/>
        </w:rPr>
        <w:t xml:space="preserve">shock</w:t>
      </w:r>
      <w:r>
        <w:t xml:space="preserve"> </w:t>
      </w:r>
      <w:r>
        <w:t xml:space="preserve">(sección 4.3) se verifican solo en parte: de 84 intervalos de respuesta, 11 excluyen el cero, entre ellos tres del EMBI de cuatro a seis trimestres después del</w:t>
      </w:r>
      <w:r>
        <w:t xml:space="preserve"> </w:t>
      </w:r>
      <w:r>
        <w:rPr>
          <w:iCs/>
          <w:i/>
        </w:rPr>
        <w:t xml:space="preserve">shock</w:t>
      </w:r>
      <w:r>
        <w:t xml:space="preserve">. El 77% del efecto de la senda sobre la deuda de 2035 (14,8 de 19,3 puntos) es el costo directo de la deuda en dólares, que la identidad incorpora. Estos resultados dependen de las binarias presidenciales: sin ellas el efecto de la senda es de 9,7 puntos de probabilidad y 9,2 de deuda (-0,2 a 17,1).</w:t>
      </w:r>
    </w:p>
    <w:p>
      <w:pPr>
        <w:pStyle w:val="BodyText"/>
      </w:pPr>
      <w:r>
        <w:rPr>
          <w:bCs/>
          <w:b/>
        </w:rPr>
        <w:t xml:space="preserve">Extensión con la deuda consolidada.</w:t>
      </w:r>
      <w:r>
        <w:t xml:space="preserve"> </w:t>
      </w:r>
      <w:r>
        <w:t xml:space="preserve">Con la deuda consolidada con el BCRA, que parte de 52,1% del PIB y se estima desde 2002, la probabilidad de no estabilización es de 31,1% en 2031 (27,6% a 41,5%) y de 35,0% en 2035 (32,3% a 49,8%). La senda de la FED eleva la probabilidad de 2035 en 19,2 puntos (3,2 a 33,8). No se informan el reparto de la varianza ni la media de la deuda consolidada, porque trayectorias explosivas dominan esas medidas en 368 de las 1.000 réplicas, más de un tercio; por eso la extensión es exploratoria y solo respalda el orden de magnitud de la probabilidad de no estabilización, que supera la del FMI con las dos métricas (con la definición operativa, 11,0% en 2031, de 2,7% a 20,2%), aunque con los intervalos poco confiables de esa extensión.</w:t>
      </w:r>
    </w:p>
    <w:p>
      <w:pPr>
        <w:pStyle w:val="BodyText"/>
      </w:pPr>
      <w:r>
        <w:rPr>
          <w:bCs/>
          <w:b/>
        </w:rPr>
        <w:t xml:space="preserve">Implicancia.</w:t>
      </w:r>
      <w:r>
        <w:t xml:space="preserve"> </w:t>
      </w:r>
      <w:r>
        <w:t xml:space="preserve">Medido como lo mide el FMI, el riesgo de que la deuda federal bruta argentina no se estabilice es del mismo orden que el que informa el organismo: la tesis no encuentra que el FMI lo subestime. El riesgo que queda fuera de esa medida es el de la valuación anual de la deuda en moneda extranjera: cuando se lo incorpora, la probabilidad de no estabilización sube a 27,7% en 2031, y la de que la deuda de 2031 supere a la de 2029 es de 20,0%. Lo que no depende de la métrica es de dónde viene la incertidumbre: la mayor parte proviene de</w:t>
      </w:r>
      <w:r>
        <w:t xml:space="preserve"> </w:t>
      </w:r>
      <w:r>
        <w:rPr>
          <w:iCs/>
          <w:i/>
        </w:rPr>
        <w:t xml:space="preserve">shocks</w:t>
      </w:r>
      <w:r>
        <w:t xml:space="preserve"> </w:t>
      </w:r>
      <w:r>
        <w:t xml:space="preserve">externos, cambiarios y de riesgo, que la política fiscal no controla, y la senda de la FED de 2022-2025 eleva la probabilidad de no estabilización con las dos métricas. Un superávit de 2031 en el máximo de 1996-2025 alcanza para llevar la probabilidad a la cifra del FMI con su propia métrica, pero no protege a la deuda de la valuación anual: con la métrica anual, la probabilidad queda lejos de esa cifra. La tesis no simula cambios en la composición por moneda ni en los plazos de la deuda, de modo que no permite evaluar esas alternativas.</w:t>
      </w:r>
    </w:p>
    <w:p>
      <w:pPr>
        <w:pStyle w:val="BodyText"/>
      </w:pPr>
      <w:r>
        <w:rPr>
          <w:bCs/>
          <w:b/>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Cs/>
          <w:b/>
        </w:rPr>
        <w:t xml:space="preserve">Líneas de trabajo futuro.</w:t>
      </w:r>
    </w:p>
    <w:p>
      <w:pPr>
        <w:numPr>
          <w:ilvl w:val="0"/>
          <w:numId w:val="1007"/>
        </w:numPr>
        <w:pStyle w:val="Compact"/>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numPr>
          <w:ilvl w:val="0"/>
          <w:numId w:val="1007"/>
        </w:numPr>
        <w:pStyle w:val="Compact"/>
      </w:pPr>
      <w:r>
        <w:t xml:space="preserve">Reemplazar la variación de la tasa de la FED por</w:t>
      </w:r>
      <w:r>
        <w:t xml:space="preserve"> </w:t>
      </w:r>
      <w:r>
        <w:rPr>
          <w:iCs/>
          <w:i/>
        </w:rPr>
        <w:t xml:space="preserve">shocks</w:t>
      </w:r>
      <w:r>
        <w:t xml:space="preserve"> </w:t>
      </w:r>
      <w:r>
        <w:t xml:space="preserve">monetarios identificados con datos de alta frecuencia, que aíslan la parte no anticipada de la política de Estados Unidos.</w:t>
      </w:r>
    </w:p>
    <w:p>
      <w:pPr>
        <w:numPr>
          <w:ilvl w:val="0"/>
          <w:numId w:val="1007"/>
        </w:numPr>
        <w:pStyle w:val="Compact"/>
      </w:pPr>
      <w:r>
        <w:t xml:space="preserve">Incorporar los términos de intercambio como variable exógena, por su peso en la generación de divisas.</w:t>
      </w:r>
    </w:p>
    <w:p>
      <w:pPr>
        <w:numPr>
          <w:ilvl w:val="0"/>
          <w:numId w:val="1007"/>
        </w:numPr>
        <w:pStyle w:val="Compact"/>
      </w:pPr>
      <w:r>
        <w:t xml:space="preserve">Agregar un módulo de balanza de pagos, que permita contrastar el enfoque de la restricción externa que en esta tesis cumple un papel de contexto.</w:t>
      </w:r>
    </w:p>
    <w:bookmarkEnd w:id="124"/>
    <w:bookmarkStart w:id="138" w:name="apéndice-estadístico"/>
    <w:p>
      <w:pPr>
        <w:pStyle w:val="Heading1"/>
      </w:pPr>
      <w:r>
        <w:t xml:space="preserve">Apéndice estadístico</w:t>
      </w:r>
    </w:p>
    <w:p>
      <w:pPr>
        <w:pStyle w:val="FirstParagraph"/>
      </w:pPr>
      <w:r>
        <w:t xml:space="preserve">Fuente de todas las tablas, salvo indicación: elaboración propia.</w:t>
      </w:r>
    </w:p>
    <w:bookmarkStart w:id="125"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Media</w:t>
            </w:r>
          </w:p>
        </w:tc>
        <w:tc>
          <w:tcPr/>
          <w:p>
            <w:pPr>
              <w:pStyle w:val="Compact"/>
              <w:jc w:val="left"/>
            </w:pPr>
            <w:r>
              <w:rPr>
                <w:rFonts w:ascii="Calibri" w:hAnsi="Calibri"/>
                <w:sz w:val="20"/>
              </w:rPr>
              <w:t xml:space="preserve">Desvío estándar</w:t>
            </w:r>
          </w:p>
        </w:tc>
        <w:tc>
          <w:tcPr/>
          <w:p>
            <w:pPr>
              <w:pStyle w:val="Compact"/>
              <w:jc w:val="left"/>
            </w:pPr>
            <w:r>
              <w:rPr>
                <w:rFonts w:ascii="Calibri" w:hAnsi="Calibri"/>
                <w:sz w:val="20"/>
              </w:rPr>
              <w:t xml:space="preserve">Mínimo</w:t>
            </w:r>
          </w:p>
        </w:tc>
        <w:tc>
          <w:tcPr/>
          <w:p>
            <w:pPr>
              <w:pStyle w:val="Compact"/>
              <w:jc w:val="left"/>
            </w:pPr>
            <w:r>
              <w:rPr>
                <w:rFonts w:ascii="Calibri" w:hAnsi="Calibri"/>
                <w:sz w:val="20"/>
              </w:rPr>
              <w:t xml:space="preserve">Máximo</w:t>
            </w:r>
          </w:p>
        </w:tc>
      </w:tr>
      <w:tr>
        <w:tc>
          <w:tcPr/>
          <w:p>
            <w:pPr>
              <w:pStyle w:val="Compact"/>
              <w:jc w:val="left"/>
            </w:pPr>
            <w:r>
              <w:rPr>
                <w:rFonts w:ascii="Calibri" w:hAnsi="Calibri"/>
                <w:sz w:val="20"/>
              </w:rPr>
              <w:t xml:space="preserve">Resultado primario (% del PIB, trimestral anualizado)</w:t>
            </w:r>
          </w:p>
        </w:tc>
        <w:tc>
          <w:tcPr/>
          <w:p>
            <w:pPr>
              <w:pStyle w:val="Compact"/>
              <w:jc w:val="left"/>
            </w:pPr>
            <w:r>
              <w:rPr>
                <w:rFonts w:ascii="Calibri" w:hAnsi="Calibri"/>
                <w:sz w:val="20"/>
              </w:rPr>
              <w:t xml:space="preserve">-0,95</w:t>
            </w:r>
          </w:p>
        </w:tc>
        <w:tc>
          <w:tcPr/>
          <w:p>
            <w:pPr>
              <w:pStyle w:val="Compact"/>
              <w:jc w:val="left"/>
            </w:pPr>
            <w:r>
              <w:rPr>
                <w:rFonts w:ascii="Calibri" w:hAnsi="Calibri"/>
                <w:sz w:val="20"/>
              </w:rPr>
              <w:t xml:space="preserve">3,41</w:t>
            </w:r>
          </w:p>
        </w:tc>
        <w:tc>
          <w:tcPr/>
          <w:p>
            <w:pPr>
              <w:pStyle w:val="Compact"/>
              <w:jc w:val="left"/>
            </w:pPr>
            <w:r>
              <w:rPr>
                <w:rFonts w:ascii="Calibri" w:hAnsi="Calibri"/>
                <w:sz w:val="20"/>
              </w:rPr>
              <w:t xml:space="preserve">-12,53</w:t>
            </w:r>
          </w:p>
        </w:tc>
        <w:tc>
          <w:tcPr/>
          <w:p>
            <w:pPr>
              <w:pStyle w:val="Compact"/>
              <w:jc w:val="left"/>
            </w:pPr>
            <w:r>
              <w:rPr>
                <w:rFonts w:ascii="Calibri" w:hAnsi="Calibri"/>
                <w:sz w:val="20"/>
              </w:rPr>
              <w:t xml:space="preserve">6,92</w:t>
            </w:r>
          </w:p>
        </w:tc>
      </w:tr>
      <w:tr>
        <w:tc>
          <w:tcPr/>
          <w:p>
            <w:pPr>
              <w:pStyle w:val="Compact"/>
              <w:jc w:val="left"/>
            </w:pPr>
            <w:r>
              <w:rPr>
                <w:rFonts w:ascii="Calibri" w:hAnsi="Calibri"/>
                <w:sz w:val="20"/>
              </w:rPr>
              <w:t xml:space="preserve">Crecimiento real trimestral (%)</w:t>
            </w:r>
          </w:p>
        </w:tc>
        <w:tc>
          <w:tcPr/>
          <w:p>
            <w:pPr>
              <w:pStyle w:val="Compact"/>
              <w:jc w:val="left"/>
            </w:pPr>
            <w:r>
              <w:rPr>
                <w:rFonts w:ascii="Calibri" w:hAnsi="Calibri"/>
                <w:sz w:val="20"/>
              </w:rPr>
              <w:t xml:space="preserve">0,39</w:t>
            </w:r>
          </w:p>
        </w:tc>
        <w:tc>
          <w:tcPr/>
          <w:p>
            <w:pPr>
              <w:pStyle w:val="Compact"/>
              <w:jc w:val="left"/>
            </w:pPr>
            <w:r>
              <w:rPr>
                <w:rFonts w:ascii="Calibri" w:hAnsi="Calibri"/>
                <w:sz w:val="20"/>
              </w:rPr>
              <w:t xml:space="preserve">7,41</w:t>
            </w:r>
          </w:p>
        </w:tc>
        <w:tc>
          <w:tcPr/>
          <w:p>
            <w:pPr>
              <w:pStyle w:val="Compact"/>
              <w:jc w:val="left"/>
            </w:pPr>
            <w:r>
              <w:rPr>
                <w:rFonts w:ascii="Calibri" w:hAnsi="Calibri"/>
                <w:sz w:val="20"/>
              </w:rPr>
              <w:t xml:space="preserve">-13,77</w:t>
            </w:r>
          </w:p>
        </w:tc>
        <w:tc>
          <w:tcPr/>
          <w:p>
            <w:pPr>
              <w:pStyle w:val="Compact"/>
              <w:jc w:val="left"/>
            </w:pPr>
            <w:r>
              <w:rPr>
                <w:rFonts w:ascii="Calibri" w:hAnsi="Calibri"/>
                <w:sz w:val="20"/>
              </w:rPr>
              <w:t xml:space="preserve">18,21</w:t>
            </w:r>
          </w:p>
        </w:tc>
      </w:tr>
      <w:tr>
        <w:tc>
          <w:tcPr/>
          <w:p>
            <w:pPr>
              <w:pStyle w:val="Compact"/>
              <w:jc w:val="left"/>
            </w:pPr>
            <w:r>
              <w:rPr>
                <w:rFonts w:ascii="Calibri" w:hAnsi="Calibri"/>
                <w:sz w:val="20"/>
              </w:rPr>
              <w:t xml:space="preserve">EMBI (puntos básicos)</w:t>
            </w:r>
          </w:p>
        </w:tc>
        <w:tc>
          <w:tcPr/>
          <w:p>
            <w:pPr>
              <w:pStyle w:val="Compact"/>
              <w:jc w:val="left"/>
            </w:pPr>
            <w:r>
              <w:rPr>
                <w:rFonts w:ascii="Calibri" w:hAnsi="Calibri"/>
                <w:sz w:val="20"/>
              </w:rPr>
              <w:t xml:space="preserve">1.559,25</w:t>
            </w:r>
          </w:p>
        </w:tc>
        <w:tc>
          <w:tcPr/>
          <w:p>
            <w:pPr>
              <w:pStyle w:val="Compact"/>
              <w:jc w:val="left"/>
            </w:pPr>
            <w:r>
              <w:rPr>
                <w:rFonts w:ascii="Calibri" w:hAnsi="Calibri"/>
                <w:sz w:val="20"/>
              </w:rPr>
              <w:t xml:space="preserve">1.612,73</w:t>
            </w:r>
          </w:p>
        </w:tc>
        <w:tc>
          <w:tcPr/>
          <w:p>
            <w:pPr>
              <w:pStyle w:val="Compact"/>
              <w:jc w:val="left"/>
            </w:pPr>
            <w:r>
              <w:rPr>
                <w:rFonts w:ascii="Calibri" w:hAnsi="Calibri"/>
                <w:sz w:val="20"/>
              </w:rPr>
              <w:t xml:space="preserve">210,22</w:t>
            </w:r>
          </w:p>
        </w:tc>
        <w:tc>
          <w:tcPr/>
          <w:p>
            <w:pPr>
              <w:pStyle w:val="Compact"/>
              <w:jc w:val="left"/>
            </w:pPr>
            <w:r>
              <w:rPr>
                <w:rFonts w:ascii="Calibri" w:hAnsi="Calibri"/>
                <w:sz w:val="20"/>
              </w:rPr>
              <w:t xml:space="preserve">6.658,98</w:t>
            </w:r>
          </w:p>
        </w:tc>
      </w:tr>
      <w:tr>
        <w:tc>
          <w:tcPr/>
          <w:p>
            <w:pPr>
              <w:pStyle w:val="Compact"/>
              <w:jc w:val="left"/>
            </w:pPr>
            <w:r>
              <w:rPr>
                <w:rFonts w:ascii="Calibri" w:hAnsi="Calibri"/>
                <w:sz w:val="20"/>
              </w:rPr>
              <w:t xml:space="preserve">TCRM (diciembre de 2001 = 1)</w:t>
            </w:r>
          </w:p>
        </w:tc>
        <w:tc>
          <w:tcPr/>
          <w:p>
            <w:pPr>
              <w:pStyle w:val="Compact"/>
              <w:jc w:val="left"/>
            </w:pPr>
            <w:r>
              <w:rPr>
                <w:rFonts w:ascii="Calibri" w:hAnsi="Calibri"/>
                <w:sz w:val="20"/>
              </w:rPr>
              <w:t xml:space="preserve">1,66</w:t>
            </w:r>
          </w:p>
        </w:tc>
        <w:tc>
          <w:tcPr/>
          <w:p>
            <w:pPr>
              <w:pStyle w:val="Compact"/>
              <w:jc w:val="left"/>
            </w:pPr>
            <w:r>
              <w:rPr>
                <w:rFonts w:ascii="Calibri" w:hAnsi="Calibri"/>
                <w:sz w:val="20"/>
              </w:rPr>
              <w:t xml:space="preserve">0,45</w:t>
            </w:r>
          </w:p>
        </w:tc>
        <w:tc>
          <w:tcPr/>
          <w:p>
            <w:pPr>
              <w:pStyle w:val="Compact"/>
              <w:jc w:val="left"/>
            </w:pPr>
            <w:r>
              <w:rPr>
                <w:rFonts w:ascii="Calibri" w:hAnsi="Calibri"/>
                <w:sz w:val="20"/>
              </w:rPr>
              <w:t xml:space="preserve">0,98</w:t>
            </w:r>
          </w:p>
        </w:tc>
        <w:tc>
          <w:tcPr/>
          <w:p>
            <w:pPr>
              <w:pStyle w:val="Compact"/>
              <w:jc w:val="left"/>
            </w:pPr>
            <w:r>
              <w:rPr>
                <w:rFonts w:ascii="Calibri" w:hAnsi="Calibri"/>
                <w:sz w:val="20"/>
              </w:rPr>
              <w:t xml:space="preserve">2,76</w:t>
            </w:r>
          </w:p>
        </w:tc>
      </w:tr>
      <w:tr>
        <w:tc>
          <w:tcPr/>
          <w:p>
            <w:pPr>
              <w:pStyle w:val="Compact"/>
              <w:jc w:val="left"/>
            </w:pPr>
            <w:r>
              <w:rPr>
                <w:rFonts w:ascii="Calibri" w:hAnsi="Calibri"/>
                <w:sz w:val="20"/>
              </w:rPr>
              <w:t xml:space="preserve">Deuda federal bruta, rezagada (% del PIB)</w:t>
            </w:r>
          </w:p>
        </w:tc>
        <w:tc>
          <w:tcPr/>
          <w:p>
            <w:pPr>
              <w:pStyle w:val="Compact"/>
              <w:jc w:val="left"/>
            </w:pPr>
            <w:r>
              <w:rPr>
                <w:rFonts w:ascii="Calibri" w:hAnsi="Calibri"/>
                <w:sz w:val="20"/>
              </w:rPr>
              <w:t xml:space="preserve">66,56</w:t>
            </w:r>
          </w:p>
        </w:tc>
        <w:tc>
          <w:tcPr/>
          <w:p>
            <w:pPr>
              <w:pStyle w:val="Compact"/>
              <w:jc w:val="left"/>
            </w:pPr>
            <w:r>
              <w:rPr>
                <w:rFonts w:ascii="Calibri" w:hAnsi="Calibri"/>
                <w:sz w:val="20"/>
              </w:rPr>
              <w:t xml:space="preserve">31,45</w:t>
            </w:r>
          </w:p>
        </w:tc>
        <w:tc>
          <w:tcPr/>
          <w:p>
            <w:pPr>
              <w:pStyle w:val="Compact"/>
              <w:jc w:val="left"/>
            </w:pPr>
            <w:r>
              <w:rPr>
                <w:rFonts w:ascii="Calibri" w:hAnsi="Calibri"/>
                <w:sz w:val="20"/>
              </w:rPr>
              <w:t xml:space="preserve">32,18</w:t>
            </w:r>
          </w:p>
        </w:tc>
        <w:tc>
          <w:tcPr/>
          <w:p>
            <w:pPr>
              <w:pStyle w:val="Compact"/>
              <w:jc w:val="left"/>
            </w:pPr>
            <w:r>
              <w:rPr>
                <w:rFonts w:ascii="Calibri" w:hAnsi="Calibri"/>
                <w:sz w:val="20"/>
              </w:rPr>
              <w:t xml:space="preserve">154,59</w:t>
            </w:r>
          </w:p>
        </w:tc>
      </w:tr>
      <w:tr>
        <w:tc>
          <w:tcPr/>
          <w:p>
            <w:pPr>
              <w:pStyle w:val="Compact"/>
              <w:jc w:val="left"/>
            </w:pPr>
            <w:r>
              <w:rPr>
                <w:rFonts w:ascii="Calibri" w:hAnsi="Calibri"/>
                <w:sz w:val="20"/>
              </w:rPr>
              <w:t xml:space="preserve">Variación de la tasa de la FED (puntos)</w:t>
            </w:r>
          </w:p>
        </w:tc>
        <w:tc>
          <w:tcPr/>
          <w:p>
            <w:pPr>
              <w:pStyle w:val="Compact"/>
              <w:jc w:val="left"/>
            </w:pPr>
            <w:r>
              <w:rPr>
                <w:rFonts w:ascii="Calibri" w:hAnsi="Calibri"/>
                <w:sz w:val="20"/>
              </w:rPr>
              <w:t xml:space="preserve">-0,04</w:t>
            </w:r>
          </w:p>
        </w:tc>
        <w:tc>
          <w:tcPr/>
          <w:p>
            <w:pPr>
              <w:pStyle w:val="Compact"/>
              <w:jc w:val="left"/>
            </w:pPr>
            <w:r>
              <w:rPr>
                <w:rFonts w:ascii="Calibri" w:hAnsi="Calibri"/>
                <w:sz w:val="20"/>
              </w:rPr>
              <w:t xml:space="preserve">0,50</w:t>
            </w:r>
          </w:p>
        </w:tc>
        <w:tc>
          <w:tcPr/>
          <w:p>
            <w:pPr>
              <w:pStyle w:val="Compact"/>
              <w:jc w:val="left"/>
            </w:pPr>
            <w:r>
              <w:rPr>
                <w:rFonts w:ascii="Calibri" w:hAnsi="Calibri"/>
                <w:sz w:val="20"/>
              </w:rPr>
              <w:t xml:space="preserve">-1,43</w:t>
            </w:r>
          </w:p>
        </w:tc>
        <w:tc>
          <w:tcPr/>
          <w:p>
            <w:pPr>
              <w:pStyle w:val="Compact"/>
              <w:jc w:val="left"/>
            </w:pPr>
            <w:r>
              <w:rPr>
                <w:rFonts w:ascii="Calibri" w:hAnsi="Calibri"/>
                <w:sz w:val="20"/>
              </w:rPr>
              <w:t xml:space="preserve">1,46</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20,20</w:t>
            </w:r>
          </w:p>
        </w:tc>
        <w:tc>
          <w:tcPr/>
          <w:p>
            <w:pPr>
              <w:pStyle w:val="Compact"/>
              <w:jc w:val="left"/>
            </w:pPr>
            <w:r>
              <w:rPr>
                <w:rFonts w:ascii="Calibri" w:hAnsi="Calibri"/>
                <w:sz w:val="20"/>
              </w:rPr>
              <w:t xml:space="preserve">7,33</w:t>
            </w:r>
          </w:p>
        </w:tc>
        <w:tc>
          <w:tcPr/>
          <w:p>
            <w:pPr>
              <w:pStyle w:val="Compact"/>
              <w:jc w:val="left"/>
            </w:pPr>
            <w:r>
              <w:rPr>
                <w:rFonts w:ascii="Calibri" w:hAnsi="Calibri"/>
                <w:sz w:val="20"/>
              </w:rPr>
              <w:t xml:space="preserve">10,31</w:t>
            </w:r>
          </w:p>
        </w:tc>
        <w:tc>
          <w:tcPr/>
          <w:p>
            <w:pPr>
              <w:pStyle w:val="Compact"/>
              <w:jc w:val="left"/>
            </w:pPr>
            <w:r>
              <w:rPr>
                <w:rFonts w:ascii="Calibri" w:hAnsi="Calibri"/>
                <w:sz w:val="20"/>
              </w:rPr>
              <w:t xml:space="preserve">58,60</w:t>
            </w:r>
          </w:p>
        </w:tc>
      </w:tr>
    </w:tbl>
    <w:p>
      <w:pPr>
        <w:pStyle w:val="BodyText"/>
      </w:pPr>
      <w:r>
        <w:t xml:space="preserve">El máximo de la deuda federal bruta propia, 154,59%, corresponde a 2002T3, después de la devaluación de 2002. No proviene de la cifra del FMI para diciembre de 2023 (154,6%), con la que coincide por casualidad: la serie propia da 153,5% en esa fecha (Tabla 5.2).</w:t>
      </w:r>
    </w:p>
    <w:bookmarkEnd w:id="125"/>
    <w:bookmarkStart w:id="129"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Variable puente</w:t>
            </w:r>
          </w:p>
        </w:tc>
        <w:tc>
          <w:tcPr/>
          <w:p>
            <w:pPr>
              <w:pStyle w:val="Compact"/>
              <w:jc w:val="left"/>
            </w:pPr>
            <w:r>
              <w:rPr>
                <w:rFonts w:ascii="Calibri" w:hAnsi="Calibri"/>
                <w:sz w:val="20"/>
              </w:rPr>
              <w:t xml:space="preserve">Superposición</w:t>
            </w:r>
          </w:p>
        </w:tc>
        <w:tc>
          <w:tcPr/>
          <w:p>
            <w:pPr>
              <w:pStyle w:val="Compact"/>
              <w:jc w:val="left"/>
            </w:pPr>
            <w:r>
              <w:rPr>
                <w:rFonts w:ascii="Calibri" w:hAnsi="Calibri"/>
                <w:sz w:val="20"/>
              </w:rPr>
              <w:t xml:space="preserve">n</w:t>
            </w:r>
          </w:p>
        </w:tc>
        <w:tc>
          <w:tcPr/>
          <w:p>
            <w:pPr>
              <w:pStyle w:val="Compact"/>
              <w:jc w:val="left"/>
            </w:pPr>
            <w:r>
              <w:rPr>
                <w:rFonts w:ascii="Calibri" w:hAnsi="Calibri"/>
                <w:sz w:val="20"/>
              </w:rPr>
              <w:t xml:space="preserve">Correlación</w:t>
            </w:r>
          </w:p>
        </w:tc>
        <w:tc>
          <w:tcPr/>
          <w:p>
            <w:pPr>
              <w:pStyle w:val="Compact"/>
              <w:jc w:val="left"/>
            </w:pPr>
            <w:r>
              <w:rPr>
                <w:rFonts w:ascii="Calibri" w:hAnsi="Calibri"/>
                <w:sz w:val="20"/>
              </w:rPr>
              <w:t xml:space="preserve">R²</w:t>
            </w:r>
          </w:p>
        </w:tc>
        <w:tc>
          <w:tcPr/>
          <w:p>
            <w:pPr>
              <w:pStyle w:val="Compact"/>
              <w:jc w:val="left"/>
            </w:pPr>
            <w:r>
              <w:rPr>
                <w:rFonts w:ascii="Calibri" w:hAnsi="Calibri"/>
                <w:sz w:val="20"/>
              </w:rPr>
              <w:t xml:space="preserve">Validación</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Tasa de préstamos interfinancieros en dólares (BCRA) menos tasa de fondos federales</w:t>
            </w:r>
          </w:p>
        </w:tc>
        <w:tc>
          <w:tcPr/>
          <w:p>
            <w:pPr>
              <w:pStyle w:val="Compact"/>
              <w:jc w:val="left"/>
            </w:pPr>
            <w:r>
              <w:rPr>
                <w:rFonts w:ascii="Calibri" w:hAnsi="Calibri"/>
                <w:sz w:val="20"/>
              </w:rPr>
              <w:t xml:space="preserve">1998T4-2001T3</w:t>
            </w:r>
          </w:p>
        </w:tc>
        <w:tc>
          <w:tcPr/>
          <w:p>
            <w:pPr>
              <w:pStyle w:val="Compact"/>
              <w:jc w:val="left"/>
            </w:pPr>
            <w:r>
              <w:rPr>
                <w:rFonts w:ascii="Calibri" w:hAnsi="Calibri"/>
                <w:sz w:val="20"/>
              </w:rPr>
              <w:t xml:space="preserve">12</w:t>
            </w:r>
          </w:p>
        </w:tc>
        <w:tc>
          <w:tcPr/>
          <w:p>
            <w:pPr>
              <w:pStyle w:val="Compact"/>
              <w:jc w:val="left"/>
            </w:pPr>
            <w:r>
              <w:rPr>
                <w:rFonts w:ascii="Calibri" w:hAnsi="Calibri"/>
                <w:sz w:val="20"/>
              </w:rPr>
              <w:t xml:space="preserve">0,944</w:t>
            </w:r>
          </w:p>
        </w:tc>
        <w:tc>
          <w:tcPr/>
          <w:p>
            <w:pPr>
              <w:pStyle w:val="Compact"/>
              <w:jc w:val="left"/>
            </w:pPr>
            <w:r>
              <w:rPr>
                <w:rFonts w:ascii="Calibri" w:hAnsi="Calibri"/>
                <w:sz w:val="20"/>
              </w:rPr>
              <w:t xml:space="preserve">0,89</w:t>
            </w:r>
          </w:p>
        </w:tc>
        <w:tc>
          <w:tcPr/>
          <w:p>
            <w:pPr>
              <w:pStyle w:val="Compact"/>
              <w:jc w:val="left"/>
            </w:pPr>
            <w:r>
              <w:rPr>
                <w:rFonts w:ascii="Calibri" w:hAnsi="Calibri"/>
                <w:sz w:val="20"/>
              </w:rPr>
              <w:t xml:space="preserve">Error típico dejando un trimestre afuera: 102 pb (desvío del EMBI: 240 pb)</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Tipo de cambio real efectivo amplio del BIS (invertido)</w:t>
            </w:r>
          </w:p>
        </w:tc>
        <w:tc>
          <w:tcPr/>
          <w:p>
            <w:pPr>
              <w:pStyle w:val="Compact"/>
              <w:jc w:val="left"/>
            </w:pPr>
            <w:r>
              <w:rPr>
                <w:rFonts w:ascii="Calibri" w:hAnsi="Calibri"/>
                <w:sz w:val="20"/>
              </w:rPr>
              <w:t xml:space="preserve">1997T2-2025T4</w:t>
            </w:r>
          </w:p>
        </w:tc>
        <w:tc>
          <w:tcPr/>
          <w:p>
            <w:pPr>
              <w:pStyle w:val="Compact"/>
              <w:jc w:val="left"/>
            </w:pPr>
            <w:r>
              <w:rPr>
                <w:rFonts w:ascii="Calibri" w:hAnsi="Calibri"/>
                <w:sz w:val="20"/>
              </w:rPr>
              <w:t xml:space="preserve">115</w:t>
            </w:r>
          </w:p>
        </w:tc>
        <w:tc>
          <w:tcPr/>
          <w:p>
            <w:pPr>
              <w:pStyle w:val="Compact"/>
              <w:jc w:val="left"/>
            </w:pPr>
            <w:r>
              <w:rPr>
                <w:rFonts w:ascii="Calibri" w:hAnsi="Calibri"/>
                <w:sz w:val="20"/>
              </w:rPr>
              <w:t xml:space="preserve">0,923</w:t>
            </w:r>
          </w:p>
        </w:tc>
        <w:tc>
          <w:tcPr/>
          <w:p>
            <w:pPr>
              <w:pStyle w:val="Compact"/>
              <w:jc w:val="left"/>
            </w:pPr>
            <w:r>
              <w:rPr>
                <w:rFonts w:ascii="Calibri" w:hAnsi="Calibri"/>
                <w:sz w:val="20"/>
              </w:rPr>
              <w:t xml:space="preserve">0,85</w:t>
            </w:r>
          </w:p>
        </w:tc>
        <w:tc>
          <w:tcPr/>
          <w:p>
            <w:pPr>
              <w:pStyle w:val="Compact"/>
              <w:jc w:val="lef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 La correlación y el R² del EMBI son de niveles trimestrales, entre el EMBI y el diferencial; los del TCRM son de variaciones trimestrales, entre el índice del BCRA y el del BIS, porque el empalme encadena variaciones.</w:t>
      </w:r>
    </w:p>
    <w:p>
      <w:pPr>
        <w:pStyle w:val="BodyText"/>
      </w:pPr>
      <w:r>
        <w:t xml:space="preserve">Como la estimación empieza en 1998T2 (sección 4.5) y el modelo tiene dos rezagos, el TCRM de 1996 no entra en el SVARX y el EMBI reconstruido solo aparece en 1997T4-1998T3. El TCRM de 1996 sí entra en la variante a la manera del FMI, para calcular la depreciación real de 1997; el EMBI no se usa en esa variante.</w:t>
      </w:r>
    </w:p>
    <w:p>
      <w:pPr>
        <w:pStyle w:val="BodyText"/>
      </w:pPr>
      <w:r>
        <w:rPr>
          <w:bCs/>
          <w:b/>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observado</w:t>
            </w:r>
          </w:p>
        </w:tc>
        <w:tc>
          <w:tcPr/>
          <w:p>
            <w:pPr>
              <w:pStyle w:val="Compact"/>
              <w:jc w:val="left"/>
            </w:pPr>
            <w:r>
              <w:rPr>
                <w:rFonts w:ascii="Calibri" w:hAnsi="Calibri"/>
                <w:sz w:val="20"/>
              </w:rPr>
              <w:t xml:space="preserve">Pronóstico fuera de muestra</w:t>
            </w:r>
          </w:p>
        </w:tc>
      </w:tr>
      <w:tr>
        <w:tc>
          <w:tcPr/>
          <w:p>
            <w:pPr>
              <w:pStyle w:val="Compact"/>
              <w:jc w:val="left"/>
            </w:pPr>
            <w:r>
              <w:rPr>
                <w:rFonts w:ascii="Calibri" w:hAnsi="Calibri"/>
                <w:sz w:val="20"/>
              </w:rPr>
              <w:t xml:space="preserve">2001T1</w:t>
            </w:r>
          </w:p>
        </w:tc>
        <w:tc>
          <w:tcPr/>
          <w:p>
            <w:pPr>
              <w:pStyle w:val="Compact"/>
              <w:jc w:val="left"/>
            </w:pPr>
            <w:r>
              <w:rPr>
                <w:rFonts w:ascii="Calibri" w:hAnsi="Calibri"/>
                <w:sz w:val="20"/>
              </w:rPr>
              <w:t xml:space="preserve">750</w:t>
            </w:r>
          </w:p>
        </w:tc>
        <w:tc>
          <w:tcPr/>
          <w:p>
            <w:pPr>
              <w:pStyle w:val="Compact"/>
              <w:jc w:val="left"/>
            </w:pPr>
            <w:r>
              <w:rPr>
                <w:rFonts w:ascii="Calibri" w:hAnsi="Calibri"/>
                <w:sz w:val="20"/>
              </w:rPr>
              <w:t xml:space="preserve">744</w:t>
            </w:r>
          </w:p>
        </w:tc>
      </w:tr>
      <w:tr>
        <w:tc>
          <w:tcPr/>
          <w:p>
            <w:pPr>
              <w:pStyle w:val="Compact"/>
              <w:jc w:val="left"/>
            </w:pPr>
            <w:r>
              <w:rPr>
                <w:rFonts w:ascii="Calibri" w:hAnsi="Calibri"/>
                <w:sz w:val="20"/>
              </w:rPr>
              <w:t xml:space="preserve">2001T2</w:t>
            </w:r>
          </w:p>
        </w:tc>
        <w:tc>
          <w:tcPr/>
          <w:p>
            <w:pPr>
              <w:pStyle w:val="Compact"/>
              <w:jc w:val="left"/>
            </w:pPr>
            <w:r>
              <w:rPr>
                <w:rFonts w:ascii="Calibri" w:hAnsi="Calibri"/>
                <w:sz w:val="20"/>
              </w:rPr>
              <w:t xml:space="preserve">973</w:t>
            </w:r>
          </w:p>
        </w:tc>
        <w:tc>
          <w:tcPr/>
          <w:p>
            <w:pPr>
              <w:pStyle w:val="Compact"/>
              <w:jc w:val="left"/>
            </w:pPr>
            <w:r>
              <w:rPr>
                <w:rFonts w:ascii="Calibri" w:hAnsi="Calibri"/>
                <w:sz w:val="20"/>
              </w:rPr>
              <w:t xml:space="preserve">801</w:t>
            </w:r>
          </w:p>
        </w:tc>
      </w:tr>
      <w:tr>
        <w:tc>
          <w:tcPr/>
          <w:p>
            <w:pPr>
              <w:pStyle w:val="Compact"/>
              <w:jc w:val="left"/>
            </w:pPr>
            <w:r>
              <w:rPr>
                <w:rFonts w:ascii="Calibri" w:hAnsi="Calibri"/>
                <w:sz w:val="20"/>
              </w:rPr>
              <w:t xml:space="preserve">2001T3</w:t>
            </w:r>
          </w:p>
        </w:tc>
        <w:tc>
          <w:tcPr/>
          <w:p>
            <w:pPr>
              <w:pStyle w:val="Compact"/>
              <w:jc w:val="left"/>
            </w:pPr>
            <w:r>
              <w:rPr>
                <w:rFonts w:ascii="Calibri" w:hAnsi="Calibri"/>
                <w:sz w:val="20"/>
              </w:rPr>
              <w:t xml:space="preserve">1469</w:t>
            </w:r>
          </w:p>
        </w:tc>
        <w:tc>
          <w:tcPr/>
          <w:p>
            <w:pPr>
              <w:pStyle w:val="Compact"/>
              <w:jc w:val="lef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A.10).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empalmado (pb)</w:t>
            </w:r>
          </w:p>
        </w:tc>
        <w:tc>
          <w:tcPr/>
          <w:p>
            <w:pPr>
              <w:pStyle w:val="Compact"/>
              <w:jc w:val="left"/>
            </w:pPr>
            <w:r>
              <w:rPr>
                <w:rFonts w:ascii="Calibri" w:hAnsi="Calibri"/>
                <w:sz w:val="20"/>
              </w:rPr>
              <w:t xml:space="preserve">TCRM empalmado</w:t>
            </w:r>
          </w:p>
        </w:tc>
      </w:tr>
      <w:tr>
        <w:tc>
          <w:tcPr/>
          <w:p>
            <w:pPr>
              <w:pStyle w:val="Compact"/>
              <w:jc w:val="left"/>
            </w:pPr>
            <w:r>
              <w:rPr>
                <w:rFonts w:ascii="Calibri" w:hAnsi="Calibri"/>
                <w:sz w:val="20"/>
              </w:rPr>
              <w:t xml:space="preserve">1996T1</w:t>
            </w:r>
          </w:p>
        </w:tc>
        <w:tc>
          <w:tcPr/>
          <w:p>
            <w:pPr>
              <w:pStyle w:val="Compact"/>
              <w:jc w:val="left"/>
            </w:pPr>
            <w:r>
              <w:rPr>
                <w:rFonts w:ascii="Calibri" w:hAnsi="Calibri"/>
                <w:sz w:val="20"/>
              </w:rPr>
              <w:t xml:space="preserve">598</w:t>
            </w:r>
          </w:p>
        </w:tc>
        <w:tc>
          <w:tcPr/>
          <w:p>
            <w:pPr>
              <w:pStyle w:val="Compact"/>
              <w:jc w:val="left"/>
            </w:pPr>
            <w:r>
              <w:rPr>
                <w:rFonts w:ascii="Calibri" w:hAnsi="Calibri"/>
                <w:sz w:val="20"/>
              </w:rPr>
              <w:t xml:space="preserve">1,235</w:t>
            </w:r>
          </w:p>
        </w:tc>
      </w:tr>
      <w:tr>
        <w:tc>
          <w:tcPr/>
          <w:p>
            <w:pPr>
              <w:pStyle w:val="Compact"/>
              <w:jc w:val="left"/>
            </w:pPr>
            <w:r>
              <w:rPr>
                <w:rFonts w:ascii="Calibri" w:hAnsi="Calibri"/>
                <w:sz w:val="20"/>
              </w:rPr>
              <w:t xml:space="preserve">1996T2</w:t>
            </w:r>
          </w:p>
        </w:tc>
        <w:tc>
          <w:tcPr/>
          <w:p>
            <w:pPr>
              <w:pStyle w:val="Compact"/>
              <w:jc w:val="left"/>
            </w:pPr>
            <w:r>
              <w:rPr>
                <w:rFonts w:ascii="Calibri" w:hAnsi="Calibri"/>
                <w:sz w:val="20"/>
              </w:rPr>
              <w:t xml:space="preserve">576</w:t>
            </w:r>
          </w:p>
        </w:tc>
        <w:tc>
          <w:tcPr/>
          <w:p>
            <w:pPr>
              <w:pStyle w:val="Compact"/>
              <w:jc w:val="left"/>
            </w:pPr>
            <w:r>
              <w:rPr>
                <w:rFonts w:ascii="Calibri" w:hAnsi="Calibri"/>
                <w:sz w:val="20"/>
              </w:rPr>
              <w:t xml:space="preserve">1,248</w:t>
            </w:r>
          </w:p>
        </w:tc>
      </w:tr>
      <w:tr>
        <w:tc>
          <w:tcPr/>
          <w:p>
            <w:pPr>
              <w:pStyle w:val="Compact"/>
              <w:jc w:val="left"/>
            </w:pPr>
            <w:r>
              <w:rPr>
                <w:rFonts w:ascii="Calibri" w:hAnsi="Calibri"/>
                <w:sz w:val="20"/>
              </w:rPr>
              <w:t xml:space="preserve">1996T3</w:t>
            </w:r>
          </w:p>
        </w:tc>
        <w:tc>
          <w:tcPr/>
          <w:p>
            <w:pPr>
              <w:pStyle w:val="Compact"/>
              <w:jc w:val="left"/>
            </w:pPr>
            <w:r>
              <w:rPr>
                <w:rFonts w:ascii="Calibri" w:hAnsi="Calibri"/>
                <w:sz w:val="20"/>
              </w:rPr>
              <w:t xml:space="preserve">645</w:t>
            </w:r>
          </w:p>
        </w:tc>
        <w:tc>
          <w:tcPr/>
          <w:p>
            <w:pPr>
              <w:pStyle w:val="Compact"/>
              <w:jc w:val="left"/>
            </w:pPr>
            <w:r>
              <w:rPr>
                <w:rFonts w:ascii="Calibri" w:hAnsi="Calibri"/>
                <w:sz w:val="20"/>
              </w:rPr>
              <w:t xml:space="preserve">1,252</w:t>
            </w:r>
          </w:p>
        </w:tc>
      </w:tr>
      <w:tr>
        <w:tc>
          <w:tcPr/>
          <w:p>
            <w:pPr>
              <w:pStyle w:val="Compact"/>
              <w:jc w:val="left"/>
            </w:pPr>
            <w:r>
              <w:rPr>
                <w:rFonts w:ascii="Calibri" w:hAnsi="Calibri"/>
                <w:sz w:val="20"/>
              </w:rPr>
              <w:t xml:space="preserve">1996T4</w:t>
            </w:r>
          </w:p>
        </w:tc>
        <w:tc>
          <w:tcPr/>
          <w:p>
            <w:pPr>
              <w:pStyle w:val="Compact"/>
              <w:jc w:val="left"/>
            </w:pPr>
            <w:r>
              <w:rPr>
                <w:rFonts w:ascii="Calibri" w:hAnsi="Calibri"/>
                <w:sz w:val="20"/>
              </w:rPr>
              <w:t xml:space="preserve">666</w:t>
            </w:r>
          </w:p>
        </w:tc>
        <w:tc>
          <w:tcPr/>
          <w:p>
            <w:pPr>
              <w:pStyle w:val="Compact"/>
              <w:jc w:val="left"/>
            </w:pPr>
            <w:r>
              <w:rPr>
                <w:rFonts w:ascii="Calibri" w:hAnsi="Calibri"/>
                <w:sz w:val="20"/>
              </w:rPr>
              <w:t xml:space="preserve">1,244</w:t>
            </w:r>
          </w:p>
        </w:tc>
      </w:tr>
      <w:tr>
        <w:tc>
          <w:tcPr/>
          <w:p>
            <w:pPr>
              <w:pStyle w:val="Compact"/>
              <w:jc w:val="left"/>
            </w:pPr>
            <w:r>
              <w:rPr>
                <w:rFonts w:ascii="Calibri" w:hAnsi="Calibri"/>
                <w:sz w:val="20"/>
              </w:rPr>
              <w:t xml:space="preserve">1997T1</w:t>
            </w:r>
          </w:p>
        </w:tc>
        <w:tc>
          <w:tcPr/>
          <w:p>
            <w:pPr>
              <w:pStyle w:val="Compact"/>
              <w:jc w:val="left"/>
            </w:pPr>
            <w:r>
              <w:rPr>
                <w:rFonts w:ascii="Calibri" w:hAnsi="Calibri"/>
                <w:sz w:val="20"/>
              </w:rPr>
              <w:t xml:space="preserve">637</w:t>
            </w:r>
          </w:p>
        </w:tc>
        <w:tc>
          <w:tcPr/>
          <w:p>
            <w:pPr>
              <w:pStyle w:val="Compact"/>
            </w:pPr>
          </w:p>
        </w:tc>
      </w:tr>
      <w:tr>
        <w:tc>
          <w:tcPr/>
          <w:p>
            <w:pPr>
              <w:pStyle w:val="Compact"/>
              <w:jc w:val="left"/>
            </w:pPr>
            <w:r>
              <w:rPr>
                <w:rFonts w:ascii="Calibri" w:hAnsi="Calibri"/>
                <w:sz w:val="20"/>
              </w:rPr>
              <w:t xml:space="preserve">1997T2</w:t>
            </w:r>
          </w:p>
        </w:tc>
        <w:tc>
          <w:tcPr/>
          <w:p>
            <w:pPr>
              <w:pStyle w:val="Compact"/>
              <w:jc w:val="left"/>
            </w:pPr>
            <w:r>
              <w:rPr>
                <w:rFonts w:ascii="Calibri" w:hAnsi="Calibri"/>
                <w:sz w:val="20"/>
              </w:rPr>
              <w:t xml:space="preserve">595</w:t>
            </w:r>
          </w:p>
        </w:tc>
        <w:tc>
          <w:tcPr/>
          <w:p>
            <w:pPr>
              <w:pStyle w:val="Compact"/>
            </w:pPr>
          </w:p>
        </w:tc>
      </w:tr>
      <w:tr>
        <w:tc>
          <w:tcPr/>
          <w:p>
            <w:pPr>
              <w:pStyle w:val="Compact"/>
              <w:jc w:val="left"/>
            </w:pPr>
            <w:r>
              <w:rPr>
                <w:rFonts w:ascii="Calibri" w:hAnsi="Calibri"/>
                <w:sz w:val="20"/>
              </w:rPr>
              <w:t xml:space="preserve">1997T3</w:t>
            </w:r>
          </w:p>
        </w:tc>
        <w:tc>
          <w:tcPr/>
          <w:p>
            <w:pPr>
              <w:pStyle w:val="Compact"/>
              <w:jc w:val="left"/>
            </w:pPr>
            <w:r>
              <w:rPr>
                <w:rFonts w:ascii="Calibri" w:hAnsi="Calibri"/>
                <w:sz w:val="20"/>
              </w:rPr>
              <w:t xml:space="preserve">667</w:t>
            </w:r>
          </w:p>
        </w:tc>
        <w:tc>
          <w:tcPr/>
          <w:p>
            <w:pPr>
              <w:pStyle w:val="Compact"/>
            </w:pPr>
          </w:p>
        </w:tc>
      </w:tr>
      <w:tr>
        <w:tc>
          <w:tcPr/>
          <w:p>
            <w:pPr>
              <w:pStyle w:val="Compact"/>
              <w:jc w:val="left"/>
            </w:pPr>
            <w:r>
              <w:rPr>
                <w:rFonts w:ascii="Calibri" w:hAnsi="Calibri"/>
                <w:sz w:val="20"/>
              </w:rPr>
              <w:t xml:space="preserve">1997T4</w:t>
            </w:r>
          </w:p>
        </w:tc>
        <w:tc>
          <w:tcPr/>
          <w:p>
            <w:pPr>
              <w:pStyle w:val="Compact"/>
              <w:jc w:val="left"/>
            </w:pPr>
            <w:r>
              <w:rPr>
                <w:rFonts w:ascii="Calibri" w:hAnsi="Calibri"/>
                <w:sz w:val="20"/>
              </w:rPr>
              <w:t xml:space="preserve">740</w:t>
            </w:r>
          </w:p>
        </w:tc>
        <w:tc>
          <w:tcPr/>
          <w:p>
            <w:pPr>
              <w:pStyle w:val="Compact"/>
            </w:pPr>
          </w:p>
        </w:tc>
      </w:tr>
      <w:tr>
        <w:tc>
          <w:tcPr/>
          <w:p>
            <w:pPr>
              <w:pStyle w:val="Compact"/>
              <w:jc w:val="left"/>
            </w:pPr>
            <w:r>
              <w:rPr>
                <w:rFonts w:ascii="Calibri" w:hAnsi="Calibri"/>
                <w:sz w:val="20"/>
              </w:rPr>
              <w:t xml:space="preserve">1998T1</w:t>
            </w:r>
          </w:p>
        </w:tc>
        <w:tc>
          <w:tcPr/>
          <w:p>
            <w:pPr>
              <w:pStyle w:val="Compact"/>
              <w:jc w:val="left"/>
            </w:pPr>
            <w:r>
              <w:rPr>
                <w:rFonts w:ascii="Calibri" w:hAnsi="Calibri"/>
                <w:sz w:val="20"/>
              </w:rPr>
              <w:t xml:space="preserve">672</w:t>
            </w:r>
          </w:p>
        </w:tc>
        <w:tc>
          <w:tcPr/>
          <w:p>
            <w:pPr>
              <w:pStyle w:val="Compact"/>
            </w:pPr>
          </w:p>
        </w:tc>
      </w:tr>
      <w:tr>
        <w:tc>
          <w:tcPr/>
          <w:p>
            <w:pPr>
              <w:pStyle w:val="Compact"/>
              <w:jc w:val="left"/>
            </w:pPr>
            <w:r>
              <w:rPr>
                <w:rFonts w:ascii="Calibri" w:hAnsi="Calibri"/>
                <w:sz w:val="20"/>
              </w:rPr>
              <w:t xml:space="preserve">1998T2</w:t>
            </w:r>
          </w:p>
        </w:tc>
        <w:tc>
          <w:tcPr/>
          <w:p>
            <w:pPr>
              <w:pStyle w:val="Compact"/>
              <w:jc w:val="left"/>
            </w:pPr>
            <w:r>
              <w:rPr>
                <w:rFonts w:ascii="Calibri" w:hAnsi="Calibri"/>
                <w:sz w:val="20"/>
              </w:rPr>
              <w:t xml:space="preserve">612</w:t>
            </w:r>
          </w:p>
        </w:tc>
        <w:tc>
          <w:tcPr/>
          <w:p>
            <w:pPr>
              <w:pStyle w:val="Compact"/>
            </w:pPr>
          </w:p>
        </w:tc>
      </w:tr>
      <w:tr>
        <w:tc>
          <w:tcPr/>
          <w:p>
            <w:pPr>
              <w:pStyle w:val="Compact"/>
              <w:jc w:val="left"/>
            </w:pPr>
            <w:r>
              <w:rPr>
                <w:rFonts w:ascii="Calibri" w:hAnsi="Calibri"/>
                <w:sz w:val="20"/>
              </w:rPr>
              <w:t xml:space="preserve">1998T3</w:t>
            </w:r>
          </w:p>
        </w:tc>
        <w:tc>
          <w:tcPr/>
          <w:p>
            <w:pPr>
              <w:pStyle w:val="Compact"/>
              <w:jc w:val="lef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27" name="Picture"/>
            <a:graphic>
              <a:graphicData uri="http://schemas.openxmlformats.org/drawingml/2006/picture">
                <pic:pic>
                  <pic:nvPicPr>
                    <pic:cNvPr descr="../tesis/figuras/figA_1_empalmes.png" id="128" name="Picture"/>
                    <pic:cNvPicPr>
                      <a:picLocks noChangeArrowheads="1" noChangeAspect="1"/>
                    </pic:cNvPicPr>
                  </pic:nvPicPr>
                  <pic:blipFill>
                    <a:blip r:embed="rId126"/>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29"/>
    <w:bookmarkStart w:id="130" w:name="a.3-propiedades-de-las-series"/>
    <w:p>
      <w:pPr>
        <w:pStyle w:val="Heading2"/>
      </w:pPr>
      <w:r>
        <w:t xml:space="preserve">A.3 Propiedades de las series</w:t>
      </w:r>
    </w:p>
    <w:p>
      <w:pPr>
        <w:pStyle w:val="FirstParagraph"/>
      </w:pPr>
      <w:r>
        <w:rPr>
          <w:bCs/>
          <w:b/>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 Especificación: en ADF y en Zivot y Andrews, el número de rezagos de las diferencias se elige por el criterio de Akaike hasta el máximo de la regla de Schwert (1989), con constante y sin tendencia; en KPSS, con constante, el ancho de banda es el que elige el procedimiento automático de Hobijn et al. (2004). Los p-valores de KPSS se interpolan entre 0,01 y 0,10, por lo que se escriben como desigualdades en los extremos.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ADF (p)</w:t>
            </w:r>
          </w:p>
        </w:tc>
        <w:tc>
          <w:tcPr/>
          <w:p>
            <w:pPr>
              <w:pStyle w:val="Compact"/>
              <w:jc w:val="left"/>
            </w:pPr>
            <w:r>
              <w:rPr>
                <w:rFonts w:ascii="Calibri" w:hAnsi="Calibri"/>
                <w:sz w:val="20"/>
              </w:rPr>
              <w:t xml:space="preserve">KPSS (p)</w:t>
            </w:r>
          </w:p>
        </w:tc>
        <w:tc>
          <w:tcPr/>
          <w:p>
            <w:pPr>
              <w:pStyle w:val="Compact"/>
              <w:jc w:val="left"/>
            </w:pPr>
            <w:r>
              <w:rPr>
                <w:rFonts w:ascii="Calibri" w:hAnsi="Calibri"/>
                <w:sz w:val="20"/>
              </w:rPr>
              <w:t xml:space="preserve">Clasificación</w:t>
            </w:r>
          </w:p>
        </w:tc>
        <w:tc>
          <w:tcPr/>
          <w:p>
            <w:pPr>
              <w:pStyle w:val="Compact"/>
              <w:jc w:val="left"/>
            </w:pPr>
            <w:r>
              <w:rPr>
                <w:rFonts w:ascii="Calibri" w:hAnsi="Calibri"/>
                <w:sz w:val="20"/>
              </w:rPr>
              <w:t xml:space="preserve">Zivot-Andrews (p)</w:t>
            </w:r>
          </w:p>
        </w:tc>
        <w:tc>
          <w:tcPr/>
          <w:p>
            <w:pPr>
              <w:pStyle w:val="Compact"/>
              <w:jc w:val="left"/>
            </w:pPr>
            <w:r>
              <w:rPr>
                <w:rFonts w:ascii="Calibri" w:hAnsi="Calibri"/>
                <w:sz w:val="20"/>
              </w:rPr>
              <w:t xml:space="preserve">Quiebre de Zivot-Andrews</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0,580</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0,997</w:t>
            </w:r>
          </w:p>
        </w:tc>
        <w:tc>
          <w:tcPr/>
          <w:p>
            <w:pPr>
              <w:pStyle w:val="Compact"/>
              <w:jc w:val="left"/>
            </w:pPr>
            <w:r>
              <w:rPr>
                <w:rFonts w:ascii="Calibri" w:hAnsi="Calibri"/>
                <w:sz w:val="20"/>
              </w:rPr>
              <w:t xml:space="preserve">2012T3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0,053</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0,236</w:t>
            </w:r>
          </w:p>
        </w:tc>
        <w:tc>
          <w:tcPr/>
          <w:p>
            <w:pPr>
              <w:pStyle w:val="Compact"/>
              <w:jc w:val="left"/>
            </w:pPr>
            <w:r>
              <w:rPr>
                <w:rFonts w:ascii="Calibri" w:hAnsi="Calibri"/>
                <w:sz w:val="20"/>
              </w:rPr>
              <w:t xml:space="preserve">2003T1</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0,154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0,084</w:t>
            </w:r>
          </w:p>
        </w:tc>
        <w:tc>
          <w:tcPr/>
          <w:p>
            <w:pPr>
              <w:pStyle w:val="Compact"/>
              <w:jc w:val="left"/>
            </w:pPr>
            <w:r>
              <w:rPr>
                <w:rFonts w:ascii="Calibri" w:hAnsi="Calibri"/>
                <w:sz w:val="20"/>
              </w:rPr>
              <w:t xml:space="preserve">2005T2</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0,249</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2001T4</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0,094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0,457</w:t>
            </w:r>
          </w:p>
        </w:tc>
        <w:tc>
          <w:tcPr/>
          <w:p>
            <w:pPr>
              <w:pStyle w:val="Compact"/>
              <w:jc w:val="left"/>
            </w:pPr>
            <w:r>
              <w:rPr>
                <w:rFonts w:ascii="Calibri" w:hAnsi="Calibri"/>
                <w:sz w:val="20"/>
              </w:rPr>
              <w:t xml:space="preserve">2005T1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0,396</w:t>
            </w:r>
          </w:p>
        </w:tc>
        <w:tc>
          <w:tcPr/>
          <w:p>
            <w:pPr>
              <w:pStyle w:val="Compact"/>
              <w:jc w:val="left"/>
            </w:pPr>
            <w:r>
              <w:rPr>
                <w:rFonts w:ascii="Calibri" w:hAnsi="Calibri"/>
                <w:sz w:val="20"/>
              </w:rPr>
              <w:t xml:space="preserve">0,095</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0,967</w:t>
            </w:r>
          </w:p>
        </w:tc>
        <w:tc>
          <w:tcPr/>
          <w:p>
            <w:pPr>
              <w:pStyle w:val="Compact"/>
              <w:jc w:val="left"/>
            </w:pPr>
            <w:r>
              <w:rPr>
                <w:rFonts w:ascii="Calibri" w:hAnsi="Calibri"/>
                <w:sz w:val="20"/>
              </w:rPr>
              <w:t xml:space="preserve">2015T3</w:t>
            </w:r>
          </w:p>
        </w:tc>
      </w:tr>
      <w:tr>
        <w:tc>
          <w:tcPr/>
          <w:p>
            <w:pPr>
              <w:pStyle w:val="Compact"/>
              <w:jc w:val="left"/>
            </w:pPr>
            <w:r>
              <w:rPr>
                <w:rFonts w:ascii="Calibri" w:hAnsi="Calibri"/>
                <w:sz w:val="20"/>
              </w:rPr>
              <w:t xml:space="preserve">Tasa de la FED (nivel)</w:t>
            </w:r>
          </w:p>
        </w:tc>
        <w:tc>
          <w:tcPr/>
          <w:p>
            <w:pPr>
              <w:pStyle w:val="Compact"/>
              <w:jc w:val="left"/>
            </w:pPr>
            <w:r>
              <w:rPr>
                <w:rFonts w:ascii="Calibri" w:hAnsi="Calibri"/>
                <w:sz w:val="20"/>
              </w:rPr>
              <w:t xml:space="preserve">0,104</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0,113</w:t>
            </w:r>
          </w:p>
        </w:tc>
        <w:tc>
          <w:tcPr/>
          <w:p>
            <w:pPr>
              <w:pStyle w:val="Compact"/>
              <w:jc w:val="left"/>
            </w:pPr>
            <w:r>
              <w:rPr>
                <w:rFonts w:ascii="Calibri" w:hAnsi="Calibri"/>
                <w:sz w:val="20"/>
              </w:rPr>
              <w:t xml:space="preserve">2007T3</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estacionaria</w:t>
            </w:r>
          </w:p>
        </w:tc>
        <w:tc>
          <w:tcPr/>
          <w:p>
            <w:pPr>
              <w:pStyle w:val="Compact"/>
              <w:jc w:val="left"/>
            </w:pPr>
            <w:r>
              <w:rPr>
                <w:rFonts w:ascii="Calibri" w:hAnsi="Calibri"/>
                <w:sz w:val="20"/>
              </w:rPr>
              <w:t xml:space="preserve">0,028</w:t>
            </w:r>
          </w:p>
        </w:tc>
        <w:tc>
          <w:tcPr/>
          <w:p>
            <w:pPr>
              <w:pStyle w:val="Compact"/>
              <w:jc w:val="left"/>
            </w:pPr>
            <w:r>
              <w:rPr>
                <w:rFonts w:ascii="Calibri" w:hAnsi="Calibri"/>
                <w:sz w:val="20"/>
              </w:rPr>
              <w:t xml:space="preserve">2019T4</w:t>
            </w:r>
          </w:p>
        </w:tc>
      </w:tr>
    </w:tbl>
    <w:p>
      <w:pPr>
        <w:pStyle w:val="BodyText"/>
      </w:pPr>
      <w:r>
        <w:rPr>
          <w:bCs/>
          <w:b/>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 los de 2006T2 y 2018T1; el que coincide con un cambio de gobierno lo reemplazan las binarias presidenciales.</w:t>
      </w:r>
    </w:p>
    <w:p>
      <w:pPr>
        <w:pStyle w:val="BodyText"/>
      </w:pPr>
      <w:r>
        <w:rPr>
          <w:bCs/>
          <w:b/>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Términos determinísticos: una constante en el VAR en niveles, sin tendencia (det_order = 0 en la implementación de</w:t>
      </w:r>
      <w:r>
        <w:t xml:space="preserve"> </w:t>
      </w:r>
      <w:r>
        <w:rPr>
          <w:iCs/>
          <w:i/>
        </w:rPr>
        <w:t xml:space="preserve">statsmodels</w:t>
      </w:r>
      <w:r>
        <w:t xml:space="preserve">), con el número de rezagos del VAR menos uno en las diferencias; los valores críticos son los de la traza al 5% para esa especificación. La prueba omite los quiebres y las binarias, de modo que es indicativa (Johansen et al., 2000).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Hipótesis nula</w:t>
            </w:r>
          </w:p>
        </w:tc>
        <w:tc>
          <w:tcPr/>
          <w:p>
            <w:pPr>
              <w:pStyle w:val="Compact"/>
              <w:jc w:val="left"/>
            </w:pPr>
            <w:r>
              <w:rPr>
                <w:rFonts w:ascii="Calibri" w:hAnsi="Calibri"/>
                <w:sz w:val="20"/>
              </w:rPr>
              <w:t xml:space="preserve">Traza</w:t>
            </w:r>
          </w:p>
        </w:tc>
        <w:tc>
          <w:tcPr/>
          <w:p>
            <w:pPr>
              <w:pStyle w:val="Compact"/>
              <w:jc w:val="left"/>
            </w:pPr>
            <w:r>
              <w:rPr>
                <w:rFonts w:ascii="Calibri" w:hAnsi="Calibri"/>
                <w:sz w:val="20"/>
              </w:rPr>
              <w:t xml:space="preserve">Valor crítico 5%</w:t>
            </w:r>
          </w:p>
        </w:tc>
        <w:tc>
          <w:tcPr/>
          <w:p>
            <w:pPr>
              <w:pStyle w:val="Compact"/>
              <w:jc w:val="left"/>
            </w:pPr>
            <w:r>
              <w:rPr>
                <w:rFonts w:ascii="Calibri" w:hAnsi="Calibri"/>
                <w:sz w:val="20"/>
              </w:rPr>
              <w:t xml:space="preserve">Rechaza</w:t>
            </w:r>
          </w:p>
        </w:tc>
      </w:tr>
      <w:tr>
        <w:tc>
          <w:tcPr/>
          <w:p>
            <w:pPr>
              <w:pStyle w:val="Compact"/>
              <w:jc w:val="left"/>
            </w:pPr>
            <w:r>
              <w:rPr>
                <w:rFonts w:ascii="Calibri" w:hAnsi="Calibri"/>
                <w:sz w:val="20"/>
              </w:rPr>
              <w:t xml:space="preserve">rango = 0</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47,9</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1</w:t>
            </w:r>
          </w:p>
        </w:tc>
        <w:tc>
          <w:tcPr/>
          <w:p>
            <w:pPr>
              <w:pStyle w:val="Compact"/>
              <w:jc w:val="left"/>
            </w:pPr>
            <w:r>
              <w:rPr>
                <w:rFonts w:ascii="Calibri" w:hAnsi="Calibri"/>
                <w:sz w:val="20"/>
              </w:rPr>
              <w:t xml:space="preserve">22,0</w:t>
            </w:r>
          </w:p>
        </w:tc>
        <w:tc>
          <w:tcPr/>
          <w:p>
            <w:pPr>
              <w:pStyle w:val="Compact"/>
              <w:jc w:val="left"/>
            </w:pPr>
            <w:r>
              <w:rPr>
                <w:rFonts w:ascii="Calibri" w:hAnsi="Calibri"/>
                <w:sz w:val="20"/>
              </w:rPr>
              <w:t xml:space="preserve">29,8</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2</w:t>
            </w:r>
          </w:p>
        </w:tc>
        <w:tc>
          <w:tcPr/>
          <w:p>
            <w:pPr>
              <w:pStyle w:val="Compact"/>
              <w:jc w:val="left"/>
            </w:pPr>
            <w:r>
              <w:rPr>
                <w:rFonts w:ascii="Calibri" w:hAnsi="Calibri"/>
                <w:sz w:val="20"/>
              </w:rPr>
              <w:t xml:space="preserve">10,9</w:t>
            </w:r>
          </w:p>
        </w:tc>
        <w:tc>
          <w:tcPr/>
          <w:p>
            <w:pPr>
              <w:pStyle w:val="Compact"/>
              <w:jc w:val="left"/>
            </w:pPr>
            <w:r>
              <w:rPr>
                <w:rFonts w:ascii="Calibri" w:hAnsi="Calibri"/>
                <w:sz w:val="20"/>
              </w:rPr>
              <w:t xml:space="preserve">15,5</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3</w:t>
            </w:r>
          </w:p>
        </w:tc>
        <w:tc>
          <w:tcPr/>
          <w:p>
            <w:pPr>
              <w:pStyle w:val="Compact"/>
              <w:jc w:val="left"/>
            </w:pPr>
            <w:r>
              <w:rPr>
                <w:rFonts w:ascii="Calibri" w:hAnsi="Calibri"/>
                <w:sz w:val="20"/>
              </w:rPr>
              <w:t xml:space="preserve">3,3</w:t>
            </w:r>
          </w:p>
        </w:tc>
        <w:tc>
          <w:tcPr/>
          <w:p>
            <w:pPr>
              <w:pStyle w:val="Compact"/>
              <w:jc w:val="left"/>
            </w:pPr>
            <w:r>
              <w:rPr>
                <w:rFonts w:ascii="Calibri" w:hAnsi="Calibri"/>
                <w:sz w:val="20"/>
              </w:rPr>
              <w:t xml:space="preserve">3,8</w:t>
            </w:r>
          </w:p>
        </w:tc>
        <w:tc>
          <w:tcPr/>
          <w:p>
            <w:pPr>
              <w:pStyle w:val="Compact"/>
              <w:jc w:val="left"/>
            </w:pPr>
            <w:r>
              <w:rPr>
                <w:rFonts w:ascii="Calibri" w:hAnsi="Calibri"/>
                <w:sz w:val="20"/>
              </w:rPr>
              <w:t xml:space="preserve">no</w:t>
            </w:r>
          </w:p>
        </w:tc>
      </w:tr>
    </w:tbl>
    <w:p>
      <w:pPr>
        <w:pStyle w:val="BodyText"/>
      </w:pPr>
      <w:r>
        <w:rPr>
          <w:bCs/>
          <w:b/>
        </w:rPr>
        <w:t xml:space="preserve">Binarias presidenciales.</w:t>
      </w:r>
      <w:r>
        <w:t xml:space="preserve"> </w:t>
      </w:r>
      <w:r>
        <w:t xml:space="preserve">Significancia conjunta de las siete binarias por mandato (Menem es la referencia): prueba de Wald (estadístico F) en cada ecuación y razón de verosimilitud del sistema con la corrección de Sims (1980).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Contraste</w:t>
            </w:r>
          </w:p>
        </w:tc>
        <w:tc>
          <w:tcPr/>
          <w:p>
            <w:pPr>
              <w:pStyle w:val="Compact"/>
              <w:jc w:val="left"/>
            </w:pPr>
            <w:r>
              <w:rPr>
                <w:rFonts w:ascii="Calibri" w:hAnsi="Calibri"/>
                <w:sz w:val="20"/>
              </w:rPr>
              <w:t xml:space="preserve">Estadístico</w:t>
            </w:r>
          </w:p>
        </w:tc>
        <w:tc>
          <w:tcPr/>
          <w:p>
            <w:pPr>
              <w:pStyle w:val="Compact"/>
              <w:jc w:val="left"/>
            </w:pPr>
            <w:r>
              <w:rPr>
                <w:rFonts w:ascii="Calibri" w:hAnsi="Calibri"/>
                <w:sz w:val="20"/>
              </w:rPr>
              <w:t xml:space="preserve">Grados de libertad</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Wald, ecuación resultado primario</w:t>
            </w:r>
          </w:p>
        </w:tc>
        <w:tc>
          <w:tcPr/>
          <w:p>
            <w:pPr>
              <w:pStyle w:val="Compact"/>
              <w:jc w:val="left"/>
            </w:pPr>
            <w:r>
              <w:rPr>
                <w:rFonts w:ascii="Calibri" w:hAnsi="Calibri"/>
                <w:sz w:val="20"/>
              </w:rPr>
              <w:t xml:space="preserve">2,72</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Wald, ecuación crecimiento</w:t>
            </w:r>
          </w:p>
        </w:tc>
        <w:tc>
          <w:tcPr/>
          <w:p>
            <w:pPr>
              <w:pStyle w:val="Compact"/>
              <w:jc w:val="left"/>
            </w:pPr>
            <w:r>
              <w:rPr>
                <w:rFonts w:ascii="Calibri" w:hAnsi="Calibri"/>
                <w:sz w:val="20"/>
              </w:rPr>
              <w:t xml:space="preserve">1,67</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0,127</w:t>
            </w:r>
          </w:p>
        </w:tc>
      </w:tr>
      <w:tr>
        <w:tc>
          <w:tcPr/>
          <w:p>
            <w:pPr>
              <w:pStyle w:val="Compact"/>
              <w:jc w:val="left"/>
            </w:pPr>
            <w:r>
              <w:rPr>
                <w:rFonts w:ascii="Calibri" w:hAnsi="Calibri"/>
                <w:sz w:val="20"/>
              </w:rPr>
              <w:t xml:space="preserve">Wald, ecuación EMBI</w:t>
            </w:r>
          </w:p>
        </w:tc>
        <w:tc>
          <w:tcPr/>
          <w:p>
            <w:pPr>
              <w:pStyle w:val="Compact"/>
              <w:jc w:val="left"/>
            </w:pPr>
            <w:r>
              <w:rPr>
                <w:rFonts w:ascii="Calibri" w:hAnsi="Calibri"/>
                <w:sz w:val="20"/>
              </w:rPr>
              <w:t xml:space="preserve">7,38</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Wald, ecuación TCRM</w:t>
            </w:r>
          </w:p>
        </w:tc>
        <w:tc>
          <w:tcPr/>
          <w:p>
            <w:pPr>
              <w:pStyle w:val="Compact"/>
              <w:jc w:val="left"/>
            </w:pPr>
            <w:r>
              <w:rPr>
                <w:rFonts w:ascii="Calibri" w:hAnsi="Calibri"/>
                <w:sz w:val="20"/>
              </w:rPr>
              <w:t xml:space="preserve">3,16</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0,005</w:t>
            </w:r>
          </w:p>
        </w:tc>
      </w:tr>
      <w:tr>
        <w:tc>
          <w:tcPr/>
          <w:p>
            <w:pPr>
              <w:pStyle w:val="Compact"/>
              <w:jc w:val="left"/>
            </w:pPr>
            <w:r>
              <w:rPr>
                <w:rFonts w:ascii="Calibri" w:hAnsi="Calibri"/>
                <w:sz w:val="20"/>
              </w:rPr>
              <w:t xml:space="preserve">Razón de verosimilitud del sistema (Sims)</w:t>
            </w:r>
          </w:p>
        </w:tc>
        <w:tc>
          <w:tcPr/>
          <w:p>
            <w:pPr>
              <w:pStyle w:val="Compact"/>
              <w:jc w:val="left"/>
            </w:pPr>
            <w:r>
              <w:rPr>
                <w:rFonts w:ascii="Calibri" w:hAnsi="Calibri"/>
                <w:sz w:val="20"/>
              </w:rPr>
              <w:t xml:space="preserve">80,05</w:t>
            </w:r>
          </w:p>
        </w:tc>
        <w:tc>
          <w:tcPr/>
          <w:p>
            <w:pPr>
              <w:pStyle w:val="Compact"/>
              <w:jc w:val="left"/>
            </w:pPr>
            <w:r>
              <w:rPr>
                <w:rFonts w:ascii="Calibri" w:hAnsi="Calibri"/>
                <w:sz w:val="20"/>
              </w:rPr>
              <w:t xml:space="preserve">28</w:t>
            </w:r>
          </w:p>
        </w:tc>
        <w:tc>
          <w:tcPr/>
          <w:p>
            <w:pPr>
              <w:pStyle w:val="Compact"/>
              <w:jc w:val="left"/>
            </w:pPr>
            <w:r>
              <w:rPr>
                <w:rFonts w:ascii="Calibri" w:hAnsi="Calibri"/>
                <w:sz w:val="20"/>
              </w:rPr>
              <w:t xml:space="preserve">&lt; 0,001</w:t>
            </w:r>
          </w:p>
        </w:tc>
      </w:tr>
    </w:tbl>
    <w:p>
      <w:pPr>
        <w:pStyle w:val="BodyText"/>
      </w:pPr>
      <w:r>
        <w:rPr>
          <w:bCs/>
          <w:b/>
        </w:rPr>
        <w:t xml:space="preserve">Coincidencia de los quiebres con los cambios de gobierno.</w:t>
      </w:r>
      <w:r>
        <w:t xml:space="preserve"> </w:t>
      </w:r>
      <w:r>
        <w:t xml:space="preserve">Los quiebres se recalculan al reestimar con otra serie o muestra. Cuando uno coincide con el inicio de un gobierno, las binarias presidenciales lo reemplazan; los que caen dentro de un mandato se conservan.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Quiebre</w:t>
            </w:r>
          </w:p>
        </w:tc>
        <w:tc>
          <w:tcPr/>
          <w:p>
            <w:pPr>
              <w:pStyle w:val="Compact"/>
              <w:jc w:val="left"/>
            </w:pPr>
            <w:r>
              <w:rPr>
                <w:rFonts w:ascii="Calibri" w:hAnsi="Calibri"/>
                <w:sz w:val="20"/>
              </w:rPr>
              <w:t xml:space="preserve">Gobierno en funciones</w:t>
            </w:r>
          </w:p>
        </w:tc>
        <w:tc>
          <w:tcPr/>
          <w:p>
            <w:pPr>
              <w:pStyle w:val="Compact"/>
              <w:jc w:val="left"/>
            </w:pPr>
            <w:r>
              <w:rPr>
                <w:rFonts w:ascii="Calibri" w:hAnsi="Calibri"/>
                <w:sz w:val="20"/>
              </w:rPr>
              <w:t xml:space="preserve">Inicio de gobierno más cercano</w:t>
            </w:r>
          </w:p>
        </w:tc>
        <w:tc>
          <w:tcPr/>
          <w:p>
            <w:pPr>
              <w:pStyle w:val="Compact"/>
              <w:jc w:val="left"/>
            </w:pPr>
            <w:r>
              <w:rPr>
                <w:rFonts w:ascii="Calibri" w:hAnsi="Calibri"/>
                <w:sz w:val="20"/>
              </w:rPr>
              <w:t xml:space="preserve">Distancia (trimestres)</w:t>
            </w:r>
          </w:p>
        </w:tc>
        <w:tc>
          <w:tcPr/>
          <w:p>
            <w:pPr>
              <w:pStyle w:val="Compact"/>
              <w:jc w:val="left"/>
            </w:pPr>
            <w:r>
              <w:rPr>
                <w:rFonts w:ascii="Calibri" w:hAnsi="Calibri"/>
                <w:sz w:val="20"/>
              </w:rPr>
              <w:t xml:space="preserve">Tratamiento</w:t>
            </w:r>
          </w:p>
        </w:tc>
      </w:tr>
      <w:tr>
        <w:tc>
          <w:tcPr/>
          <w:p>
            <w:pPr>
              <w:pStyle w:val="Compact"/>
              <w:jc w:val="left"/>
            </w:pPr>
            <w:r>
              <w:rPr>
                <w:rFonts w:ascii="Calibri" w:hAnsi="Calibri"/>
                <w:sz w:val="20"/>
              </w:rPr>
              <w:t xml:space="preserve">2001T4</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0</w:t>
            </w:r>
          </w:p>
        </w:tc>
        <w:tc>
          <w:tcPr/>
          <w:p>
            <w:pPr>
              <w:pStyle w:val="Compact"/>
              <w:jc w:val="left"/>
            </w:pPr>
            <w:r>
              <w:rPr>
                <w:rFonts w:ascii="Calibri" w:hAnsi="Calibri"/>
                <w:sz w:val="20"/>
              </w:rPr>
              <w:t xml:space="preserve">lo reemplazan las binarias presidenciales</w:t>
            </w:r>
          </w:p>
        </w:tc>
      </w:tr>
      <w:tr>
        <w:tc>
          <w:tcPr/>
          <w:p>
            <w:pPr>
              <w:pStyle w:val="Compact"/>
              <w:jc w:val="left"/>
            </w:pPr>
            <w:r>
              <w:rPr>
                <w:rFonts w:ascii="Calibri" w:hAnsi="Calibri"/>
                <w:sz w:val="20"/>
              </w:rPr>
              <w:t xml:space="preserve">2006T2</w:t>
            </w:r>
          </w:p>
        </w:tc>
        <w:tc>
          <w:tcPr/>
          <w:p>
            <w:pPr>
              <w:pStyle w:val="Compact"/>
              <w:jc w:val="left"/>
            </w:pPr>
            <w:r>
              <w:rPr>
                <w:rFonts w:ascii="Calibri" w:hAnsi="Calibri"/>
                <w:sz w:val="20"/>
              </w:rPr>
              <w:t xml:space="preserve">N. Kirchner</w:t>
            </w:r>
          </w:p>
        </w:tc>
        <w:tc>
          <w:tcPr/>
          <w:p>
            <w:pPr>
              <w:pStyle w:val="Compact"/>
              <w:jc w:val="left"/>
            </w:pPr>
            <w:r>
              <w:rPr>
                <w:rFonts w:ascii="Calibri" w:hAnsi="Calibri"/>
                <w:sz w:val="20"/>
              </w:rPr>
              <w:t xml:space="preserve">C. Fernández de Kirchner</w:t>
            </w:r>
          </w:p>
        </w:tc>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se conserva</w:t>
            </w:r>
          </w:p>
        </w:tc>
      </w:tr>
      <w:tr>
        <w:tc>
          <w:tcPr/>
          <w:p>
            <w:pPr>
              <w:pStyle w:val="Compact"/>
              <w:jc w:val="left"/>
            </w:pPr>
            <w:r>
              <w:rPr>
                <w:rFonts w:ascii="Calibri" w:hAnsi="Calibri"/>
                <w:sz w:val="20"/>
              </w:rPr>
              <w:t xml:space="preserve">2018T1</w:t>
            </w:r>
          </w:p>
        </w:tc>
        <w:tc>
          <w:tcPr/>
          <w:p>
            <w:pPr>
              <w:pStyle w:val="Compact"/>
              <w:jc w:val="left"/>
            </w:pPr>
            <w:r>
              <w:rPr>
                <w:rFonts w:ascii="Calibri" w:hAnsi="Calibri"/>
                <w:sz w:val="20"/>
              </w:rPr>
              <w:t xml:space="preserve">Macri</w:t>
            </w:r>
          </w:p>
        </w:tc>
        <w:tc>
          <w:tcPr/>
          <w:p>
            <w:pPr>
              <w:pStyle w:val="Compact"/>
              <w:jc w:val="left"/>
            </w:pPr>
            <w:r>
              <w:rPr>
                <w:rFonts w:ascii="Calibri" w:hAnsi="Calibri"/>
                <w:sz w:val="20"/>
              </w:rPr>
              <w:t xml:space="preserve">A. Fernández</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se conserva</w:t>
            </w:r>
          </w:p>
        </w:tc>
      </w:tr>
    </w:tbl>
    <w:bookmarkEnd w:id="130"/>
    <w:bookmarkStart w:id="131"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 y, si ninguno la rechaza al 5%, el orden estable con el mayor p-valor de Portmanteau.</w:t>
      </w:r>
    </w:p>
    <w:p>
      <w:pPr>
        <w:pStyle w:val="BodyText"/>
      </w:pPr>
      <w:r>
        <w:rPr>
          <w:bCs/>
          <w:b/>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p</w:t>
            </w:r>
          </w:p>
        </w:tc>
        <w:tc>
          <w:tcPr/>
          <w:p>
            <w:pPr>
              <w:pStyle w:val="Compact"/>
              <w:jc w:val="left"/>
            </w:pPr>
            <w:r>
              <w:rPr>
                <w:rFonts w:ascii="Calibri" w:hAnsi="Calibri"/>
                <w:sz w:val="20"/>
              </w:rPr>
              <w:t xml:space="preserve">AIC</w:t>
            </w:r>
          </w:p>
        </w:tc>
        <w:tc>
          <w:tcPr/>
          <w:p>
            <w:pPr>
              <w:pStyle w:val="Compact"/>
              <w:jc w:val="left"/>
            </w:pPr>
            <w:r>
              <w:rPr>
                <w:rFonts w:ascii="Calibri" w:hAnsi="Calibri"/>
                <w:sz w:val="20"/>
              </w:rPr>
              <w:t xml:space="preserve">BIC</w:t>
            </w:r>
          </w:p>
        </w:tc>
        <w:tc>
          <w:tcPr/>
          <w:p>
            <w:pPr>
              <w:pStyle w:val="Compact"/>
              <w:jc w:val="left"/>
            </w:pPr>
            <w:r>
              <w:rPr>
                <w:rFonts w:ascii="Calibri" w:hAnsi="Calibri"/>
                <w:sz w:val="20"/>
              </w:rPr>
              <w:t xml:space="preserve">HQ</w:t>
            </w:r>
          </w:p>
        </w:tc>
        <w:tc>
          <w:tcPr/>
          <w:p>
            <w:pPr>
              <w:pStyle w:val="Compact"/>
              <w:jc w:val="left"/>
            </w:pPr>
            <w:r>
              <w:rPr>
                <w:rFonts w:ascii="Calibri" w:hAnsi="Calibri"/>
                <w:sz w:val="20"/>
              </w:rPr>
              <w:t xml:space="preserve">Raíz máxima</w:t>
            </w:r>
          </w:p>
        </w:tc>
        <w:tc>
          <w:tcPr/>
          <w:p>
            <w:pPr>
              <w:pStyle w:val="Compact"/>
              <w:jc w:val="left"/>
            </w:pPr>
            <w:r>
              <w:rPr>
                <w:rFonts w:ascii="Calibri" w:hAnsi="Calibri"/>
                <w:sz w:val="20"/>
              </w:rPr>
              <w:t xml:space="preserve">Estable</w:t>
            </w:r>
          </w:p>
        </w:tc>
        <w:tc>
          <w:tcPr/>
          <w:p>
            <w:pPr>
              <w:pStyle w:val="Compact"/>
              <w:jc w:val="left"/>
            </w:pPr>
            <w:r>
              <w:rPr>
                <w:rFonts w:ascii="Calibri" w:hAnsi="Calibri"/>
                <w:sz w:val="20"/>
              </w:rPr>
              <w:t xml:space="preserve">Portmanteau (p)</w:t>
            </w:r>
          </w:p>
        </w:tc>
      </w:tr>
      <w:tr>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12,173</w:t>
            </w:r>
          </w:p>
        </w:tc>
        <w:tc>
          <w:tcPr/>
          <w:p>
            <w:pPr>
              <w:pStyle w:val="Compact"/>
              <w:jc w:val="left"/>
            </w:pPr>
            <w:r>
              <w:rPr>
                <w:rFonts w:ascii="Calibri" w:hAnsi="Calibri"/>
                <w:sz w:val="20"/>
              </w:rPr>
              <w:t xml:space="preserve">14,321</w:t>
            </w:r>
          </w:p>
        </w:tc>
        <w:tc>
          <w:tcPr/>
          <w:p>
            <w:pPr>
              <w:pStyle w:val="Compact"/>
              <w:jc w:val="left"/>
            </w:pPr>
            <w:r>
              <w:rPr>
                <w:rFonts w:ascii="Calibri" w:hAnsi="Calibri"/>
                <w:sz w:val="20"/>
              </w:rPr>
              <w:t xml:space="preserve">13,044</w:t>
            </w:r>
          </w:p>
        </w:tc>
        <w:tc>
          <w:tcPr/>
          <w:p>
            <w:pPr>
              <w:pStyle w:val="Compact"/>
              <w:jc w:val="left"/>
            </w:pPr>
            <w:r>
              <w:rPr>
                <w:rFonts w:ascii="Calibri" w:hAnsi="Calibri"/>
                <w:sz w:val="20"/>
              </w:rPr>
              <w:t xml:space="preserve">0,746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2</w:t>
            </w:r>
          </w:p>
        </w:tc>
        <w:tc>
          <w:tcPr/>
          <w:p>
            <w:pPr>
              <w:pStyle w:val="Compact"/>
              <w:jc w:val="left"/>
            </w:pPr>
            <w:r>
              <w:rPr>
                <w:rFonts w:ascii="Calibri" w:hAnsi="Calibri"/>
                <w:sz w:val="20"/>
              </w:rPr>
              <w:t xml:space="preserve">11,853</w:t>
            </w:r>
          </w:p>
        </w:tc>
        <w:tc>
          <w:tcPr/>
          <w:p>
            <w:pPr>
              <w:pStyle w:val="Compact"/>
              <w:jc w:val="left"/>
            </w:pPr>
            <w:r>
              <w:rPr>
                <w:rFonts w:ascii="Calibri" w:hAnsi="Calibri"/>
                <w:sz w:val="20"/>
              </w:rPr>
              <w:t xml:space="preserve">14,392</w:t>
            </w:r>
          </w:p>
        </w:tc>
        <w:tc>
          <w:tcPr/>
          <w:p>
            <w:pPr>
              <w:pStyle w:val="Compact"/>
              <w:jc w:val="left"/>
            </w:pPr>
            <w:r>
              <w:rPr>
                <w:rFonts w:ascii="Calibri" w:hAnsi="Calibri"/>
                <w:sz w:val="20"/>
              </w:rPr>
              <w:t xml:space="preserve">12,883</w:t>
            </w:r>
          </w:p>
        </w:tc>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0,031</w:t>
            </w:r>
          </w:p>
        </w:tc>
      </w:tr>
      <w:tr>
        <w:tc>
          <w:tcPr/>
          <w:p>
            <w:pPr>
              <w:pStyle w:val="Compact"/>
              <w:jc w:val="left"/>
            </w:pPr>
            <w:r>
              <w:rPr>
                <w:rFonts w:ascii="Calibri" w:hAnsi="Calibri"/>
                <w:sz w:val="20"/>
              </w:rPr>
              <w:t xml:space="preserve">3</w:t>
            </w:r>
          </w:p>
        </w:tc>
        <w:tc>
          <w:tcPr/>
          <w:p>
            <w:pPr>
              <w:pStyle w:val="Compact"/>
              <w:jc w:val="left"/>
            </w:pPr>
            <w:r>
              <w:rPr>
                <w:rFonts w:ascii="Calibri" w:hAnsi="Calibri"/>
                <w:sz w:val="20"/>
              </w:rPr>
              <w:t xml:space="preserve">11,936</w:t>
            </w:r>
          </w:p>
        </w:tc>
        <w:tc>
          <w:tcPr/>
          <w:p>
            <w:pPr>
              <w:pStyle w:val="Compact"/>
              <w:jc w:val="left"/>
            </w:pPr>
            <w:r>
              <w:rPr>
                <w:rFonts w:ascii="Calibri" w:hAnsi="Calibri"/>
                <w:sz w:val="20"/>
              </w:rPr>
              <w:t xml:space="preserve">14,865</w:t>
            </w:r>
          </w:p>
        </w:tc>
        <w:tc>
          <w:tcPr/>
          <w:p>
            <w:pPr>
              <w:pStyle w:val="Compact"/>
              <w:jc w:val="left"/>
            </w:pPr>
            <w:r>
              <w:rPr>
                <w:rFonts w:ascii="Calibri" w:hAnsi="Calibri"/>
                <w:sz w:val="20"/>
              </w:rPr>
              <w:t xml:space="preserve">13,125</w:t>
            </w:r>
          </w:p>
        </w:tc>
        <w:tc>
          <w:tcPr/>
          <w:p>
            <w:pPr>
              <w:pStyle w:val="Compact"/>
              <w:jc w:val="left"/>
            </w:pPr>
            <w:r>
              <w:rPr>
                <w:rFonts w:ascii="Calibri" w:hAnsi="Calibri"/>
                <w:sz w:val="20"/>
              </w:rPr>
              <w:t xml:space="preserve">0,862</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4</w:t>
            </w:r>
          </w:p>
        </w:tc>
        <w:tc>
          <w:tcPr/>
          <w:p>
            <w:pPr>
              <w:pStyle w:val="Compact"/>
              <w:jc w:val="left"/>
            </w:pPr>
            <w:r>
              <w:rPr>
                <w:rFonts w:ascii="Calibri" w:hAnsi="Calibri"/>
                <w:sz w:val="20"/>
              </w:rPr>
              <w:t xml:space="preserve">11,873</w:t>
            </w:r>
          </w:p>
        </w:tc>
        <w:tc>
          <w:tcPr/>
          <w:p>
            <w:pPr>
              <w:pStyle w:val="Compact"/>
              <w:jc w:val="left"/>
            </w:pPr>
            <w:r>
              <w:rPr>
                <w:rFonts w:ascii="Calibri" w:hAnsi="Calibri"/>
                <w:sz w:val="20"/>
              </w:rPr>
              <w:t xml:space="preserve">15,193</w:t>
            </w:r>
          </w:p>
        </w:tc>
        <w:tc>
          <w:tcPr/>
          <w:p>
            <w:pPr>
              <w:pStyle w:val="Compact"/>
              <w:jc w:val="left"/>
            </w:pPr>
            <w:r>
              <w:rPr>
                <w:rFonts w:ascii="Calibri" w:hAnsi="Calibri"/>
                <w:sz w:val="20"/>
              </w:rPr>
              <w:t xml:space="preserve">13,220</w:t>
            </w:r>
          </w:p>
        </w:tc>
        <w:tc>
          <w:tcPr/>
          <w:p>
            <w:pPr>
              <w:pStyle w:val="Compact"/>
              <w:jc w:val="left"/>
            </w:pPr>
            <w:r>
              <w:rPr>
                <w:rFonts w:ascii="Calibri" w:hAnsi="Calibri"/>
                <w:sz w:val="20"/>
              </w:rPr>
              <w:t xml:space="preserve">0,953</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5</w:t>
            </w:r>
          </w:p>
        </w:tc>
        <w:tc>
          <w:tcPr/>
          <w:p>
            <w:pPr>
              <w:pStyle w:val="Compact"/>
              <w:jc w:val="left"/>
            </w:pPr>
            <w:r>
              <w:rPr>
                <w:rFonts w:ascii="Calibri" w:hAnsi="Calibri"/>
                <w:sz w:val="20"/>
              </w:rPr>
              <w:t xml:space="preserve">11,909</w:t>
            </w:r>
          </w:p>
        </w:tc>
        <w:tc>
          <w:tcPr/>
          <w:p>
            <w:pPr>
              <w:pStyle w:val="Compact"/>
              <w:jc w:val="left"/>
            </w:pPr>
            <w:r>
              <w:rPr>
                <w:rFonts w:ascii="Calibri" w:hAnsi="Calibri"/>
                <w:sz w:val="20"/>
              </w:rPr>
              <w:t xml:space="preserve">15,619</w:t>
            </w:r>
          </w:p>
        </w:tc>
        <w:tc>
          <w:tcPr/>
          <w:p>
            <w:pPr>
              <w:pStyle w:val="Compact"/>
              <w:jc w:val="left"/>
            </w:pPr>
            <w:r>
              <w:rPr>
                <w:rFonts w:ascii="Calibri" w:hAnsi="Calibri"/>
                <w:sz w:val="20"/>
              </w:rPr>
              <w:t xml:space="preserve">13,414</w:t>
            </w:r>
          </w:p>
        </w:tc>
        <w:tc>
          <w:tcPr/>
          <w:p>
            <w:pPr>
              <w:pStyle w:val="Compact"/>
              <w:jc w:val="left"/>
            </w:pPr>
            <w:r>
              <w:rPr>
                <w:rFonts w:ascii="Calibri" w:hAnsi="Calibri"/>
                <w:sz w:val="20"/>
              </w:rPr>
              <w:t xml:space="preserve">1,005</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11,828</w:t>
            </w:r>
          </w:p>
        </w:tc>
        <w:tc>
          <w:tcPr/>
          <w:p>
            <w:pPr>
              <w:pStyle w:val="Compact"/>
              <w:jc w:val="left"/>
            </w:pPr>
            <w:r>
              <w:rPr>
                <w:rFonts w:ascii="Calibri" w:hAnsi="Calibri"/>
                <w:sz w:val="20"/>
              </w:rPr>
              <w:t xml:space="preserve">15,928</w:t>
            </w:r>
          </w:p>
        </w:tc>
        <w:tc>
          <w:tcPr/>
          <w:p>
            <w:pPr>
              <w:pStyle w:val="Compact"/>
              <w:jc w:val="left"/>
            </w:pPr>
            <w:r>
              <w:rPr>
                <w:rFonts w:ascii="Calibri" w:hAnsi="Calibri"/>
                <w:sz w:val="20"/>
              </w:rPr>
              <w:t xml:space="preserve">13,491</w:t>
            </w:r>
          </w:p>
        </w:tc>
        <w:tc>
          <w:tcPr/>
          <w:p>
            <w:pPr>
              <w:pStyle w:val="Compact"/>
              <w:jc w:val="left"/>
            </w:pPr>
            <w:r>
              <w:rPr>
                <w:rFonts w:ascii="Calibri" w:hAnsi="Calibri"/>
                <w:sz w:val="20"/>
              </w:rPr>
              <w:t xml:space="preserve">1,008</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bl>
    <w:p>
      <w:pPr>
        <w:pStyle w:val="BodyText"/>
      </w:pPr>
      <w:r>
        <w:t xml:space="preserve">Con la deuda consolidada con el BCRA (extensión), la misma regla elige 1 rezago (raíz máxima 0,683, Portmanteau p = 0,147); muestra efectiva 2003-2025 (90 trimestres), desde 2002 (sección 5.2).</w:t>
      </w:r>
    </w:p>
    <w:bookmarkEnd w:id="131"/>
    <w:bookmarkStart w:id="132"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Prueba (p-valor salvo estabilidad)</w:t>
            </w:r>
          </w:p>
        </w:tc>
        <w:tc>
          <w:tcPr/>
          <w:p>
            <w:pPr>
              <w:pStyle w:val="Compact"/>
              <w:jc w:val="left"/>
            </w:pPr>
            <w:r>
              <w:rPr>
                <w:rFonts w:ascii="Calibri" w:hAnsi="Calibri"/>
                <w:sz w:val="20"/>
              </w:rPr>
              <w:t xml:space="preserve">federal bruta (principal)</w:t>
            </w:r>
          </w:p>
        </w:tc>
        <w:tc>
          <w:tcPr/>
          <w:p>
            <w:pPr>
              <w:pStyle w:val="Compact"/>
              <w:jc w:val="left"/>
            </w:pPr>
            <w:r>
              <w:rPr>
                <w:rFonts w:ascii="Calibri" w:hAnsi="Calibri"/>
                <w:sz w:val="20"/>
              </w:rPr>
              <w:t xml:space="preserve">consolidada con el BCRA (extensión)</w:t>
            </w:r>
          </w:p>
        </w:tc>
      </w:tr>
      <w:tr>
        <w:tc>
          <w:tcPr/>
          <w:p>
            <w:pPr>
              <w:pStyle w:val="Compact"/>
              <w:jc w:val="left"/>
            </w:pPr>
            <w:r>
              <w:rPr>
                <w:rFonts w:ascii="Calibri" w:hAnsi="Calibri"/>
                <w:sz w:val="20"/>
              </w:rPr>
              <w:t xml:space="preserve">Portmanteau (12 rezagos)</w:t>
            </w:r>
          </w:p>
        </w:tc>
        <w:tc>
          <w:tcPr/>
          <w:p>
            <w:pPr>
              <w:pStyle w:val="Compact"/>
              <w:jc w:val="left"/>
            </w:pPr>
            <w:r>
              <w:rPr>
                <w:rFonts w:ascii="Calibri" w:hAnsi="Calibri"/>
                <w:sz w:val="20"/>
              </w:rPr>
              <w:t xml:space="preserve">0,031</w:t>
            </w:r>
          </w:p>
        </w:tc>
        <w:tc>
          <w:tcPr/>
          <w:p>
            <w:pPr>
              <w:pStyle w:val="Compact"/>
              <w:jc w:val="left"/>
            </w:pPr>
            <w:r>
              <w:rPr>
                <w:rFonts w:ascii="Calibri" w:hAnsi="Calibri"/>
                <w:sz w:val="20"/>
              </w:rPr>
              <w:t xml:space="preserve">0,147</w:t>
            </w:r>
          </w:p>
        </w:tc>
      </w:tr>
      <w:tr>
        <w:tc>
          <w:tcPr/>
          <w:p>
            <w:pPr>
              <w:pStyle w:val="Compact"/>
              <w:jc w:val="left"/>
            </w:pPr>
            <w:r>
              <w:rPr>
                <w:rFonts w:ascii="Calibri" w:hAnsi="Calibri"/>
                <w:sz w:val="20"/>
              </w:rPr>
              <w:t xml:space="preserve">Normalidad multivariada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Estable (1 = sí)</w:t>
            </w:r>
          </w:p>
        </w:tc>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1,000</w:t>
            </w:r>
          </w:p>
        </w:tc>
      </w:tr>
      <w:tr>
        <w:tc>
          <w:tcPr/>
          <w:p>
            <w:pPr>
              <w:pStyle w:val="Compact"/>
              <w:jc w:val="left"/>
            </w:pPr>
            <w:r>
              <w:rPr>
                <w:rFonts w:ascii="Calibri" w:hAnsi="Calibri"/>
                <w:sz w:val="20"/>
              </w:rPr>
              <w:t xml:space="preserve">ARCH-LM(4) resultado primario (p-valor)</w:t>
            </w:r>
          </w:p>
        </w:tc>
        <w:tc>
          <w:tcPr/>
          <w:p>
            <w:pPr>
              <w:pStyle w:val="Compact"/>
              <w:jc w:val="left"/>
            </w:pPr>
            <w:r>
              <w:rPr>
                <w:rFonts w:ascii="Calibri" w:hAnsi="Calibri"/>
                <w:sz w:val="20"/>
              </w:rPr>
              <w:t xml:space="preserve">0,960</w:t>
            </w:r>
          </w:p>
        </w:tc>
        <w:tc>
          <w:tcPr/>
          <w:p>
            <w:pPr>
              <w:pStyle w:val="Compact"/>
              <w:jc w:val="left"/>
            </w:pPr>
            <w:r>
              <w:rPr>
                <w:rFonts w:ascii="Calibri" w:hAnsi="Calibri"/>
                <w:sz w:val="20"/>
              </w:rPr>
              <w:t xml:space="preserve">0,973</w:t>
            </w:r>
          </w:p>
        </w:tc>
      </w:tr>
      <w:tr>
        <w:tc>
          <w:tcPr/>
          <w:p>
            <w:pPr>
              <w:pStyle w:val="Compact"/>
              <w:jc w:val="left"/>
            </w:pPr>
            <w:r>
              <w:rPr>
                <w:rFonts w:ascii="Calibri" w:hAnsi="Calibri"/>
                <w:sz w:val="20"/>
              </w:rPr>
              <w:t xml:space="preserve">ARCH-LM(4) crecimiento (p-valor)</w:t>
            </w:r>
          </w:p>
        </w:tc>
        <w:tc>
          <w:tcPr/>
          <w:p>
            <w:pPr>
              <w:pStyle w:val="Compact"/>
              <w:jc w:val="left"/>
            </w:pPr>
            <w:r>
              <w:rPr>
                <w:rFonts w:ascii="Calibri" w:hAnsi="Calibri"/>
                <w:sz w:val="20"/>
              </w:rPr>
              <w:t xml:space="preserve">0,833</w:t>
            </w:r>
          </w:p>
        </w:tc>
        <w:tc>
          <w:tcPr/>
          <w:p>
            <w:pPr>
              <w:pStyle w:val="Compact"/>
              <w:jc w:val="left"/>
            </w:pPr>
            <w:r>
              <w:rPr>
                <w:rFonts w:ascii="Calibri" w:hAnsi="Calibri"/>
                <w:sz w:val="20"/>
              </w:rPr>
              <w:t xml:space="preserve">0,803</w:t>
            </w:r>
          </w:p>
        </w:tc>
      </w:tr>
      <w:tr>
        <w:tc>
          <w:tcPr/>
          <w:p>
            <w:pPr>
              <w:pStyle w:val="Compact"/>
              <w:jc w:val="left"/>
            </w:pPr>
            <w:r>
              <w:rPr>
                <w:rFonts w:ascii="Calibri" w:hAnsi="Calibri"/>
                <w:sz w:val="20"/>
              </w:rPr>
              <w:t xml:space="preserve">ARCH-LM(4) EMBI (p-valor)</w:t>
            </w:r>
          </w:p>
        </w:tc>
        <w:tc>
          <w:tcPr/>
          <w:p>
            <w:pPr>
              <w:pStyle w:val="Compact"/>
              <w:jc w:val="left"/>
            </w:pPr>
            <w:r>
              <w:rPr>
                <w:rFonts w:ascii="Calibri" w:hAnsi="Calibri"/>
                <w:sz w:val="20"/>
              </w:rPr>
              <w:t xml:space="preserve">0,925</w:t>
            </w:r>
          </w:p>
        </w:tc>
        <w:tc>
          <w:tcPr/>
          <w:p>
            <w:pPr>
              <w:pStyle w:val="Compact"/>
              <w:jc w:val="left"/>
            </w:pPr>
            <w:r>
              <w:rPr>
                <w:rFonts w:ascii="Calibri" w:hAnsi="Calibri"/>
                <w:sz w:val="20"/>
              </w:rPr>
              <w:t xml:space="preserve">0,969</w:t>
            </w:r>
          </w:p>
        </w:tc>
      </w:tr>
      <w:tr>
        <w:tc>
          <w:tcPr/>
          <w:p>
            <w:pPr>
              <w:pStyle w:val="Compact"/>
              <w:jc w:val="left"/>
            </w:pPr>
            <w:r>
              <w:rPr>
                <w:rFonts w:ascii="Calibri" w:hAnsi="Calibri"/>
                <w:sz w:val="20"/>
              </w:rPr>
              <w:t xml:space="preserve">ARCH-LM(4) TCRM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0,362</w:t>
            </w:r>
          </w:p>
        </w:tc>
      </w:tr>
    </w:tbl>
    <w:bookmarkEnd w:id="132"/>
    <w:bookmarkStart w:id="133" w:name="a.6-matriz-de-impacto-estructural"/>
    <w:p>
      <w:pPr>
        <w:pStyle w:val="Heading2"/>
      </w:pPr>
      <w:r>
        <w:t xml:space="preserve">A.6 Matriz de impacto estructural</w:t>
      </w:r>
    </w:p>
    <w:p>
      <w:pPr>
        <w:pStyle w:val="FirstParagraph"/>
      </w:pPr>
      <w:r>
        <w:t xml:space="preserve">Efecto en el mismo trimestre de un</w:t>
      </w:r>
      <w:r>
        <w:t xml:space="preserve"> </w:t>
      </w:r>
      <w:r>
        <w:rPr>
          <w:iCs/>
          <w:i/>
        </w:rPr>
        <w:t xml:space="preserve">shock</w:t>
      </w:r>
      <w:r>
        <w:t xml:space="preserve"> </w:t>
      </w:r>
      <w:r>
        <w:t xml:space="preserve">estructural de un desvío estándar (especificación principal). Los ceros son las restricciones de identificación de la sección 4.4. Los dos</w:t>
      </w:r>
      <w:r>
        <w:t xml:space="preserve"> </w:t>
      </w:r>
      <w:r>
        <w:rPr>
          <w:iCs/>
          <w:i/>
        </w:rPr>
        <w:t xml:space="preserve">shocks</w:t>
      </w:r>
      <w:r>
        <w:t xml:space="preserve"> </w:t>
      </w:r>
      <w:r>
        <w:t xml:space="preserve">del bloque cambiario y de riesgo no tienen interpretación por separado: solo se usa su efecto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1,316</w:t>
            </w:r>
          </w:p>
        </w:tc>
        <w:tc>
          <w:tcPr/>
          <w:p>
            <w:pPr>
              <w:pStyle w:val="Compact"/>
              <w:jc w:val="left"/>
            </w:pPr>
            <w:r>
              <w:rPr>
                <w:rFonts w:ascii="Calibri" w:hAnsi="Calibri"/>
                <w:sz w:val="20"/>
              </w:rPr>
              <w:t xml:space="preserve">0,677</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-0,277</w:t>
            </w:r>
          </w:p>
        </w:tc>
        <w:tc>
          <w:tcPr/>
          <w:p>
            <w:pPr>
              <w:pStyle w:val="Compact"/>
              <w:jc w:val="left"/>
            </w:pPr>
            <w:r>
              <w:rPr>
                <w:rFonts w:ascii="Calibri" w:hAnsi="Calibri"/>
                <w:sz w:val="20"/>
              </w:rPr>
              <w:t xml:space="preserve">2,708</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-85,360</w:t>
            </w:r>
          </w:p>
        </w:tc>
        <w:tc>
          <w:tcPr/>
          <w:p>
            <w:pPr>
              <w:pStyle w:val="Compact"/>
              <w:jc w:val="left"/>
            </w:pPr>
            <w:r>
              <w:rPr>
                <w:rFonts w:ascii="Calibri" w:hAnsi="Calibri"/>
                <w:sz w:val="20"/>
              </w:rPr>
              <w:t xml:space="preserve">-22,504</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0,014</w:t>
            </w:r>
          </w:p>
        </w:tc>
        <w:tc>
          <w:tcPr/>
          <w:p>
            <w:pPr>
              <w:pStyle w:val="Compact"/>
              <w:jc w:val="left"/>
            </w:pPr>
            <w:r>
              <w:rPr>
                <w:rFonts w:ascii="Calibri" w:hAnsi="Calibri"/>
                <w:sz w:val="20"/>
              </w:rPr>
              <w:t xml:space="preserve">-0,008</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bookmarkEnd w:id="133"/>
    <w:bookmarkStart w:id="134" w:name="Xa4b00fd9880f345b9463345ba8365d75a5bb7c3"/>
    <w:p>
      <w:pPr>
        <w:pStyle w:val="Heading2"/>
      </w:pPr>
      <w:r>
        <w:t xml:space="preserve">A.7 Matrices de impacto de los ordenamientos de Cholesky</w:t>
      </w:r>
    </w:p>
    <w:p>
      <w:pPr>
        <w:pStyle w:val="FirstParagraph"/>
      </w:pPr>
      <w:r>
        <w:t xml:space="preserve">Efecto en el mismo trimestre de un</w:t>
      </w:r>
      <w:r>
        <w:t xml:space="preserve"> </w:t>
      </w:r>
      <w:r>
        <w:rPr>
          <w:iCs/>
          <w:i/>
        </w:rPr>
        <w:t xml:space="preserve">shock</w:t>
      </w:r>
      <w:r>
        <w:t xml:space="preserve"> </w:t>
      </w:r>
      <w:r>
        <w:t xml:space="preserve">de un desvío estándar, con el mismo formato que la matriz estructural (A.6). En una descomposición de Cholesky cada variable responde en el trimestre a los</w:t>
      </w:r>
      <w:r>
        <w:t xml:space="preserve"> </w:t>
      </w:r>
      <w:r>
        <w:rPr>
          <w:iCs/>
          <w:i/>
        </w:rPr>
        <w:t xml:space="preserve">shocks</w:t>
      </w:r>
      <w:r>
        <w:t xml:space="preserve"> </w:t>
      </w:r>
      <w:r>
        <w:t xml:space="preserve">de las que la preceden en el orden y no a los de las que la siguen, de modo que los ceros de cada matriz indican el orden causal. Las filas están en el orden del sistema y las columnas son el</w:t>
      </w:r>
      <w:r>
        <w:t xml:space="preserve"> </w:t>
      </w:r>
      <w:r>
        <w:rPr>
          <w:iCs/>
          <w:i/>
        </w:rPr>
        <w:t xml:space="preserve">shock</w:t>
      </w:r>
      <w:r>
        <w:t xml:space="preserve"> </w:t>
      </w:r>
      <w:r>
        <w:t xml:space="preserve">de cada variable.</w:t>
      </w:r>
    </w:p>
    <w:p>
      <w:pPr>
        <w:pStyle w:val="BodyText"/>
      </w:pPr>
      <w:r>
        <w:rPr>
          <w:bCs/>
          <w:b/>
        </w:rPr>
        <w:t xml:space="preserve">Resultado primario primero.</w:t>
      </w:r>
      <w:r>
        <w:t xml:space="preserve"> </w:t>
      </w:r>
      <w:r>
        <w:t xml:space="preserve">Orden de las variables, de la primera a la última: resultado primario, crecimiento, EMBI, TCRM.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1,480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0,992</w:t>
            </w:r>
          </w:p>
        </w:tc>
        <w:tc>
          <w:tcPr/>
          <w:p>
            <w:pPr>
              <w:pStyle w:val="Compact"/>
              <w:jc w:val="left"/>
            </w:pPr>
            <w:r>
              <w:rPr>
                <w:rFonts w:ascii="Calibri" w:hAnsi="Calibri"/>
                <w:sz w:val="20"/>
              </w:rPr>
              <w:t xml:space="preserve">2,535</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-86,202</w:t>
            </w:r>
          </w:p>
        </w:tc>
        <w:tc>
          <w:tcPr/>
          <w:p>
            <w:pPr>
              <w:pStyle w:val="Compact"/>
              <w:jc w:val="left"/>
            </w:pPr>
            <w:r>
              <w:rPr>
                <w:rFonts w:ascii="Calibri" w:hAnsi="Calibri"/>
                <w:sz w:val="20"/>
              </w:rPr>
              <w:t xml:space="preserve">19,029</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-0,013</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p>
      <w:pPr>
        <w:pStyle w:val="BodyText"/>
      </w:pPr>
      <w:r>
        <w:rPr>
          <w:bCs/>
          <w:b/>
        </w:rPr>
        <w:t xml:space="preserve">Resultado primario último.</w:t>
      </w:r>
      <w:r>
        <w:t xml:space="preserve"> </w:t>
      </w:r>
      <w:r>
        <w:t xml:space="preserve">Orden de las variables, de la primera a la última: crecimiento, TCRM, EMBI, resultado primario.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1,335</w:t>
            </w:r>
          </w:p>
        </w:tc>
        <w:tc>
          <w:tcPr/>
          <w:p>
            <w:pPr>
              <w:pStyle w:val="Compact"/>
              <w:jc w:val="left"/>
            </w:pPr>
            <w:r>
              <w:rPr>
                <w:rFonts w:ascii="Calibri" w:hAnsi="Calibri"/>
                <w:sz w:val="20"/>
              </w:rPr>
              <w:t xml:space="preserve">0,540</w:t>
            </w:r>
          </w:p>
        </w:tc>
        <w:tc>
          <w:tcPr/>
          <w:p>
            <w:pPr>
              <w:pStyle w:val="Compact"/>
              <w:jc w:val="left"/>
            </w:pPr>
            <w:r>
              <w:rPr>
                <w:rFonts w:ascii="Calibri" w:hAnsi="Calibri"/>
                <w:sz w:val="20"/>
              </w:rPr>
              <w:t xml:space="preserve">-0,304</w:t>
            </w:r>
          </w:p>
        </w:tc>
        <w:tc>
          <w:tcPr/>
          <w:p>
            <w:pPr>
              <w:pStyle w:val="Compact"/>
              <w:jc w:val="left"/>
            </w:pPr>
            <w:r>
              <w:rPr>
                <w:rFonts w:ascii="Calibri" w:hAnsi="Calibri"/>
                <w:sz w:val="20"/>
              </w:rPr>
              <w:t xml:space="preserve">0,164</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2,722</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-13,696</w:t>
            </w:r>
          </w:p>
        </w:tc>
        <w:tc>
          <w:tcPr/>
          <w:p>
            <w:pPr>
              <w:pStyle w:val="Compact"/>
              <w:jc w:val="left"/>
            </w:pPr>
            <w:r>
              <w:rPr>
                <w:rFonts w:ascii="Calibri" w:hAnsi="Calibri"/>
                <w:sz w:val="20"/>
              </w:rPr>
              <w:t xml:space="preserve">386,013</w:t>
            </w:r>
          </w:p>
        </w:tc>
        <w:tc>
          <w:tcPr/>
          <w:p>
            <w:pPr>
              <w:pStyle w:val="Compact"/>
              <w:jc w:val="left"/>
            </w:pPr>
            <w:r>
              <w:rPr>
                <w:rFonts w:ascii="Calibri" w:hAnsi="Calibri"/>
                <w:sz w:val="20"/>
              </w:rPr>
              <w:t xml:space="preserve">-18,427</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0,107</w:t>
            </w:r>
          </w:p>
        </w:tc>
      </w:tr>
    </w:tbl>
    <w:bookmarkEnd w:id="134"/>
    <w:bookmarkStart w:id="135" w:name="a.8-ecuación-del-resultado-primario"/>
    <w:p>
      <w:pPr>
        <w:pStyle w:val="Heading2"/>
      </w:pPr>
      <w:r>
        <w:t xml:space="preserve">A.8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Cs/>
          <w:i/>
        </w:rPr>
        <w:t xml:space="preserve">bootstrap</w:t>
      </w:r>
      <w:r>
        <w:t xml:space="preserve">. El coeficiente de la deuda rezagada es el efecto de impacto sobre el resultado primario trimestral. El multiplicador de largo plazo, que descuenta los rezagos propios del resultado primario, es 0,079, con un intervalo de 90% de [0,062; 0,147].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Regresor</w:t>
            </w:r>
          </w:p>
        </w:tc>
        <w:tc>
          <w:tcPr/>
          <w:p>
            <w:pPr>
              <w:pStyle w:val="Compact"/>
              <w:jc w:val="left"/>
            </w:pPr>
            <w:r>
              <w:rPr>
                <w:rFonts w:ascii="Calibri" w:hAnsi="Calibri"/>
                <w:sz w:val="20"/>
              </w:rPr>
              <w:t xml:space="preserve">Coeficiente</w:t>
            </w:r>
          </w:p>
        </w:tc>
        <w:tc>
          <w:tcPr/>
          <w:p>
            <w:pPr>
              <w:pStyle w:val="Compact"/>
              <w:jc w:val="left"/>
            </w:pPr>
            <w:r>
              <w:rPr>
                <w:rFonts w:ascii="Calibri" w:hAnsi="Calibri"/>
                <w:sz w:val="20"/>
              </w:rPr>
              <w:t xml:space="preserve">Error estándar</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Variación de la tasa de la FED, rezago 0</w:t>
            </w:r>
          </w:p>
        </w:tc>
        <w:tc>
          <w:tcPr/>
          <w:p>
            <w:pPr>
              <w:pStyle w:val="Compact"/>
              <w:jc w:val="left"/>
            </w:pPr>
            <w:r>
              <w:rPr>
                <w:rFonts w:ascii="Calibri" w:hAnsi="Calibri"/>
                <w:sz w:val="20"/>
              </w:rPr>
              <w:t xml:space="preserve">0,6314</w:t>
            </w:r>
          </w:p>
        </w:tc>
        <w:tc>
          <w:tcPr/>
          <w:p>
            <w:pPr>
              <w:pStyle w:val="Compact"/>
              <w:jc w:val="left"/>
            </w:pPr>
            <w:r>
              <w:rPr>
                <w:rFonts w:ascii="Calibri" w:hAnsi="Calibri"/>
                <w:sz w:val="20"/>
              </w:rPr>
              <w:t xml:space="preserve">0,5069</w:t>
            </w:r>
          </w:p>
        </w:tc>
        <w:tc>
          <w:tcPr/>
          <w:p>
            <w:pPr>
              <w:pStyle w:val="Compact"/>
              <w:jc w:val="left"/>
            </w:pPr>
            <w:r>
              <w:rPr>
                <w:rFonts w:ascii="Calibri" w:hAnsi="Calibri"/>
                <w:sz w:val="20"/>
              </w:rPr>
              <w:t xml:space="preserve">0,213</w:t>
            </w:r>
          </w:p>
        </w:tc>
      </w:tr>
      <w:tr>
        <w:tc>
          <w:tcPr/>
          <w:p>
            <w:pPr>
              <w:pStyle w:val="Compact"/>
              <w:jc w:val="left"/>
            </w:pPr>
            <w:r>
              <w:rPr>
                <w:rFonts w:ascii="Calibri" w:hAnsi="Calibri"/>
                <w:sz w:val="20"/>
              </w:rPr>
              <w:t xml:space="preserve">Variación de la tasa de la FED, rezago 1</w:t>
            </w:r>
          </w:p>
        </w:tc>
        <w:tc>
          <w:tcPr/>
          <w:p>
            <w:pPr>
              <w:pStyle w:val="Compact"/>
              <w:jc w:val="left"/>
            </w:pPr>
            <w:r>
              <w:rPr>
                <w:rFonts w:ascii="Calibri" w:hAnsi="Calibri"/>
                <w:sz w:val="20"/>
              </w:rPr>
              <w:t xml:space="preserve">-0,3595</w:t>
            </w:r>
          </w:p>
        </w:tc>
        <w:tc>
          <w:tcPr/>
          <w:p>
            <w:pPr>
              <w:pStyle w:val="Compact"/>
              <w:jc w:val="left"/>
            </w:pPr>
            <w:r>
              <w:rPr>
                <w:rFonts w:ascii="Calibri" w:hAnsi="Calibri"/>
                <w:sz w:val="20"/>
              </w:rPr>
              <w:t xml:space="preserve">0,5962</w:t>
            </w:r>
          </w:p>
        </w:tc>
        <w:tc>
          <w:tcPr/>
          <w:p>
            <w:pPr>
              <w:pStyle w:val="Compact"/>
              <w:jc w:val="left"/>
            </w:pPr>
            <w:r>
              <w:rPr>
                <w:rFonts w:ascii="Calibri" w:hAnsi="Calibri"/>
                <w:sz w:val="20"/>
              </w:rPr>
              <w:t xml:space="preserve">0,547</w:t>
            </w:r>
          </w:p>
        </w:tc>
      </w:tr>
      <w:tr>
        <w:tc>
          <w:tcPr/>
          <w:p>
            <w:pPr>
              <w:pStyle w:val="Compact"/>
              <w:jc w:val="left"/>
            </w:pPr>
            <w:r>
              <w:rPr>
                <w:rFonts w:ascii="Calibri" w:hAnsi="Calibri"/>
                <w:sz w:val="20"/>
              </w:rPr>
              <w:t xml:space="preserve">Variación de la tasa de la FED, rezago 2</w:t>
            </w:r>
          </w:p>
        </w:tc>
        <w:tc>
          <w:tcPr/>
          <w:p>
            <w:pPr>
              <w:pStyle w:val="Compact"/>
              <w:jc w:val="left"/>
            </w:pPr>
            <w:r>
              <w:rPr>
                <w:rFonts w:ascii="Calibri" w:hAnsi="Calibri"/>
                <w:sz w:val="20"/>
              </w:rPr>
              <w:t xml:space="preserve">-0,1902</w:t>
            </w:r>
          </w:p>
        </w:tc>
        <w:tc>
          <w:tcPr/>
          <w:p>
            <w:pPr>
              <w:pStyle w:val="Compact"/>
              <w:jc w:val="left"/>
            </w:pPr>
            <w:r>
              <w:rPr>
                <w:rFonts w:ascii="Calibri" w:hAnsi="Calibri"/>
                <w:sz w:val="20"/>
              </w:rPr>
              <w:t xml:space="preserve">0,5150</w:t>
            </w:r>
          </w:p>
        </w:tc>
        <w:tc>
          <w:tcPr/>
          <w:p>
            <w:pPr>
              <w:pStyle w:val="Compact"/>
              <w:jc w:val="left"/>
            </w:pPr>
            <w:r>
              <w:rPr>
                <w:rFonts w:ascii="Calibri" w:hAnsi="Calibri"/>
                <w:sz w:val="20"/>
              </w:rPr>
              <w:t xml:space="preserve">0,712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0,0128</w:t>
            </w:r>
          </w:p>
        </w:tc>
        <w:tc>
          <w:tcPr/>
          <w:p>
            <w:pPr>
              <w:pStyle w:val="Compact"/>
              <w:jc w:val="left"/>
            </w:pPr>
            <w:r>
              <w:rPr>
                <w:rFonts w:ascii="Calibri" w:hAnsi="Calibri"/>
                <w:sz w:val="20"/>
              </w:rPr>
              <w:t xml:space="preserve">0,0324</w:t>
            </w:r>
          </w:p>
        </w:tc>
        <w:tc>
          <w:tcPr/>
          <w:p>
            <w:pPr>
              <w:pStyle w:val="Compact"/>
              <w:jc w:val="left"/>
            </w:pPr>
            <w:r>
              <w:rPr>
                <w:rFonts w:ascii="Calibri" w:hAnsi="Calibri"/>
                <w:sz w:val="20"/>
              </w:rPr>
              <w:t xml:space="preserve">0,693</w:t>
            </w:r>
          </w:p>
        </w:tc>
      </w:tr>
      <w:tr>
        <w:tc>
          <w:tcPr/>
          <w:p>
            <w:pPr>
              <w:pStyle w:val="Compact"/>
              <w:jc w:val="left"/>
            </w:pPr>
            <w:r>
              <w:rPr>
                <w:rFonts w:ascii="Calibri" w:hAnsi="Calibri"/>
                <w:sz w:val="20"/>
              </w:rPr>
              <w:t xml:space="preserve">Binaria presidencial: De la Rúa</w:t>
            </w:r>
          </w:p>
        </w:tc>
        <w:tc>
          <w:tcPr/>
          <w:p>
            <w:pPr>
              <w:pStyle w:val="Compact"/>
              <w:jc w:val="left"/>
            </w:pPr>
            <w:r>
              <w:rPr>
                <w:rFonts w:ascii="Calibri" w:hAnsi="Calibri"/>
                <w:sz w:val="20"/>
              </w:rPr>
              <w:t xml:space="preserve">-0,3436</w:t>
            </w:r>
          </w:p>
        </w:tc>
        <w:tc>
          <w:tcPr/>
          <w:p>
            <w:pPr>
              <w:pStyle w:val="Compact"/>
              <w:jc w:val="left"/>
            </w:pPr>
            <w:r>
              <w:rPr>
                <w:rFonts w:ascii="Calibri" w:hAnsi="Calibri"/>
                <w:sz w:val="20"/>
              </w:rPr>
              <w:t xml:space="preserve">0,9390</w:t>
            </w:r>
          </w:p>
        </w:tc>
        <w:tc>
          <w:tcPr/>
          <w:p>
            <w:pPr>
              <w:pStyle w:val="Compact"/>
              <w:jc w:val="left"/>
            </w:pPr>
            <w:r>
              <w:rPr>
                <w:rFonts w:ascii="Calibri" w:hAnsi="Calibri"/>
                <w:sz w:val="20"/>
              </w:rPr>
              <w:t xml:space="preserve">0,714</w:t>
            </w:r>
          </w:p>
        </w:tc>
      </w:tr>
      <w:tr>
        <w:tc>
          <w:tcPr/>
          <w:p>
            <w:pPr>
              <w:pStyle w:val="Compact"/>
              <w:jc w:val="left"/>
            </w:pPr>
            <w:r>
              <w:rPr>
                <w:rFonts w:ascii="Calibri" w:hAnsi="Calibri"/>
                <w:sz w:val="20"/>
              </w:rPr>
              <w:t xml:space="preserve">Binaria presidencial: Duhalde</w:t>
            </w:r>
          </w:p>
        </w:tc>
        <w:tc>
          <w:tcPr/>
          <w:p>
            <w:pPr>
              <w:pStyle w:val="Compact"/>
              <w:jc w:val="left"/>
            </w:pPr>
            <w:r>
              <w:rPr>
                <w:rFonts w:ascii="Calibri" w:hAnsi="Calibri"/>
                <w:sz w:val="20"/>
              </w:rPr>
              <w:t xml:space="preserve">-2,3351</w:t>
            </w:r>
          </w:p>
        </w:tc>
        <w:tc>
          <w:tcPr/>
          <w:p>
            <w:pPr>
              <w:pStyle w:val="Compact"/>
              <w:jc w:val="left"/>
            </w:pPr>
            <w:r>
              <w:rPr>
                <w:rFonts w:ascii="Calibri" w:hAnsi="Calibri"/>
                <w:sz w:val="20"/>
              </w:rPr>
              <w:t xml:space="preserve">1,3219</w:t>
            </w:r>
          </w:p>
        </w:tc>
        <w:tc>
          <w:tcPr/>
          <w:p>
            <w:pPr>
              <w:pStyle w:val="Compact"/>
              <w:jc w:val="left"/>
            </w:pPr>
            <w:r>
              <w:rPr>
                <w:rFonts w:ascii="Calibri" w:hAnsi="Calibri"/>
                <w:sz w:val="20"/>
              </w:rPr>
              <w:t xml:space="preserve">0,077</w:t>
            </w:r>
          </w:p>
        </w:tc>
      </w:tr>
      <w:tr>
        <w:tc>
          <w:tcPr/>
          <w:p>
            <w:pPr>
              <w:pStyle w:val="Compact"/>
              <w:jc w:val="left"/>
            </w:pPr>
            <w:r>
              <w:rPr>
                <w:rFonts w:ascii="Calibri" w:hAnsi="Calibri"/>
                <w:sz w:val="20"/>
              </w:rPr>
              <w:t xml:space="preserve">Binaria presidencial: N. Kirchner</w:t>
            </w:r>
          </w:p>
        </w:tc>
        <w:tc>
          <w:tcPr/>
          <w:p>
            <w:pPr>
              <w:pStyle w:val="Compact"/>
              <w:jc w:val="left"/>
            </w:pPr>
            <w:r>
              <w:rPr>
                <w:rFonts w:ascii="Calibri" w:hAnsi="Calibri"/>
                <w:sz w:val="20"/>
              </w:rPr>
              <w:t xml:space="preserve">-1,4522</w:t>
            </w:r>
          </w:p>
        </w:tc>
        <w:tc>
          <w:tcPr/>
          <w:p>
            <w:pPr>
              <w:pStyle w:val="Compact"/>
              <w:jc w:val="left"/>
            </w:pPr>
            <w:r>
              <w:rPr>
                <w:rFonts w:ascii="Calibri" w:hAnsi="Calibri"/>
                <w:sz w:val="20"/>
              </w:rPr>
              <w:t xml:space="preserve">1,4445</w:t>
            </w:r>
          </w:p>
        </w:tc>
        <w:tc>
          <w:tcPr/>
          <w:p>
            <w:pPr>
              <w:pStyle w:val="Compact"/>
              <w:jc w:val="left"/>
            </w:pPr>
            <w:r>
              <w:rPr>
                <w:rFonts w:ascii="Calibri" w:hAnsi="Calibri"/>
                <w:sz w:val="20"/>
              </w:rPr>
              <w:t xml:space="preserve">0,315</w:t>
            </w:r>
          </w:p>
        </w:tc>
      </w:tr>
      <w:tr>
        <w:tc>
          <w:tcPr/>
          <w:p>
            <w:pPr>
              <w:pStyle w:val="Compact"/>
              <w:jc w:val="left"/>
            </w:pPr>
            <w:r>
              <w:rPr>
                <w:rFonts w:ascii="Calibri" w:hAnsi="Calibri"/>
                <w:sz w:val="20"/>
              </w:rPr>
              <w:t xml:space="preserve">Binaria presidencial: C. Fernández de Kirchner</w:t>
            </w:r>
          </w:p>
        </w:tc>
        <w:tc>
          <w:tcPr/>
          <w:p>
            <w:pPr>
              <w:pStyle w:val="Compact"/>
              <w:jc w:val="left"/>
            </w:pPr>
            <w:r>
              <w:rPr>
                <w:rFonts w:ascii="Calibri" w:hAnsi="Calibri"/>
                <w:sz w:val="20"/>
              </w:rPr>
              <w:t xml:space="preserve">-1,8334</w:t>
            </w:r>
          </w:p>
        </w:tc>
        <w:tc>
          <w:tcPr/>
          <w:p>
            <w:pPr>
              <w:pStyle w:val="Compact"/>
              <w:jc w:val="left"/>
            </w:pPr>
            <w:r>
              <w:rPr>
                <w:rFonts w:ascii="Calibri" w:hAnsi="Calibri"/>
                <w:sz w:val="20"/>
              </w:rPr>
              <w:t xml:space="preserve">1,5204</w:t>
            </w:r>
          </w:p>
        </w:tc>
        <w:tc>
          <w:tcPr/>
          <w:p>
            <w:pPr>
              <w:pStyle w:val="Compact"/>
              <w:jc w:val="left"/>
            </w:pPr>
            <w:r>
              <w:rPr>
                <w:rFonts w:ascii="Calibri" w:hAnsi="Calibri"/>
                <w:sz w:val="20"/>
              </w:rPr>
              <w:t xml:space="preserve">0,228</w:t>
            </w:r>
          </w:p>
        </w:tc>
      </w:tr>
      <w:tr>
        <w:tc>
          <w:tcPr/>
          <w:p>
            <w:pPr>
              <w:pStyle w:val="Compact"/>
              <w:jc w:val="left"/>
            </w:pPr>
            <w:r>
              <w:rPr>
                <w:rFonts w:ascii="Calibri" w:hAnsi="Calibri"/>
                <w:sz w:val="20"/>
              </w:rPr>
              <w:t xml:space="preserve">Binaria presidencial: Macri</w:t>
            </w:r>
          </w:p>
        </w:tc>
        <w:tc>
          <w:tcPr/>
          <w:p>
            <w:pPr>
              <w:pStyle w:val="Compact"/>
              <w:jc w:val="left"/>
            </w:pPr>
            <w:r>
              <w:rPr>
                <w:rFonts w:ascii="Calibri" w:hAnsi="Calibri"/>
                <w:sz w:val="20"/>
              </w:rPr>
              <w:t xml:space="preserve">-3,5846</w:t>
            </w:r>
          </w:p>
        </w:tc>
        <w:tc>
          <w:tcPr/>
          <w:p>
            <w:pPr>
              <w:pStyle w:val="Compact"/>
              <w:jc w:val="left"/>
            </w:pPr>
            <w:r>
              <w:rPr>
                <w:rFonts w:ascii="Calibri" w:hAnsi="Calibri"/>
                <w:sz w:val="20"/>
              </w:rPr>
              <w:t xml:space="preserve">1,5567</w:t>
            </w:r>
          </w:p>
        </w:tc>
        <w:tc>
          <w:tcPr/>
          <w:p>
            <w:pPr>
              <w:pStyle w:val="Compact"/>
              <w:jc w:val="left"/>
            </w:pPr>
            <w:r>
              <w:rPr>
                <w:rFonts w:ascii="Calibri" w:hAnsi="Calibri"/>
                <w:sz w:val="20"/>
              </w:rPr>
              <w:t xml:space="preserve">0,021</w:t>
            </w:r>
          </w:p>
        </w:tc>
      </w:tr>
      <w:tr>
        <w:tc>
          <w:tcPr/>
          <w:p>
            <w:pPr>
              <w:pStyle w:val="Compact"/>
              <w:jc w:val="left"/>
            </w:pPr>
            <w:r>
              <w:rPr>
                <w:rFonts w:ascii="Calibri" w:hAnsi="Calibri"/>
                <w:sz w:val="20"/>
              </w:rPr>
              <w:t xml:space="preserve">Binaria presidencial: A. Fernández</w:t>
            </w:r>
          </w:p>
        </w:tc>
        <w:tc>
          <w:tcPr/>
          <w:p>
            <w:pPr>
              <w:pStyle w:val="Compact"/>
              <w:jc w:val="left"/>
            </w:pPr>
            <w:r>
              <w:rPr>
                <w:rFonts w:ascii="Calibri" w:hAnsi="Calibri"/>
                <w:sz w:val="20"/>
              </w:rPr>
              <w:t xml:space="preserve">-4,9172</w:t>
            </w:r>
          </w:p>
        </w:tc>
        <w:tc>
          <w:tcPr/>
          <w:p>
            <w:pPr>
              <w:pStyle w:val="Compact"/>
              <w:jc w:val="left"/>
            </w:pPr>
            <w:r>
              <w:rPr>
                <w:rFonts w:ascii="Calibri" w:hAnsi="Calibri"/>
                <w:sz w:val="20"/>
              </w:rPr>
              <w:t xml:space="preserve">1,9016</w:t>
            </w:r>
          </w:p>
        </w:tc>
        <w:tc>
          <w:tcPr/>
          <w:p>
            <w:pPr>
              <w:pStyle w:val="Compact"/>
              <w:jc w:val="left"/>
            </w:pPr>
            <w:r>
              <w:rPr>
                <w:rFonts w:ascii="Calibri" w:hAnsi="Calibri"/>
                <w:sz w:val="20"/>
              </w:rPr>
              <w:t xml:space="preserve">0,010</w:t>
            </w:r>
          </w:p>
        </w:tc>
      </w:tr>
      <w:tr>
        <w:tc>
          <w:tcPr/>
          <w:p>
            <w:pPr>
              <w:pStyle w:val="Compact"/>
              <w:jc w:val="left"/>
            </w:pPr>
            <w:r>
              <w:rPr>
                <w:rFonts w:ascii="Calibri" w:hAnsi="Calibri"/>
                <w:sz w:val="20"/>
              </w:rPr>
              <w:t xml:space="preserve">Binaria presidencial: Milei</w:t>
            </w:r>
          </w:p>
        </w:tc>
        <w:tc>
          <w:tcPr/>
          <w:p>
            <w:pPr>
              <w:pStyle w:val="Compact"/>
              <w:jc w:val="left"/>
            </w:pPr>
            <w:r>
              <w:rPr>
                <w:rFonts w:ascii="Calibri" w:hAnsi="Calibri"/>
                <w:sz w:val="20"/>
              </w:rPr>
              <w:t xml:space="preserve">-1,6205</w:t>
            </w:r>
          </w:p>
        </w:tc>
        <w:tc>
          <w:tcPr/>
          <w:p>
            <w:pPr>
              <w:pStyle w:val="Compact"/>
              <w:jc w:val="left"/>
            </w:pPr>
            <w:r>
              <w:rPr>
                <w:rFonts w:ascii="Calibri" w:hAnsi="Calibri"/>
                <w:sz w:val="20"/>
              </w:rPr>
              <w:t xml:space="preserve">2,0570</w:t>
            </w:r>
          </w:p>
        </w:tc>
        <w:tc>
          <w:tcPr/>
          <w:p>
            <w:pPr>
              <w:pStyle w:val="Compact"/>
              <w:jc w:val="left"/>
            </w:pPr>
            <w:r>
              <w:rPr>
                <w:rFonts w:ascii="Calibri" w:hAnsi="Calibri"/>
                <w:sz w:val="20"/>
              </w:rPr>
              <w:t xml:space="preserve">0,431</w:t>
            </w:r>
          </w:p>
        </w:tc>
      </w:tr>
      <w:tr>
        <w:tc>
          <w:tcPr/>
          <w:p>
            <w:pPr>
              <w:pStyle w:val="Compact"/>
              <w:jc w:val="left"/>
            </w:pPr>
            <w:r>
              <w:rPr>
                <w:rFonts w:ascii="Calibri" w:hAnsi="Calibri"/>
                <w:sz w:val="20"/>
              </w:rPr>
              <w:t xml:space="preserve">Deuda federal bruta, rezago 1 (reacción fiscal de impacto)</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0,0208</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Resultado primario, rezago 1</w:t>
            </w:r>
          </w:p>
        </w:tc>
        <w:tc>
          <w:tcPr/>
          <w:p>
            <w:pPr>
              <w:pStyle w:val="Compact"/>
              <w:jc w:val="left"/>
            </w:pPr>
            <w:r>
              <w:rPr>
                <w:rFonts w:ascii="Calibri" w:hAnsi="Calibri"/>
                <w:sz w:val="20"/>
              </w:rPr>
              <w:t xml:space="preserve">0,1634</w:t>
            </w:r>
          </w:p>
        </w:tc>
        <w:tc>
          <w:tcPr/>
          <w:p>
            <w:pPr>
              <w:pStyle w:val="Compact"/>
              <w:jc w:val="left"/>
            </w:pPr>
            <w:r>
              <w:rPr>
                <w:rFonts w:ascii="Calibri" w:hAnsi="Calibri"/>
                <w:sz w:val="20"/>
              </w:rPr>
              <w:t xml:space="preserve">0,1036</w:t>
            </w:r>
          </w:p>
        </w:tc>
        <w:tc>
          <w:tcPr/>
          <w:p>
            <w:pPr>
              <w:pStyle w:val="Compact"/>
              <w:jc w:val="left"/>
            </w:pPr>
            <w:r>
              <w:rPr>
                <w:rFonts w:ascii="Calibri" w:hAnsi="Calibri"/>
                <w:sz w:val="20"/>
              </w:rPr>
              <w:t xml:space="preserve">0,115</w:t>
            </w:r>
          </w:p>
        </w:tc>
      </w:tr>
      <w:tr>
        <w:tc>
          <w:tcPr/>
          <w:p>
            <w:pPr>
              <w:pStyle w:val="Compact"/>
              <w:jc w:val="left"/>
            </w:pPr>
            <w:r>
              <w:rPr>
                <w:rFonts w:ascii="Calibri" w:hAnsi="Calibri"/>
                <w:sz w:val="20"/>
              </w:rPr>
              <w:t xml:space="preserve">Crecimiento, rezago 1</w:t>
            </w:r>
          </w:p>
        </w:tc>
        <w:tc>
          <w:tcPr/>
          <w:p>
            <w:pPr>
              <w:pStyle w:val="Compact"/>
              <w:jc w:val="left"/>
            </w:pPr>
            <w:r>
              <w:rPr>
                <w:rFonts w:ascii="Calibri" w:hAnsi="Calibri"/>
                <w:sz w:val="20"/>
              </w:rPr>
              <w:t xml:space="preserve">0,0629</w:t>
            </w:r>
          </w:p>
        </w:tc>
        <w:tc>
          <w:tcPr/>
          <w:p>
            <w:pPr>
              <w:pStyle w:val="Compact"/>
              <w:jc w:val="left"/>
            </w:pPr>
            <w:r>
              <w:rPr>
                <w:rFonts w:ascii="Calibri" w:hAnsi="Calibri"/>
                <w:sz w:val="20"/>
              </w:rPr>
              <w:t xml:space="preserve">0,0588</w:t>
            </w:r>
          </w:p>
        </w:tc>
        <w:tc>
          <w:tcPr/>
          <w:p>
            <w:pPr>
              <w:pStyle w:val="Compact"/>
              <w:jc w:val="left"/>
            </w:pPr>
            <w:r>
              <w:rPr>
                <w:rFonts w:ascii="Calibri" w:hAnsi="Calibri"/>
                <w:sz w:val="20"/>
              </w:rPr>
              <w:t xml:space="preserve">0,285</w:t>
            </w:r>
          </w:p>
        </w:tc>
      </w:tr>
      <w:tr>
        <w:tc>
          <w:tcPr/>
          <w:p>
            <w:pPr>
              <w:pStyle w:val="Compact"/>
              <w:jc w:val="left"/>
            </w:pPr>
            <w:r>
              <w:rPr>
                <w:rFonts w:ascii="Calibri" w:hAnsi="Calibri"/>
                <w:sz w:val="20"/>
              </w:rPr>
              <w:t xml:space="preserve">EMBI, rezago 1</w:t>
            </w:r>
          </w:p>
        </w:tc>
        <w:tc>
          <w:tcPr/>
          <w:p>
            <w:pPr>
              <w:pStyle w:val="Compact"/>
              <w:jc w:val="left"/>
            </w:pPr>
            <w:r>
              <w:rPr>
                <w:rFonts w:ascii="Calibri" w:hAnsi="Calibri"/>
                <w:sz w:val="20"/>
              </w:rPr>
              <w:t xml:space="preserve">-0,0005</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0,161</w:t>
            </w:r>
          </w:p>
        </w:tc>
      </w:tr>
      <w:tr>
        <w:tc>
          <w:tcPr/>
          <w:p>
            <w:pPr>
              <w:pStyle w:val="Compact"/>
              <w:jc w:val="left"/>
            </w:pPr>
            <w:r>
              <w:rPr>
                <w:rFonts w:ascii="Calibri" w:hAnsi="Calibri"/>
                <w:sz w:val="20"/>
              </w:rPr>
              <w:t xml:space="preserve">TCRM, rezago 1</w:t>
            </w:r>
          </w:p>
        </w:tc>
        <w:tc>
          <w:tcPr/>
          <w:p>
            <w:pPr>
              <w:pStyle w:val="Compact"/>
              <w:jc w:val="left"/>
            </w:pPr>
            <w:r>
              <w:rPr>
                <w:rFonts w:ascii="Calibri" w:hAnsi="Calibri"/>
                <w:sz w:val="20"/>
              </w:rPr>
              <w:t xml:space="preserve">1,7254</w:t>
            </w:r>
          </w:p>
        </w:tc>
        <w:tc>
          <w:tcPr/>
          <w:p>
            <w:pPr>
              <w:pStyle w:val="Compact"/>
              <w:jc w:val="left"/>
            </w:pPr>
            <w:r>
              <w:rPr>
                <w:rFonts w:ascii="Calibri" w:hAnsi="Calibri"/>
                <w:sz w:val="20"/>
              </w:rPr>
              <w:t xml:space="preserve">1,4642</w:t>
            </w:r>
          </w:p>
        </w:tc>
        <w:tc>
          <w:tcPr/>
          <w:p>
            <w:pPr>
              <w:pStyle w:val="Compact"/>
              <w:jc w:val="left"/>
            </w:pPr>
            <w:r>
              <w:rPr>
                <w:rFonts w:ascii="Calibri" w:hAnsi="Calibri"/>
                <w:sz w:val="20"/>
              </w:rPr>
              <w:t xml:space="preserve">0,239</w:t>
            </w:r>
          </w:p>
        </w:tc>
      </w:tr>
      <w:tr>
        <w:tc>
          <w:tcPr/>
          <w:p>
            <w:pPr>
              <w:pStyle w:val="Compact"/>
              <w:jc w:val="left"/>
            </w:pPr>
            <w:r>
              <w:rPr>
                <w:rFonts w:ascii="Calibri" w:hAnsi="Calibri"/>
                <w:sz w:val="20"/>
              </w:rPr>
              <w:t xml:space="preserve">Resultado primario, rezago 2</w:t>
            </w:r>
          </w:p>
        </w:tc>
        <w:tc>
          <w:tcPr/>
          <w:p>
            <w:pPr>
              <w:pStyle w:val="Compact"/>
              <w:jc w:val="left"/>
            </w:pPr>
            <w:r>
              <w:rPr>
                <w:rFonts w:ascii="Calibri" w:hAnsi="Calibri"/>
                <w:sz w:val="20"/>
              </w:rPr>
              <w:t xml:space="preserve">0,2493</w:t>
            </w:r>
          </w:p>
        </w:tc>
        <w:tc>
          <w:tcPr/>
          <w:p>
            <w:pPr>
              <w:pStyle w:val="Compact"/>
              <w:jc w:val="left"/>
            </w:pPr>
            <w:r>
              <w:rPr>
                <w:rFonts w:ascii="Calibri" w:hAnsi="Calibri"/>
                <w:sz w:val="20"/>
              </w:rPr>
              <w:t xml:space="preserve">0,1113</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Crecimiento, rezago 2</w:t>
            </w:r>
          </w:p>
        </w:tc>
        <w:tc>
          <w:tcPr/>
          <w:p>
            <w:pPr>
              <w:pStyle w:val="Compact"/>
              <w:jc w:val="left"/>
            </w:pPr>
            <w:r>
              <w:rPr>
                <w:rFonts w:ascii="Calibri" w:hAnsi="Calibri"/>
                <w:sz w:val="20"/>
              </w:rPr>
              <w:t xml:space="preserve">0,1330</w:t>
            </w:r>
          </w:p>
        </w:tc>
        <w:tc>
          <w:tcPr/>
          <w:p>
            <w:pPr>
              <w:pStyle w:val="Compact"/>
              <w:jc w:val="left"/>
            </w:pPr>
            <w:r>
              <w:rPr>
                <w:rFonts w:ascii="Calibri" w:hAnsi="Calibri"/>
                <w:sz w:val="20"/>
              </w:rPr>
              <w:t xml:space="preserve">0,0544</w:t>
            </w:r>
          </w:p>
        </w:tc>
        <w:tc>
          <w:tcPr/>
          <w:p>
            <w:pPr>
              <w:pStyle w:val="Compact"/>
              <w:jc w:val="left"/>
            </w:pPr>
            <w:r>
              <w:rPr>
                <w:rFonts w:ascii="Calibri" w:hAnsi="Calibri"/>
                <w:sz w:val="20"/>
              </w:rPr>
              <w:t xml:space="preserve">0,015</w:t>
            </w:r>
          </w:p>
        </w:tc>
      </w:tr>
      <w:tr>
        <w:tc>
          <w:tcPr/>
          <w:p>
            <w:pPr>
              <w:pStyle w:val="Compact"/>
              <w:jc w:val="left"/>
            </w:pPr>
            <w:r>
              <w:rPr>
                <w:rFonts w:ascii="Calibri" w:hAnsi="Calibri"/>
                <w:sz w:val="20"/>
              </w:rPr>
              <w:t xml:space="preserve">EMBI, rezago 2</w:t>
            </w:r>
          </w:p>
        </w:tc>
        <w:tc>
          <w:tcPr/>
          <w:p>
            <w:pPr>
              <w:pStyle w:val="Compact"/>
              <w:jc w:val="left"/>
            </w:pPr>
            <w:r>
              <w:rPr>
                <w:rFonts w:ascii="Calibri" w:hAnsi="Calibri"/>
                <w:sz w:val="20"/>
              </w:rPr>
              <w:t xml:space="preserve">-0,0001</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0,840</w:t>
            </w:r>
          </w:p>
        </w:tc>
      </w:tr>
      <w:tr>
        <w:tc>
          <w:tcPr/>
          <w:p>
            <w:pPr>
              <w:pStyle w:val="Compact"/>
              <w:jc w:val="left"/>
            </w:pPr>
            <w:r>
              <w:rPr>
                <w:rFonts w:ascii="Calibri" w:hAnsi="Calibri"/>
                <w:sz w:val="20"/>
              </w:rPr>
              <w:t xml:space="preserve">TCRM, rezago 2</w:t>
            </w:r>
          </w:p>
        </w:tc>
        <w:tc>
          <w:tcPr/>
          <w:p>
            <w:pPr>
              <w:pStyle w:val="Compact"/>
              <w:jc w:val="left"/>
            </w:pPr>
            <w:r>
              <w:rPr>
                <w:rFonts w:ascii="Calibri" w:hAnsi="Calibri"/>
                <w:sz w:val="20"/>
              </w:rPr>
              <w:t xml:space="preserve">-0,4177</w:t>
            </w:r>
          </w:p>
        </w:tc>
        <w:tc>
          <w:tcPr/>
          <w:p>
            <w:pPr>
              <w:pStyle w:val="Compact"/>
              <w:jc w:val="left"/>
            </w:pPr>
            <w:r>
              <w:rPr>
                <w:rFonts w:ascii="Calibri" w:hAnsi="Calibri"/>
                <w:sz w:val="20"/>
              </w:rPr>
              <w:t xml:space="preserve">1,4189</w:t>
            </w:r>
          </w:p>
        </w:tc>
        <w:tc>
          <w:tcPr/>
          <w:p>
            <w:pPr>
              <w:pStyle w:val="Compact"/>
              <w:jc w:val="left"/>
            </w:pPr>
            <w:r>
              <w:rPr>
                <w:rFonts w:ascii="Calibri" w:hAnsi="Calibri"/>
                <w:sz w:val="20"/>
              </w:rPr>
              <w:t xml:space="preserve">0,768</w:t>
            </w:r>
          </w:p>
        </w:tc>
      </w:tr>
    </w:tbl>
    <w:bookmarkEnd w:id="135"/>
    <w:bookmarkStart w:id="136" w:name="X0c3ee012894d3280e6e3a1c5cd47942b17bdf00"/>
    <w:p>
      <w:pPr>
        <w:pStyle w:val="Heading2"/>
      </w:pPr>
      <w:r>
        <w:t xml:space="preserve">A.9 Resultados completos de la especificación principal</w:t>
      </w:r>
    </w:p>
    <w:p>
      <w:pPr>
        <w:pStyle w:val="FirstParagraph"/>
      </w:pPr>
      <w:r>
        <w:t xml:space="preserve">Estimación central con los parámetros de MCO y 20.000 trayectorias (error de Monte Carlo de 0,3 puntos en la probabilidad de 2031); intervalos de Hall con 1.000 réplicas de parámetros y 1.000 trayectorias cada una. Autovalor máximo del VAR: 0,776.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Estimación central</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r>
      <w:tr>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r>
      <w:tr>
        <w:tc>
          <w:tcPr/>
          <w:p>
            <w:pPr>
              <w:pStyle w:val="Compact"/>
              <w:jc w:val="left"/>
            </w:pPr>
            <w:r>
              <w:rPr>
                <w:rFonts w:ascii="Calibri" w:hAnsi="Calibri"/>
                <w:sz w:val="20"/>
              </w:rPr>
              <w:t xml:space="preserve">No estabilización 2031, métrica anual con el resultado primario simulado (%)</w:t>
            </w:r>
          </w:p>
        </w:tc>
        <w:tc>
          <w:tcPr/>
          <w:p>
            <w:pPr>
              <w:pStyle w:val="Compact"/>
              <w:jc w:val="left"/>
            </w:pPr>
            <w:r>
              <w:rPr>
                <w:rFonts w:ascii="Calibri" w:hAnsi="Calibri"/>
                <w:sz w:val="20"/>
              </w:rPr>
              <w:t xml:space="preserve">29,7</w:t>
            </w:r>
          </w:p>
        </w:tc>
        <w:tc>
          <w:tcPr/>
          <w:p>
            <w:pPr>
              <w:pStyle w:val="Compact"/>
              <w:jc w:val="left"/>
            </w:pPr>
            <w:r>
              <w:rPr>
                <w:rFonts w:ascii="Calibri" w:hAnsi="Calibri"/>
                <w:sz w:val="20"/>
              </w:rPr>
              <w:t xml:space="preserve">[23,5; 37,3]</w:t>
            </w:r>
          </w:p>
        </w:tc>
      </w:tr>
      <w:tr>
        <w:tc>
          <w:tcPr/>
          <w:p>
            <w:pPr>
              <w:pStyle w:val="Compact"/>
              <w:jc w:val="left"/>
            </w:pPr>
            <w:r>
              <w:rPr>
                <w:rFonts w:ascii="Calibri" w:hAnsi="Calibri"/>
                <w:sz w:val="20"/>
              </w:rPr>
              <w:t xml:space="preserve">Probabilidad de que la deuda de 2031 supere a la de 2029 (%)</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[17,3; 26,7]</w:t>
            </w:r>
          </w:p>
        </w:tc>
      </w:tr>
      <w:tr>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r>
      <w:tr>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r>
      <w:tr>
        <w:tc>
          <w:tcPr/>
          <w:p>
            <w:pPr>
              <w:pStyle w:val="Compact"/>
              <w:jc w:val="left"/>
            </w:pPr>
            <w:r>
              <w:rPr>
                <w:rFonts w:ascii="Calibri" w:hAnsi="Calibri"/>
                <w:sz w:val="20"/>
              </w:rPr>
              <w:t xml:space="preserve">No estabilización 2031, definición operativa del FMI, resultado primario simulado (%)</w:t>
            </w:r>
          </w:p>
        </w:tc>
        <w:tc>
          <w:tcPr/>
          <w:p>
            <w:pPr>
              <w:pStyle w:val="Compact"/>
              <w:jc w:val="left"/>
            </w:pPr>
            <w:r>
              <w:rPr>
                <w:rFonts w:ascii="Calibri" w:hAnsi="Calibri"/>
                <w:sz w:val="20"/>
              </w:rPr>
              <w:t xml:space="preserve">4,8</w:t>
            </w:r>
          </w:p>
        </w:tc>
        <w:tc>
          <w:tcPr/>
          <w:p>
            <w:pPr>
              <w:pStyle w:val="Compact"/>
              <w:jc w:val="left"/>
            </w:pPr>
            <w:r>
              <w:rPr>
                <w:rFonts w:ascii="Calibri" w:hAnsi="Calibri"/>
                <w:sz w:val="20"/>
              </w:rPr>
              <w:t xml:space="preserve">[0,0; 9,4]</w:t>
            </w:r>
          </w:p>
        </w:tc>
      </w:tr>
      <w:tr>
        <w:tc>
          <w:tcPr/>
          <w:p>
            <w:pPr>
              <w:pStyle w:val="Compact"/>
              <w:jc w:val="left"/>
            </w:pPr>
            <w:r>
              <w:rPr>
                <w:rFonts w:ascii="Calibri" w:hAnsi="Calibri"/>
                <w:sz w:val="20"/>
              </w:rPr>
              <w:t xml:space="preserve">No estabilización 2031, lectura literal del recuadro 3 del FMI (%)</w:t>
            </w:r>
          </w:p>
        </w:tc>
        <w:tc>
          <w:tcPr/>
          <w:p>
            <w:pPr>
              <w:pStyle w:val="Compact"/>
              <w:jc w:val="left"/>
            </w:pPr>
            <w:r>
              <w:rPr>
                <w:rFonts w:ascii="Calibri" w:hAnsi="Calibri"/>
                <w:sz w:val="20"/>
              </w:rPr>
              <w:t xml:space="preserve">0,0</w:t>
            </w:r>
          </w:p>
        </w:tc>
        <w:tc>
          <w:tcPr/>
          <w:p>
            <w:pPr>
              <w:pStyle w:val="Compact"/>
              <w:jc w:val="left"/>
            </w:pPr>
            <w:r>
              <w:rPr>
                <w:rFonts w:ascii="Calibri" w:hAnsi="Calibri"/>
                <w:sz w:val="20"/>
              </w:rPr>
              <w:t xml:space="preserve">[0,0; 0,0]</w:t>
            </w:r>
          </w:p>
        </w:tc>
      </w:tr>
      <w:tr>
        <w:tc>
          <w:tcPr/>
          <w:p>
            <w:pPr>
              <w:pStyle w:val="Compact"/>
              <w:jc w:val="left"/>
            </w:pPr>
            <w:r>
              <w:rPr>
                <w:rFonts w:ascii="Calibri" w:hAnsi="Calibri"/>
                <w:sz w:val="20"/>
              </w:rPr>
              <w:t xml:space="preserve">No estabilización 2035, lectura literal del recuadro 3 del FMI (%)</w:t>
            </w:r>
          </w:p>
        </w:tc>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[0,0; 1,8]</w:t>
            </w:r>
          </w:p>
        </w:tc>
      </w:tr>
      <w:tr>
        <w:tc>
          <w:tcPr/>
          <w:p>
            <w:pPr>
              <w:pStyle w:val="Compact"/>
              <w:jc w:val="left"/>
            </w:pPr>
            <w:r>
              <w:rPr>
                <w:rFonts w:ascii="Calibri" w:hAnsi="Calibri"/>
                <w:sz w:val="20"/>
              </w:rPr>
              <w:t xml:space="preserve">Deuda mediana 2031 (% del PIB)</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[51,8; 55,2]</w:t>
            </w:r>
          </w:p>
        </w:tc>
      </w:tr>
      <w:tr>
        <w:tc>
          <w:tcPr/>
          <w:p>
            <w:pPr>
              <w:pStyle w:val="Compact"/>
              <w:jc w:val="left"/>
            </w:pPr>
            <w:r>
              <w:rPr>
                <w:rFonts w:ascii="Calibri" w:hAnsi="Calibri"/>
                <w:sz w:val="20"/>
              </w:rPr>
              <w:t xml:space="preserve">Deuda media 2035 (% del PIB)</w:t>
            </w:r>
          </w:p>
        </w:tc>
        <w:tc>
          <w:tcPr/>
          <w:p>
            <w:pPr>
              <w:pStyle w:val="Compact"/>
              <w:jc w:val="left"/>
            </w:pPr>
            <w:r>
              <w:rPr>
                <w:rFonts w:ascii="Calibri" w:hAnsi="Calibri"/>
                <w:sz w:val="20"/>
              </w:rPr>
              <w:t xml:space="preserve">45,0</w:t>
            </w:r>
          </w:p>
        </w:tc>
        <w:tc>
          <w:tcPr/>
          <w:p>
            <w:pPr>
              <w:pStyle w:val="Compact"/>
              <w:jc w:val="left"/>
            </w:pPr>
            <w:r>
              <w:rPr>
                <w:rFonts w:ascii="Calibri" w:hAnsi="Calibri"/>
                <w:sz w:val="20"/>
              </w:rPr>
              <w:t xml:space="preserve">[40,7; 51,0]</w:t>
            </w:r>
          </w:p>
        </w:tc>
      </w:tr>
      <w:tr>
        <w:tc>
          <w:tcPr/>
          <w:p>
            <w:pPr>
              <w:pStyle w:val="Compact"/>
              <w:jc w:val="left"/>
            </w:pPr>
            <w:r>
              <w:rPr>
                <w:rFonts w:ascii="Calibri" w:hAnsi="Calibri"/>
                <w:sz w:val="20"/>
              </w:rPr>
              <w:t xml:space="preserve">Ancho del abanico 2031 (p5-p95)</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[32,4; 54,5]</w:t>
            </w:r>
          </w:p>
        </w:tc>
      </w:tr>
      <w:tr>
        <w:tc>
          <w:tcPr/>
          <w:p>
            <w:pPr>
              <w:pStyle w:val="Compact"/>
              <w:jc w:val="left"/>
            </w:pPr>
            <w:r>
              <w:rPr>
                <w:rFonts w:ascii="Calibri" w:hAnsi="Calibri"/>
                <w:sz w:val="20"/>
              </w:rPr>
              <w:t xml:space="preserve">Varianza 2035: fiscal (%)</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Varianza 2035: actividad (%)</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Varianza 2035: cambiario y de riesgo (%)</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Varianza 2035: externo, FED y VIX (%)</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Varianza 2035: solo VIX, mismo denominador (%)</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Varianza 2035: solo tasa de la FED (%)</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Varianza 2035: tasa de la FED, solo efecto directo en la identidad (%)</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Varianza 2035: tasa de la FED, efecto indirecto (diferencia) (%)</w:t>
            </w:r>
          </w:p>
        </w:tc>
        <w:tc>
          <w:tcPr/>
          <w:p>
            <w:pPr>
              <w:pStyle w:val="Compact"/>
              <w:jc w:val="left"/>
            </w:pPr>
            <w:r>
              <w:rPr>
                <w:rFonts w:ascii="Calibri" w:hAnsi="Calibri"/>
                <w:sz w:val="20"/>
              </w:rPr>
              <w:t xml:space="preserve">5,7</w:t>
            </w:r>
          </w:p>
        </w:tc>
        <w:tc>
          <w:tcPr/>
          <w:p>
            <w:pPr>
              <w:pStyle w:val="Compact"/>
              <w:jc w:val="left"/>
            </w:pPr>
            <w:r>
              <w:rPr>
                <w:rFonts w:ascii="Calibri" w:hAnsi="Calibri"/>
                <w:sz w:val="20"/>
              </w:rPr>
              <w:t xml:space="preserve">[-6,9; 36,6]</w:t>
            </w:r>
          </w:p>
        </w:tc>
      </w:tr>
      <w:tr>
        <w:tc>
          <w:tcPr/>
          <w:p>
            <w:pPr>
              <w:pStyle w:val="Compact"/>
              <w:jc w:val="left"/>
            </w:pPr>
            <w:r>
              <w:rPr>
                <w:rFonts w:ascii="Calibri" w:hAnsi="Calibri"/>
                <w:sz w:val="20"/>
              </w:rPr>
              <w:t xml:space="preserve">Varianza total de la deuda 2035 (puntos del PIB al cuadrado)</w:t>
            </w:r>
          </w:p>
        </w:tc>
        <w:tc>
          <w:tcPr/>
          <w:p>
            <w:pPr>
              <w:pStyle w:val="Compact"/>
              <w:jc w:val="left"/>
            </w:pPr>
            <w:r>
              <w:rPr>
                <w:rFonts w:ascii="Calibri" w:hAnsi="Calibri"/>
                <w:sz w:val="20"/>
              </w:rPr>
              <w:t xml:space="preserve">441,0</w:t>
            </w:r>
          </w:p>
        </w:tc>
        <w:tc>
          <w:tcPr/>
          <w:p>
            <w:pPr>
              <w:pStyle w:val="Compact"/>
              <w:jc w:val="left"/>
            </w:pPr>
            <w:r>
              <w:rPr>
                <w:rFonts w:ascii="Calibri" w:hAnsi="Calibri"/>
                <w:sz w:val="20"/>
              </w:rPr>
              <w:t xml:space="preserve">[112,2; 1.149,7]</w:t>
            </w:r>
          </w:p>
        </w:tc>
      </w:tr>
      <w:tr>
        <w:tc>
          <w:tcPr/>
          <w:p>
            <w:pPr>
              <w:pStyle w:val="Compact"/>
              <w:jc w:val="left"/>
            </w:pPr>
            <w:r>
              <w:rPr>
                <w:rFonts w:ascii="Calibri" w:hAnsi="Calibri"/>
                <w:sz w:val="20"/>
              </w:rPr>
              <w:t xml:space="preserve">Suma de las varianzas de los cuatro bloques</w:t>
            </w:r>
          </w:p>
        </w:tc>
        <w:tc>
          <w:tcPr/>
          <w:p>
            <w:pPr>
              <w:pStyle w:val="Compact"/>
              <w:jc w:val="left"/>
            </w:pPr>
            <w:r>
              <w:rPr>
                <w:rFonts w:ascii="Calibri" w:hAnsi="Calibri"/>
                <w:sz w:val="20"/>
              </w:rPr>
              <w:t xml:space="preserve">606,1</w:t>
            </w:r>
          </w:p>
        </w:tc>
        <w:tc>
          <w:tcPr/>
          <w:p>
            <w:pPr>
              <w:pStyle w:val="Compact"/>
              <w:jc w:val="left"/>
            </w:pPr>
            <w:r>
              <w:rPr>
                <w:rFonts w:ascii="Calibri" w:hAnsi="Calibri"/>
                <w:sz w:val="20"/>
              </w:rPr>
              <w:t xml:space="preserve">[125,4; 1.709,0]</w:t>
            </w:r>
          </w:p>
        </w:tc>
      </w:tr>
      <w:tr>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96,8</w:t>
            </w:r>
          </w:p>
        </w:tc>
        <w:tc>
          <w:tcPr/>
          <w:p>
            <w:pPr>
              <w:pStyle w:val="Compact"/>
              <w:jc w:val="left"/>
            </w:pPr>
            <w:r>
              <w:rPr>
                <w:rFonts w:ascii="Calibri" w:hAnsi="Calibri"/>
                <w:sz w:val="20"/>
              </w:rPr>
              <w:t xml:space="preserve">[90,8; 99,8]</w:t>
            </w:r>
          </w:p>
        </w:tc>
      </w:tr>
      <w:tr>
        <w:tc>
          <w:tcPr/>
          <w:p>
            <w:pPr>
              <w:pStyle w:val="Compact"/>
              <w:jc w:val="left"/>
            </w:pPr>
            <w:r>
              <w:rPr>
                <w:rFonts w:ascii="Calibri" w:hAnsi="Calibri"/>
                <w:sz w:val="20"/>
              </w:rPr>
              <w:t xml:space="preserve">FED, nivel 0,50 pp más alto: diferencia en la probabilidad 2035 (pp)</w:t>
            </w:r>
          </w:p>
        </w:tc>
        <w:tc>
          <w:tcPr/>
          <w:p>
            <w:pPr>
              <w:pStyle w:val="Compact"/>
              <w:jc w:val="left"/>
            </w:pPr>
            <w:r>
              <w:rPr>
                <w:rFonts w:ascii="Calibri" w:hAnsi="Calibri"/>
                <w:sz w:val="20"/>
              </w:rPr>
              <w:t xml:space="preserve">1,9</w:t>
            </w:r>
          </w:p>
        </w:tc>
        <w:tc>
          <w:tcPr/>
          <w:p>
            <w:pPr>
              <w:pStyle w:val="Compact"/>
              <w:jc w:val="left"/>
            </w:pPr>
            <w:r>
              <w:rPr>
                <w:rFonts w:ascii="Calibri" w:hAnsi="Calibri"/>
                <w:sz w:val="20"/>
              </w:rPr>
              <w:t xml:space="preserve">[0,3; 3,2]</w:t>
            </w:r>
          </w:p>
        </w:tc>
      </w:tr>
      <w:tr>
        <w:tc>
          <w:tcPr/>
          <w:p>
            <w:pPr>
              <w:pStyle w:val="Compact"/>
              <w:jc w:val="left"/>
            </w:pPr>
            <w:r>
              <w:rPr>
                <w:rFonts w:ascii="Calibri" w:hAnsi="Calibri"/>
                <w:sz w:val="20"/>
              </w:rPr>
              <w:t xml:space="preserve">FED, nivel 0,50 pp más alto: diferencia en la deuda media 2035 (pp del PIB)</w:t>
            </w:r>
          </w:p>
        </w:tc>
        <w:tc>
          <w:tcPr/>
          <w:p>
            <w:pPr>
              <w:pStyle w:val="Compact"/>
              <w:jc w:val="left"/>
            </w:pPr>
            <w:r>
              <w:rPr>
                <w:rFonts w:ascii="Calibri" w:hAnsi="Calibri"/>
                <w:sz w:val="20"/>
              </w:rPr>
              <w:t xml:space="preserve">2,0</w:t>
            </w:r>
          </w:p>
        </w:tc>
        <w:tc>
          <w:tcPr/>
          <w:p>
            <w:pPr>
              <w:pStyle w:val="Compact"/>
              <w:jc w:val="left"/>
            </w:pPr>
            <w:r>
              <w:rPr>
                <w:rFonts w:ascii="Calibri" w:hAnsi="Calibri"/>
                <w:sz w:val="20"/>
              </w:rPr>
              <w:t xml:space="preserve">[0,4; 3,2]</w:t>
            </w:r>
          </w:p>
        </w:tc>
      </w:tr>
      <w:tr>
        <w:tc>
          <w:tcPr/>
          <w:p>
            <w:pPr>
              <w:pStyle w:val="Compact"/>
              <w:jc w:val="left"/>
            </w:pPr>
            <w:r>
              <w:rPr>
                <w:rFonts w:ascii="Calibri" w:hAnsi="Calibri"/>
                <w:sz w:val="20"/>
              </w:rPr>
              <w:t xml:space="preserve">FED, senda 2022-2025: diferencia en la probabilidad 2031 (pp)</w:t>
            </w:r>
          </w:p>
        </w:tc>
        <w:tc>
          <w:tcPr/>
          <w:p>
            <w:pPr>
              <w:pStyle w:val="Compact"/>
              <w:jc w:val="left"/>
            </w:pPr>
            <w:r>
              <w:rPr>
                <w:rFonts w:ascii="Calibri" w:hAnsi="Calibri"/>
                <w:sz w:val="20"/>
              </w:rPr>
              <w:t xml:space="preserve">6,7</w:t>
            </w:r>
          </w:p>
        </w:tc>
        <w:tc>
          <w:tcPr/>
          <w:p>
            <w:pPr>
              <w:pStyle w:val="Compact"/>
              <w:jc w:val="left"/>
            </w:pPr>
            <w:r>
              <w:rPr>
                <w:rFonts w:ascii="Calibri" w:hAnsi="Calibri"/>
                <w:sz w:val="20"/>
              </w:rPr>
              <w:t xml:space="preserve">[0,6; 12,8]</w:t>
            </w:r>
          </w:p>
        </w:tc>
      </w:tr>
      <w:tr>
        <w:tc>
          <w:tcPr/>
          <w:p>
            <w:pPr>
              <w:pStyle w:val="Compact"/>
              <w:jc w:val="left"/>
            </w:pPr>
            <w:r>
              <w:rPr>
                <w:rFonts w:ascii="Calibri" w:hAnsi="Calibri"/>
                <w:sz w:val="20"/>
              </w:rPr>
              <w:t xml:space="preserve">FED, senda 2022-2025: diferencia en la probabilidad 2035 (pp)</w:t>
            </w:r>
          </w:p>
        </w:tc>
        <w:tc>
          <w:tcPr/>
          <w:p>
            <w:pPr>
              <w:pStyle w:val="Compact"/>
              <w:jc w:val="left"/>
            </w:pPr>
            <w:r>
              <w:rPr>
                <w:rFonts w:ascii="Calibri" w:hAnsi="Calibri"/>
                <w:sz w:val="20"/>
              </w:rPr>
              <w:t xml:space="preserve">18,4</w:t>
            </w:r>
          </w:p>
        </w:tc>
        <w:tc>
          <w:tcPr/>
          <w:p>
            <w:pPr>
              <w:pStyle w:val="Compact"/>
              <w:jc w:val="left"/>
            </w:pPr>
            <w:r>
              <w:rPr>
                <w:rFonts w:ascii="Calibri" w:hAnsi="Calibri"/>
                <w:sz w:val="20"/>
              </w:rPr>
              <w:t xml:space="preserve">[6,3; 29,1]</w:t>
            </w:r>
          </w:p>
        </w:tc>
      </w:tr>
      <w:tr>
        <w:tc>
          <w:tcPr/>
          <w:p>
            <w:pPr>
              <w:pStyle w:val="Compact"/>
              <w:jc w:val="left"/>
            </w:pPr>
            <w:r>
              <w:rPr>
                <w:rFonts w:ascii="Calibri" w:hAnsi="Calibri"/>
                <w:sz w:val="20"/>
              </w:rPr>
              <w:t xml:space="preserve">FED, senda 2022-2025: diferencia en la deuda media 2035 (pp del PIB)</w:t>
            </w:r>
          </w:p>
        </w:tc>
        <w:tc>
          <w:tcPr/>
          <w:p>
            <w:pPr>
              <w:pStyle w:val="Compact"/>
              <w:jc w:val="left"/>
            </w:pPr>
            <w:r>
              <w:rPr>
                <w:rFonts w:ascii="Calibri" w:hAnsi="Calibri"/>
                <w:sz w:val="20"/>
              </w:rPr>
              <w:t xml:space="preserve">19,3</w:t>
            </w:r>
          </w:p>
        </w:tc>
        <w:tc>
          <w:tcPr/>
          <w:p>
            <w:pPr>
              <w:pStyle w:val="Compact"/>
              <w:jc w:val="left"/>
            </w:pPr>
            <w:r>
              <w:rPr>
                <w:rFonts w:ascii="Calibri" w:hAnsi="Calibri"/>
                <w:sz w:val="20"/>
              </w:rPr>
              <w:t xml:space="preserve">[-0,3; 31,3]</w:t>
            </w:r>
          </w:p>
        </w:tc>
      </w:tr>
      <w:tr>
        <w:tc>
          <w:tcPr/>
          <w:p>
            <w:pPr>
              <w:pStyle w:val="Compact"/>
              <w:jc w:val="left"/>
            </w:pPr>
            <w:r>
              <w:rPr>
                <w:rFonts w:ascii="Calibri" w:hAnsi="Calibri"/>
                <w:sz w:val="20"/>
              </w:rPr>
              <w:t xml:space="preserve">FED, senda 2022-2025: diferencia en la probabilidad 2035, definición operativa del FMI (pp)</w:t>
            </w:r>
          </w:p>
        </w:tc>
        <w:tc>
          <w:tcPr/>
          <w:p>
            <w:pPr>
              <w:pStyle w:val="Compact"/>
              <w:jc w:val="left"/>
            </w:pPr>
            <w:r>
              <w:rPr>
                <w:rFonts w:ascii="Calibri" w:hAnsi="Calibri"/>
                <w:sz w:val="20"/>
              </w:rPr>
              <w:t xml:space="preserve">17,1</w:t>
            </w:r>
          </w:p>
        </w:tc>
        <w:tc>
          <w:tcPr/>
          <w:p>
            <w:pPr>
              <w:pStyle w:val="Compact"/>
              <w:jc w:val="left"/>
            </w:pPr>
            <w:r>
              <w:rPr>
                <w:rFonts w:ascii="Calibri" w:hAnsi="Calibri"/>
                <w:sz w:val="20"/>
              </w:rPr>
              <w:t xml:space="preserve">[0,6; 32,6]</w:t>
            </w:r>
          </w:p>
        </w:tc>
      </w:tr>
    </w:tbl>
    <w:bookmarkEnd w:id="136"/>
    <w:bookmarkStart w:id="137" w:name="a.10-robustez-completa"/>
    <w:p>
      <w:pPr>
        <w:pStyle w:val="Heading2"/>
      </w:pPr>
      <w:r>
        <w:t xml:space="preserve">A.10 Robustez completa</w:t>
      </w:r>
    </w:p>
    <w:p>
      <w:pPr>
        <w:pStyle w:val="FirstParagraph"/>
      </w:pPr>
      <w:r>
        <w:t xml:space="preserve">Entre corchetes, intervalos de 90%: de Hall, salvo las participaciones y varianzas y la diferencia entre</w:t>
      </w:r>
      <w:r>
        <w:t xml:space="preserve"> </w:t>
      </w:r>
      <w:r>
        <w:rPr>
          <w:iCs/>
          <w:i/>
        </w:rPr>
        <w:t xml:space="preserve">shocks</w:t>
      </w:r>
      <w:r>
        <w:t xml:space="preserve"> </w:t>
      </w:r>
      <w:r>
        <w:t xml:space="preserve">no fiscales y fiscal, que usan percentiles simples de las réplicas. Las columnas de la definición operativa del FMI usan la reconstrucción de la sección 4.6: los impulsores del escenario en el año final más el</w:t>
      </w:r>
      <w:r>
        <w:t xml:space="preserve"> </w:t>
      </w:r>
      <w:r>
        <w:rPr>
          <w:iCs/>
          <w:i/>
        </w:rPr>
        <w:t xml:space="preserve">shock</w:t>
      </w:r>
      <w:r>
        <w:t xml:space="preserve"> </w:t>
      </w:r>
      <w:r>
        <w:t xml:space="preserve">promedio de cada trayectoria, sin variación del tipo de cambio real ni ajuste</w:t>
      </w:r>
      <w:r>
        <w:t xml:space="preserve"> </w:t>
      </w:r>
      <w:r>
        <w:rPr>
          <w:iCs/>
          <w:i/>
        </w:rPr>
        <w:t xml:space="preserve">stock</w:t>
      </w:r>
      <w:r>
        <w:t xml:space="preserve">-flujo (FMI, 2022, recuadro 3). La columna de la deuda de la senda de la FED se muestra con dos decimales para distinguir los intervalos que tocan el cero. «No se informa»: más de 1% de las réplicas (10% en la columna del reparto de la varianza) tiene trayectorias explosivas que dominan la media de la deuda.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Ancho 2031</w:t>
            </w:r>
          </w:p>
        </w:tc>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Senda de la FED: deuda 2035 (pp)</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19,29 [-0,31; 31,34]</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17,3 [7,4; 32,3]</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5,5 [0,0; 10,9]</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21,30 [3,55; 34,67]</w:t>
            </w:r>
          </w:p>
        </w:tc>
      </w:tr>
      <w:tr>
        <w:tc>
          <w:tcPr/>
          <w:p>
            <w:pPr>
              <w:pStyle w:val="Compact"/>
              <w:jc w:val="left"/>
            </w:pPr>
            <w:r>
              <w:rPr>
                <w:rFonts w:ascii="Calibri" w:hAnsi="Calibri"/>
                <w:sz w:val="20"/>
              </w:rPr>
              <w:t xml:space="preserve">Canal de tasas en pesos</w:t>
            </w:r>
          </w:p>
        </w:tc>
        <w:tc>
          <w:tcPr/>
          <w:p>
            <w:pPr>
              <w:pStyle w:val="Compact"/>
              <w:jc w:val="left"/>
            </w:pPr>
            <w:r>
              <w:rPr>
                <w:rFonts w:ascii="Calibri" w:hAnsi="Calibri"/>
                <w:sz w:val="20"/>
              </w:rPr>
              <w:t xml:space="preserve">29,5 [24,3; 36,5]</w:t>
            </w:r>
          </w:p>
        </w:tc>
        <w:tc>
          <w:tcPr/>
          <w:p>
            <w:pPr>
              <w:pStyle w:val="Compact"/>
              <w:jc w:val="left"/>
            </w:pPr>
            <w:r>
              <w:rPr>
                <w:rFonts w:ascii="Calibri" w:hAnsi="Calibri"/>
                <w:sz w:val="20"/>
              </w:rPr>
              <w:t xml:space="preserve">34,9 [31,6; 44,1]</w:t>
            </w:r>
          </w:p>
        </w:tc>
        <w:tc>
          <w:tcPr/>
          <w:p>
            <w:pPr>
              <w:pStyle w:val="Compact"/>
              <w:jc w:val="left"/>
            </w:pPr>
            <w:r>
              <w:rPr>
                <w:rFonts w:ascii="Calibri" w:hAnsi="Calibri"/>
                <w:sz w:val="20"/>
              </w:rPr>
              <w:t xml:space="preserve">9,0 [2,7; 17,0]</w:t>
            </w:r>
          </w:p>
        </w:tc>
        <w:tc>
          <w:tcPr/>
          <w:p>
            <w:pPr>
              <w:pStyle w:val="Compact"/>
              <w:jc w:val="left"/>
            </w:pPr>
            <w:r>
              <w:rPr>
                <w:rFonts w:ascii="Calibri" w:hAnsi="Calibri"/>
                <w:sz w:val="20"/>
              </w:rPr>
              <w:t xml:space="preserve">17,4 [9,7; 32,3]</w:t>
            </w:r>
          </w:p>
        </w:tc>
        <w:tc>
          <w:tcPr/>
          <w:p>
            <w:pPr>
              <w:pStyle w:val="Compact"/>
              <w:jc w:val="left"/>
            </w:pPr>
            <w:r>
              <w:rPr>
                <w:rFonts w:ascii="Calibri" w:hAnsi="Calibri"/>
                <w:sz w:val="20"/>
              </w:rPr>
              <w:t xml:space="preserve">51,6</w:t>
            </w:r>
          </w:p>
        </w:tc>
        <w:tc>
          <w:tcPr/>
          <w:p>
            <w:pPr>
              <w:pStyle w:val="Compact"/>
              <w:jc w:val="left"/>
            </w:pPr>
            <w:r>
              <w:rPr>
                <w:rFonts w:ascii="Calibri" w:hAnsi="Calibri"/>
                <w:sz w:val="20"/>
              </w:rPr>
              <w:t xml:space="preserve">98,9 [94,5; 100,0]</w:t>
            </w:r>
          </w:p>
        </w:tc>
        <w:tc>
          <w:tcPr/>
          <w:p>
            <w:pPr>
              <w:pStyle w:val="Compact"/>
              <w:jc w:val="left"/>
            </w:pPr>
            <w:r>
              <w:rPr>
                <w:rFonts w:ascii="Calibri" w:hAnsi="Calibri"/>
                <w:sz w:val="20"/>
              </w:rPr>
              <w:t xml:space="preserve">22,5 [7,7; 38,0]</w:t>
            </w:r>
          </w:p>
        </w:tc>
        <w:tc>
          <w:tcPr/>
          <w:p>
            <w:pPr>
              <w:pStyle w:val="Compact"/>
              <w:jc w:val="left"/>
            </w:pPr>
            <w:r>
              <w:rPr>
                <w:rFonts w:ascii="Calibri" w:hAnsi="Calibri"/>
                <w:sz w:val="20"/>
              </w:rPr>
              <w:t xml:space="preserve">33,72 [-21,30; 61,03]</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0,3 [0,0; 0,6]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13,04 [7,79; 18,36]</w:t>
            </w:r>
          </w:p>
        </w:tc>
      </w:tr>
      <w:tr>
        <w:tc>
          <w:tcPr/>
          <w:p>
            <w:pPr>
              <w:pStyle w:val="Compact"/>
              <w:jc w:val="left"/>
            </w:pPr>
            <w:r>
              <w:rPr>
                <w:rFonts w:ascii="Calibri" w:hAnsi="Calibri"/>
                <w:sz w:val="20"/>
              </w:rPr>
              <w:t xml:space="preserve">Un rezago (criterio de Schwarz)</w:t>
            </w:r>
          </w:p>
        </w:tc>
        <w:tc>
          <w:tcPr/>
          <w:p>
            <w:pPr>
              <w:pStyle w:val="Compact"/>
              <w:jc w:val="left"/>
            </w:pPr>
            <w:r>
              <w:rPr>
                <w:rFonts w:ascii="Calibri" w:hAnsi="Calibri"/>
                <w:sz w:val="20"/>
              </w:rPr>
              <w:t xml:space="preserve">29,4 [27,7; 39,2]</w:t>
            </w:r>
          </w:p>
        </w:tc>
        <w:tc>
          <w:tcPr/>
          <w:p>
            <w:pPr>
              <w:pStyle w:val="Compact"/>
              <w:jc w:val="left"/>
            </w:pPr>
            <w:r>
              <w:rPr>
                <w:rFonts w:ascii="Calibri" w:hAnsi="Calibri"/>
                <w:sz w:val="20"/>
              </w:rPr>
              <w:t xml:space="preserve">31,0 [27,2; 40,6]</w:t>
            </w:r>
          </w:p>
        </w:tc>
        <w:tc>
          <w:tcPr/>
          <w:p>
            <w:pPr>
              <w:pStyle w:val="Compact"/>
              <w:jc w:val="left"/>
            </w:pPr>
            <w:r>
              <w:rPr>
                <w:rFonts w:ascii="Calibri" w:hAnsi="Calibri"/>
                <w:sz w:val="20"/>
              </w:rPr>
              <w:t xml:space="preserve">3,9 [0,0; 7,7]</w:t>
            </w:r>
          </w:p>
        </w:tc>
        <w:tc>
          <w:tcPr/>
          <w:p>
            <w:pPr>
              <w:pStyle w:val="Compact"/>
              <w:jc w:val="left"/>
            </w:pPr>
            <w:r>
              <w:rPr>
                <w:rFonts w:ascii="Calibri" w:hAnsi="Calibri"/>
                <w:sz w:val="20"/>
              </w:rPr>
              <w:t xml:space="preserve">7,3 [0,0; 14,4]</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99,9 [90,7; 99,9]</w:t>
            </w:r>
          </w:p>
        </w:tc>
        <w:tc>
          <w:tcPr/>
          <w:p>
            <w:pPr>
              <w:pStyle w:val="Compact"/>
              <w:jc w:val="left"/>
            </w:pPr>
            <w:r>
              <w:rPr>
                <w:rFonts w:ascii="Calibri" w:hAnsi="Calibri"/>
                <w:sz w:val="20"/>
              </w:rPr>
              <w:t xml:space="preserve">21,7 [8,3; 33,3]</w:t>
            </w:r>
          </w:p>
        </w:tc>
        <w:tc>
          <w:tcPr/>
          <w:p>
            <w:pPr>
              <w:pStyle w:val="Compact"/>
              <w:jc w:val="left"/>
            </w:pPr>
            <w:r>
              <w:rPr>
                <w:rFonts w:ascii="Calibri" w:hAnsi="Calibri"/>
                <w:sz w:val="20"/>
              </w:rPr>
              <w:t xml:space="preserve">24,25 [-7,44; 41,22]</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3,7 [0,0; 7,4]</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17,29 [8,14; 28,41]</w:t>
            </w:r>
          </w:p>
        </w:tc>
      </w:tr>
      <w:tr>
        <w:tc>
          <w:tcPr/>
          <w:p>
            <w:pPr>
              <w:pStyle w:val="Compact"/>
              <w:jc w:val="left"/>
            </w:pPr>
            <w:r>
              <w:rPr>
                <w:rFonts w:ascii="Calibri" w:hAnsi="Calibri"/>
                <w:sz w:val="20"/>
              </w:rPr>
              <w:t xml:space="preserve">Cholesky, resultado primario primero</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Cholesky, resultado primario último</w:t>
            </w:r>
          </w:p>
        </w:tc>
        <w:tc>
          <w:tcPr/>
          <w:p>
            <w:pPr>
              <w:pStyle w:val="Compact"/>
              <w:jc w:val="left"/>
            </w:pPr>
            <w:r>
              <w:rPr>
                <w:rFonts w:ascii="Calibri" w:hAnsi="Calibri"/>
                <w:sz w:val="20"/>
              </w:rPr>
              <w:t xml:space="preserve">27,7 [20,3; 34,8]</w:t>
            </w:r>
          </w:p>
        </w:tc>
        <w:tc>
          <w:tcPr/>
          <w:p>
            <w:pPr>
              <w:pStyle w:val="Compact"/>
              <w:jc w:val="left"/>
            </w:pPr>
            <w:r>
              <w:rPr>
                <w:rFonts w:ascii="Calibri" w:hAnsi="Calibri"/>
                <w:sz w:val="20"/>
              </w:rPr>
              <w:t xml:space="preserve">29,0 [24,7;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[93,9; 99,8]</w:t>
            </w:r>
          </w:p>
        </w:tc>
        <w:tc>
          <w:tcPr/>
          <w:p>
            <w:pPr>
              <w:pStyle w:val="Compact"/>
              <w:jc w:val="left"/>
            </w:pPr>
            <w:r>
              <w:rPr>
                <w:rFonts w:ascii="Calibri" w:hAnsi="Calibri"/>
                <w:sz w:val="20"/>
              </w:rPr>
              <w:t xml:space="preserve">18,4 [6,2; 29,3]</w:t>
            </w:r>
          </w:p>
        </w:tc>
        <w:tc>
          <w:tcPr/>
          <w:p>
            <w:pPr>
              <w:pStyle w:val="Compact"/>
              <w:jc w:val="left"/>
            </w:pPr>
            <w:r>
              <w:rPr>
                <w:rFonts w:ascii="Calibri" w:hAnsi="Calibri"/>
                <w:sz w:val="20"/>
              </w:rPr>
              <w:t xml:space="preserve">19,29 [0,09; 31,42]</w:t>
            </w:r>
          </w:p>
        </w:tc>
      </w:tr>
      <w:tr>
        <w:tc>
          <w:tcPr/>
          <w:p>
            <w:pPr>
              <w:pStyle w:val="Compact"/>
              <w:jc w:val="left"/>
            </w:pPr>
            <w:r>
              <w:rPr>
                <w:rFonts w:ascii="Calibri" w:hAnsi="Calibri"/>
                <w:sz w:val="20"/>
              </w:rPr>
              <w:t xml:space="preserve">Elasticidad cíclica 0</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Elasticidad cíclica 0,5</w:t>
            </w:r>
          </w:p>
        </w:tc>
        <w:tc>
          <w:tcPr/>
          <w:p>
            <w:pPr>
              <w:pStyle w:val="Compact"/>
              <w:jc w:val="left"/>
            </w:pPr>
            <w:r>
              <w:rPr>
                <w:rFonts w:ascii="Calibri" w:hAnsi="Calibri"/>
                <w:sz w:val="20"/>
              </w:rPr>
              <w:t xml:space="preserve">27,7 [20,7; 34,8]</w:t>
            </w:r>
          </w:p>
        </w:tc>
        <w:tc>
          <w:tcPr/>
          <w:p>
            <w:pPr>
              <w:pStyle w:val="Compact"/>
              <w:jc w:val="left"/>
            </w:pPr>
            <w:r>
              <w:rPr>
                <w:rFonts w:ascii="Calibri" w:hAnsi="Calibri"/>
                <w:sz w:val="20"/>
              </w:rPr>
              <w:t xml:space="preserve">29,0 [24,9;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[88,0; 99,7]</w:t>
            </w:r>
          </w:p>
        </w:tc>
        <w:tc>
          <w:tcPr/>
          <w:p>
            <w:pPr>
              <w:pStyle w:val="Compact"/>
              <w:jc w:val="left"/>
            </w:pPr>
            <w:r>
              <w:rPr>
                <w:rFonts w:ascii="Calibri" w:hAnsi="Calibri"/>
                <w:sz w:val="20"/>
              </w:rPr>
              <w:t xml:space="preserve">18,4 [6,4; 29,2]</w:t>
            </w:r>
          </w:p>
        </w:tc>
        <w:tc>
          <w:tcPr/>
          <w:p>
            <w:pPr>
              <w:pStyle w:val="Compact"/>
              <w:jc w:val="left"/>
            </w:pPr>
            <w:r>
              <w:rPr>
                <w:rFonts w:ascii="Calibri" w:hAnsi="Calibri"/>
                <w:sz w:val="20"/>
              </w:rPr>
              <w:t xml:space="preserve">19,29 [0,10; 31,35]</w:t>
            </w:r>
          </w:p>
        </w:tc>
      </w:tr>
      <w:tr>
        <w:tc>
          <w:tcPr/>
          <w:p>
            <w:pPr>
              <w:pStyle w:val="Compact"/>
              <w:jc w:val="left"/>
            </w:pPr>
            <w:r>
              <w:rPr>
                <w:rFonts w:ascii="Calibri" w:hAnsi="Calibri"/>
                <w:sz w:val="20"/>
              </w:rPr>
              <w:t xml:space="preserve">Sin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jc w:val="left"/>
            </w:pPr>
            <w:r>
              <w:rPr>
                <w:rFonts w:ascii="Calibri" w:hAnsi="Calibri"/>
                <w:sz w:val="20"/>
              </w:rPr>
              <w:t xml:space="preserve">31,6 [27,6; 40,5]</w:t>
            </w:r>
          </w:p>
        </w:tc>
        <w:tc>
          <w:tcPr/>
          <w:p>
            <w:pPr>
              <w:pStyle w:val="Compact"/>
              <w:jc w:val="left"/>
            </w:pPr>
            <w:r>
              <w:rPr>
                <w:rFonts w:ascii="Calibri" w:hAnsi="Calibri"/>
                <w:sz w:val="20"/>
              </w:rPr>
              <w:t xml:space="preserve">32,8 [29,6; 41,3]</w:t>
            </w:r>
          </w:p>
        </w:tc>
        <w:tc>
          <w:tcPr/>
          <w:p>
            <w:pPr>
              <w:pStyle w:val="Compact"/>
              <w:jc w:val="left"/>
            </w:pPr>
            <w:r>
              <w:rPr>
                <w:rFonts w:ascii="Calibri" w:hAnsi="Calibri"/>
                <w:sz w:val="20"/>
              </w:rPr>
              <w:t xml:space="preserve">3,8 [0,0; 7,5]</w:t>
            </w:r>
          </w:p>
        </w:tc>
        <w:tc>
          <w:tcPr/>
          <w:p>
            <w:pPr>
              <w:pStyle w:val="Compact"/>
              <w:jc w:val="left"/>
            </w:pPr>
            <w:r>
              <w:rPr>
                <w:rFonts w:ascii="Calibri" w:hAnsi="Calibri"/>
                <w:sz w:val="20"/>
              </w:rPr>
              <w:t xml:space="preserve">6,7 [0,0; 13,3]</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97,1 [91,1; 99,8]</w:t>
            </w:r>
          </w:p>
        </w:tc>
        <w:tc>
          <w:tcPr/>
          <w:p>
            <w:pPr>
              <w:pStyle w:val="Compact"/>
              <w:jc w:val="left"/>
            </w:pPr>
            <w:r>
              <w:rPr>
                <w:rFonts w:ascii="Calibri" w:hAnsi="Calibri"/>
                <w:sz w:val="20"/>
              </w:rPr>
              <w:t xml:space="preserve">19,2 [7,6; 30,5]</w:t>
            </w:r>
          </w:p>
        </w:tc>
        <w:tc>
          <w:tcPr/>
          <w:p>
            <w:pPr>
              <w:pStyle w:val="Compact"/>
              <w:jc w:val="left"/>
            </w:pPr>
            <w:r>
              <w:rPr>
                <w:rFonts w:ascii="Calibri" w:hAnsi="Calibri"/>
                <w:sz w:val="20"/>
              </w:rPr>
              <w:t xml:space="preserve">20,58 [0,00; 33,66]</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5,6 [0,0; 11,2]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19,69 [-1,86; 32,64]</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4,9 [0,0; 9,8]</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Sin variables binarias de quiebre</w:t>
            </w:r>
          </w:p>
        </w:tc>
        <w:tc>
          <w:tcPr/>
          <w:p>
            <w:pPr>
              <w:pStyle w:val="Compact"/>
              <w:jc w:val="left"/>
            </w:pPr>
            <w:r>
              <w:rPr>
                <w:rFonts w:ascii="Calibri" w:hAnsi="Calibri"/>
                <w:sz w:val="20"/>
              </w:rPr>
              <w:t xml:space="preserve">27,1 [22,1; 33,0]</w:t>
            </w:r>
          </w:p>
        </w:tc>
        <w:tc>
          <w:tcPr/>
          <w:p>
            <w:pPr>
              <w:pStyle w:val="Compact"/>
              <w:jc w:val="left"/>
            </w:pPr>
            <w:r>
              <w:rPr>
                <w:rFonts w:ascii="Calibri" w:hAnsi="Calibri"/>
                <w:sz w:val="20"/>
              </w:rPr>
              <w:t xml:space="preserve">27,4 [22,9; 33,1]</w:t>
            </w:r>
          </w:p>
        </w:tc>
        <w:tc>
          <w:tcPr/>
          <w:p>
            <w:pPr>
              <w:pStyle w:val="Compact"/>
              <w:jc w:val="left"/>
            </w:pPr>
            <w:r>
              <w:rPr>
                <w:rFonts w:ascii="Calibri" w:hAnsi="Calibri"/>
                <w:sz w:val="20"/>
              </w:rPr>
              <w:t xml:space="preserve">2,3 [0,0; 4,7]</w:t>
            </w:r>
          </w:p>
        </w:tc>
        <w:tc>
          <w:tcPr/>
          <w:p>
            <w:pPr>
              <w:pStyle w:val="Compact"/>
              <w:jc w:val="left"/>
            </w:pPr>
            <w:r>
              <w:rPr>
                <w:rFonts w:ascii="Calibri" w:hAnsi="Calibri"/>
                <w:sz w:val="20"/>
              </w:rPr>
              <w:t xml:space="preserve">2,3 [0,0; 4,6]</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93,9 [88,2; 99,8]</w:t>
            </w:r>
          </w:p>
        </w:tc>
        <w:tc>
          <w:tcPr/>
          <w:p>
            <w:pPr>
              <w:pStyle w:val="Compact"/>
              <w:jc w:val="left"/>
            </w:pPr>
            <w:r>
              <w:rPr>
                <w:rFonts w:ascii="Calibri" w:hAnsi="Calibri"/>
                <w:sz w:val="20"/>
              </w:rPr>
              <w:t xml:space="preserve">17,0 [5,3; 25,1]</w:t>
            </w:r>
          </w:p>
        </w:tc>
        <w:tc>
          <w:tcPr/>
          <w:p>
            <w:pPr>
              <w:pStyle w:val="Compact"/>
              <w:jc w:val="left"/>
            </w:pPr>
            <w:r>
              <w:rPr>
                <w:rFonts w:ascii="Calibri" w:hAnsi="Calibri"/>
                <w:sz w:val="20"/>
              </w:rPr>
              <w:t xml:space="preserve">15,69 [1,21; 24,47]</w:t>
            </w:r>
          </w:p>
        </w:tc>
      </w:tr>
      <w:tr>
        <w:tc>
          <w:tcPr/>
          <w:p>
            <w:pPr>
              <w:pStyle w:val="Compact"/>
              <w:jc w:val="left"/>
            </w:pPr>
            <w:r>
              <w:rPr>
                <w:rFonts w:ascii="Calibri" w:hAnsi="Calibri"/>
                <w:sz w:val="20"/>
              </w:rPr>
              <w:t xml:space="preserve">Sin variables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8,3 [0,3; 16,4]</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9,24 [-0,19; 17,06]</w:t>
            </w:r>
          </w:p>
        </w:tc>
      </w:tr>
      <w:tr>
        <w:tc>
          <w:tcPr/>
          <w:p>
            <w:pPr>
              <w:pStyle w:val="Compact"/>
              <w:jc w:val="left"/>
            </w:pPr>
            <w:r>
              <w:rPr>
                <w:rFonts w:ascii="Calibri" w:hAnsi="Calibri"/>
                <w:sz w:val="20"/>
              </w:rPr>
              <w:t xml:space="preserve">Ajuste stock-flujo en cero</w:t>
            </w:r>
          </w:p>
        </w:tc>
        <w:tc>
          <w:tcPr/>
          <w:p>
            <w:pPr>
              <w:pStyle w:val="Compact"/>
              <w:jc w:val="left"/>
            </w:pPr>
            <w:r>
              <w:rPr>
                <w:rFonts w:ascii="Calibri" w:hAnsi="Calibri"/>
                <w:sz w:val="20"/>
              </w:rPr>
              <w:t xml:space="preserve">25,3 [18,2; 32,3]</w:t>
            </w:r>
          </w:p>
        </w:tc>
        <w:tc>
          <w:tcPr/>
          <w:p>
            <w:pPr>
              <w:pStyle w:val="Compact"/>
              <w:jc w:val="left"/>
            </w:pPr>
            <w:r>
              <w:rPr>
                <w:rFonts w:ascii="Calibri" w:hAnsi="Calibri"/>
                <w:sz w:val="20"/>
              </w:rPr>
              <w:t xml:space="preserve">22,4 [18,0; 29,0]</w:t>
            </w:r>
          </w:p>
        </w:tc>
        <w:tc>
          <w:tcPr/>
          <w:p>
            <w:pPr>
              <w:pStyle w:val="Compact"/>
              <w:jc w:val="left"/>
            </w:pPr>
            <w:r>
              <w:rPr>
                <w:rFonts w:ascii="Calibri" w:hAnsi="Calibri"/>
                <w:sz w:val="20"/>
              </w:rPr>
              <w:t xml:space="preserve">2,2 [0,0; 4,5]</w:t>
            </w:r>
          </w:p>
        </w:tc>
        <w:tc>
          <w:tcPr/>
          <w:p>
            <w:pPr>
              <w:pStyle w:val="Compact"/>
              <w:jc w:val="left"/>
            </w:pPr>
            <w:r>
              <w:rPr>
                <w:rFonts w:ascii="Calibri" w:hAnsi="Calibri"/>
                <w:sz w:val="20"/>
              </w:rPr>
              <w:t xml:space="preserve">3,0 [0,0; 6,0]</w:t>
            </w:r>
          </w:p>
        </w:tc>
        <w:tc>
          <w:tcPr/>
          <w:p>
            <w:pPr>
              <w:pStyle w:val="Compact"/>
              <w:jc w:val="left"/>
            </w:pPr>
            <w:r>
              <w:rPr>
                <w:rFonts w:ascii="Calibri" w:hAnsi="Calibri"/>
                <w:sz w:val="20"/>
              </w:rPr>
              <w:t xml:space="preserve">35,7</w:t>
            </w:r>
          </w:p>
        </w:tc>
        <w:tc>
          <w:tcPr/>
          <w:p>
            <w:pPr>
              <w:pStyle w:val="Compact"/>
              <w:jc w:val="left"/>
            </w:pPr>
            <w:r>
              <w:rPr>
                <w:rFonts w:ascii="Calibri" w:hAnsi="Calibri"/>
                <w:sz w:val="20"/>
              </w:rPr>
              <w:t xml:space="preserve">95,9 [89,4; 99,8]</w:t>
            </w:r>
          </w:p>
        </w:tc>
        <w:tc>
          <w:tcPr/>
          <w:p>
            <w:pPr>
              <w:pStyle w:val="Compact"/>
              <w:jc w:val="left"/>
            </w:pPr>
            <w:r>
              <w:rPr>
                <w:rFonts w:ascii="Calibri" w:hAnsi="Calibri"/>
                <w:sz w:val="20"/>
              </w:rPr>
              <w:t xml:space="preserve">15,3 [4,4; 24,5]</w:t>
            </w:r>
          </w:p>
        </w:tc>
        <w:tc>
          <w:tcPr/>
          <w:p>
            <w:pPr>
              <w:pStyle w:val="Compact"/>
              <w:jc w:val="left"/>
            </w:pPr>
            <w:r>
              <w:rPr>
                <w:rFonts w:ascii="Calibri" w:hAnsi="Calibri"/>
                <w:sz w:val="20"/>
              </w:rPr>
              <w:t xml:space="preserve">14,40 [1,22; 23,46]</w:t>
            </w:r>
          </w:p>
        </w:tc>
      </w:tr>
      <w:tr>
        <w:tc>
          <w:tcPr/>
          <w:p>
            <w:pPr>
              <w:pStyle w:val="Compact"/>
              <w:jc w:val="left"/>
            </w:pPr>
            <w:r>
              <w:rPr>
                <w:rFonts w:ascii="Calibri" w:hAnsi="Calibri"/>
                <w:sz w:val="20"/>
              </w:rPr>
              <w:t xml:space="preserve">λ = 0,15</w:t>
            </w:r>
          </w:p>
        </w:tc>
        <w:tc>
          <w:tcPr/>
          <w:p>
            <w:pPr>
              <w:pStyle w:val="Compact"/>
              <w:jc w:val="left"/>
            </w:pPr>
            <w:r>
              <w:rPr>
                <w:rFonts w:ascii="Calibri" w:hAnsi="Calibri"/>
                <w:sz w:val="20"/>
              </w:rPr>
              <w:t xml:space="preserve">27,0 [19,4; 34,2]</w:t>
            </w:r>
          </w:p>
        </w:tc>
        <w:tc>
          <w:tcPr/>
          <w:p>
            <w:pPr>
              <w:pStyle w:val="Compact"/>
              <w:jc w:val="left"/>
            </w:pPr>
            <w:r>
              <w:rPr>
                <w:rFonts w:ascii="Calibri" w:hAnsi="Calibri"/>
                <w:sz w:val="20"/>
              </w:rPr>
              <w:t xml:space="preserve">26,9 [22,3; 33,4]</w:t>
            </w:r>
          </w:p>
        </w:tc>
        <w:tc>
          <w:tcPr/>
          <w:p>
            <w:pPr>
              <w:pStyle w:val="Compact"/>
              <w:jc w:val="left"/>
            </w:pPr>
            <w:r>
              <w:rPr>
                <w:rFonts w:ascii="Calibri" w:hAnsi="Calibri"/>
                <w:sz w:val="20"/>
              </w:rPr>
              <w:t xml:space="preserve">1,8 [0,0; 3,6]</w:t>
            </w:r>
          </w:p>
        </w:tc>
        <w:tc>
          <w:tcPr/>
          <w:p>
            <w:pPr>
              <w:pStyle w:val="Compact"/>
              <w:jc w:val="left"/>
            </w:pPr>
            <w:r>
              <w:rPr>
                <w:rFonts w:ascii="Calibri" w:hAnsi="Calibri"/>
                <w:sz w:val="20"/>
              </w:rPr>
              <w:t xml:space="preserve">1,7 [0,0; 3,4]</w:t>
            </w:r>
          </w:p>
        </w:tc>
        <w:tc>
          <w:tcPr/>
          <w:p>
            <w:pPr>
              <w:pStyle w:val="Compact"/>
              <w:jc w:val="left"/>
            </w:pPr>
            <w:r>
              <w:rPr>
                <w:rFonts w:ascii="Calibri" w:hAnsi="Calibri"/>
                <w:sz w:val="20"/>
              </w:rPr>
              <w:t xml:space="preserve">37,0</w:t>
            </w:r>
          </w:p>
        </w:tc>
        <w:tc>
          <w:tcPr/>
          <w:p>
            <w:pPr>
              <w:pStyle w:val="Compact"/>
              <w:jc w:val="left"/>
            </w:pPr>
            <w:r>
              <w:rPr>
                <w:rFonts w:ascii="Calibri" w:hAnsi="Calibri"/>
                <w:sz w:val="20"/>
              </w:rPr>
              <w:t xml:space="preserve">96,0 [89,3; 99,7]</w:t>
            </w:r>
          </w:p>
        </w:tc>
        <w:tc>
          <w:tcPr/>
          <w:p>
            <w:pPr>
              <w:pStyle w:val="Compact"/>
              <w:jc w:val="left"/>
            </w:pPr>
            <w:r>
              <w:rPr>
                <w:rFonts w:ascii="Calibri" w:hAnsi="Calibri"/>
                <w:sz w:val="20"/>
              </w:rPr>
              <w:t xml:space="preserve">11,1 [2,3; 18,0]</w:t>
            </w:r>
          </w:p>
        </w:tc>
        <w:tc>
          <w:tcPr/>
          <w:p>
            <w:pPr>
              <w:pStyle w:val="Compact"/>
              <w:jc w:val="left"/>
            </w:pPr>
            <w:r>
              <w:rPr>
                <w:rFonts w:ascii="Calibri" w:hAnsi="Calibri"/>
                <w:sz w:val="20"/>
              </w:rPr>
              <w:t xml:space="preserve">11,21 [0,45; 18,84]</w:t>
            </w:r>
          </w:p>
        </w:tc>
      </w:tr>
      <w:tr>
        <w:tc>
          <w:tcPr/>
          <w:p>
            <w:pPr>
              <w:pStyle w:val="Compact"/>
              <w:jc w:val="left"/>
            </w:pPr>
            <w:r>
              <w:rPr>
                <w:rFonts w:ascii="Calibri" w:hAnsi="Calibri"/>
                <w:sz w:val="20"/>
              </w:rPr>
              <w:t xml:space="preserve">λ = 0,40</w:t>
            </w:r>
          </w:p>
        </w:tc>
        <w:tc>
          <w:tcPr/>
          <w:p>
            <w:pPr>
              <w:pStyle w:val="Compact"/>
              <w:jc w:val="left"/>
            </w:pPr>
            <w:r>
              <w:rPr>
                <w:rFonts w:ascii="Calibri" w:hAnsi="Calibri"/>
                <w:sz w:val="20"/>
              </w:rPr>
              <w:t xml:space="preserve">28,3 [21,8; 35,4]</w:t>
            </w:r>
          </w:p>
        </w:tc>
        <w:tc>
          <w:tcPr/>
          <w:p>
            <w:pPr>
              <w:pStyle w:val="Compact"/>
              <w:jc w:val="left"/>
            </w:pPr>
            <w:r>
              <w:rPr>
                <w:rFonts w:ascii="Calibri" w:hAnsi="Calibri"/>
                <w:sz w:val="20"/>
              </w:rPr>
              <w:t xml:space="preserve">30,5 [26,7; 37,9]</w:t>
            </w:r>
          </w:p>
        </w:tc>
        <w:tc>
          <w:tcPr/>
          <w:p>
            <w:pPr>
              <w:pStyle w:val="Compact"/>
              <w:jc w:val="left"/>
            </w:pPr>
            <w:r>
              <w:rPr>
                <w:rFonts w:ascii="Calibri" w:hAnsi="Calibri"/>
                <w:sz w:val="20"/>
              </w:rPr>
              <w:t xml:space="preserve">4,8 [0,0; 9,3]</w:t>
            </w:r>
          </w:p>
        </w:tc>
        <w:tc>
          <w:tcPr/>
          <w:p>
            <w:pPr>
              <w:pStyle w:val="Compact"/>
              <w:jc w:val="left"/>
            </w:pPr>
            <w:r>
              <w:rPr>
                <w:rFonts w:ascii="Calibri" w:hAnsi="Calibri"/>
                <w:sz w:val="20"/>
              </w:rPr>
              <w:t xml:space="preserve">8,1 [0,0; 15,9]</w:t>
            </w:r>
          </w:p>
        </w:tc>
        <w:tc>
          <w:tcPr/>
          <w:p>
            <w:pPr>
              <w:pStyle w:val="Compact"/>
              <w:jc w:val="left"/>
            </w:pPr>
            <w:r>
              <w:rPr>
                <w:rFonts w:ascii="Calibri" w:hAnsi="Calibri"/>
                <w:sz w:val="20"/>
              </w:rPr>
              <w:t xml:space="preserve">43,7</w:t>
            </w:r>
          </w:p>
        </w:tc>
        <w:tc>
          <w:tcPr/>
          <w:p>
            <w:pPr>
              <w:pStyle w:val="Compact"/>
              <w:jc w:val="left"/>
            </w:pPr>
            <w:r>
              <w:rPr>
                <w:rFonts w:ascii="Calibri" w:hAnsi="Calibri"/>
                <w:sz w:val="20"/>
              </w:rPr>
              <w:t xml:space="preserve">97,3 [91,9; 99,9]</w:t>
            </w:r>
          </w:p>
        </w:tc>
        <w:tc>
          <w:tcPr/>
          <w:p>
            <w:pPr>
              <w:pStyle w:val="Compact"/>
              <w:jc w:val="left"/>
            </w:pPr>
            <w:r>
              <w:rPr>
                <w:rFonts w:ascii="Calibri" w:hAnsi="Calibri"/>
                <w:sz w:val="20"/>
              </w:rPr>
              <w:t xml:space="preserve">23,0 [10,1; 36,2]</w:t>
            </w:r>
          </w:p>
        </w:tc>
        <w:tc>
          <w:tcPr/>
          <w:p>
            <w:pPr>
              <w:pStyle w:val="Compact"/>
              <w:jc w:val="left"/>
            </w:pPr>
            <w:r>
              <w:rPr>
                <w:rFonts w:ascii="Calibri" w:hAnsi="Calibri"/>
                <w:sz w:val="20"/>
              </w:rPr>
              <w:t xml:space="preserve">26,60 [-3,06; 43,49]</w:t>
            </w:r>
          </w:p>
        </w:tc>
      </w:tr>
      <w:tr>
        <w:tc>
          <w:tcPr/>
          <w:p>
            <w:pPr>
              <w:pStyle w:val="Compact"/>
              <w:jc w:val="left"/>
            </w:pPr>
            <w:r>
              <w:rPr>
                <w:rFonts w:ascii="Calibri" w:hAnsi="Calibri"/>
                <w:sz w:val="20"/>
              </w:rPr>
              <w:t xml:space="preserve">Escenario del FMI de 2025</w:t>
            </w:r>
          </w:p>
        </w:tc>
        <w:tc>
          <w:tcPr/>
          <w:p>
            <w:pPr>
              <w:pStyle w:val="Compact"/>
              <w:jc w:val="left"/>
            </w:pPr>
            <w:r>
              <w:rPr>
                <w:rFonts w:ascii="Calibri" w:hAnsi="Calibri"/>
                <w:sz w:val="20"/>
              </w:rPr>
              <w:t xml:space="preserve">25,7 [18,1; 32,7]</w:t>
            </w:r>
          </w:p>
        </w:tc>
        <w:tc>
          <w:tcPr/>
          <w:p>
            <w:pPr>
              <w:pStyle w:val="Compact"/>
              <w:jc w:val="left"/>
            </w:pPr>
            <w:r>
              <w:rPr>
                <w:rFonts w:ascii="Calibri" w:hAnsi="Calibri"/>
                <w:sz w:val="20"/>
              </w:rPr>
              <w:t xml:space="preserve">22,9 [18,0; 29,3]</w:t>
            </w:r>
          </w:p>
        </w:tc>
        <w:tc>
          <w:tcPr/>
          <w:p>
            <w:pPr>
              <w:pStyle w:val="Compact"/>
              <w:jc w:val="left"/>
            </w:pPr>
            <w:r>
              <w:rPr>
                <w:rFonts w:ascii="Calibri" w:hAnsi="Calibri"/>
                <w:sz w:val="20"/>
              </w:rPr>
              <w:t xml:space="preserve">0,9 [0,0; 1,8]</w:t>
            </w:r>
          </w:p>
        </w:tc>
        <w:tc>
          <w:tcPr/>
          <w:p>
            <w:pPr>
              <w:pStyle w:val="Compact"/>
              <w:jc w:val="left"/>
            </w:pPr>
            <w:r>
              <w:rPr>
                <w:rFonts w:ascii="Calibri" w:hAnsi="Calibri"/>
                <w:sz w:val="20"/>
              </w:rPr>
              <w:t xml:space="preserve">2,0 [0,0; 3,9]</w:t>
            </w:r>
          </w:p>
        </w:tc>
        <w:tc>
          <w:tcPr/>
          <w:p>
            <w:pPr>
              <w:pStyle w:val="Compact"/>
              <w:jc w:val="left"/>
            </w:pPr>
            <w:r>
              <w:rPr>
                <w:rFonts w:ascii="Calibri" w:hAnsi="Calibri"/>
                <w:sz w:val="20"/>
              </w:rPr>
              <w:t xml:space="preserve">38,0</w:t>
            </w:r>
          </w:p>
        </w:tc>
        <w:tc>
          <w:tcPr/>
          <w:p>
            <w:pPr>
              <w:pStyle w:val="Compact"/>
              <w:jc w:val="left"/>
            </w:pPr>
            <w:r>
              <w:rPr>
                <w:rFonts w:ascii="Calibri" w:hAnsi="Calibri"/>
                <w:sz w:val="20"/>
              </w:rPr>
              <w:t xml:space="preserve">96,4 [90,1; 99,8]</w:t>
            </w:r>
          </w:p>
        </w:tc>
        <w:tc>
          <w:tcPr/>
          <w:p>
            <w:pPr>
              <w:pStyle w:val="Compact"/>
              <w:jc w:val="left"/>
            </w:pPr>
            <w:r>
              <w:rPr>
                <w:rFonts w:ascii="Calibri" w:hAnsi="Calibri"/>
                <w:sz w:val="20"/>
              </w:rPr>
              <w:t xml:space="preserve">12,0 [2,6; 19,6]</w:t>
            </w:r>
          </w:p>
        </w:tc>
        <w:tc>
          <w:tcPr/>
          <w:p>
            <w:pPr>
              <w:pStyle w:val="Compact"/>
              <w:jc w:val="left"/>
            </w:pPr>
            <w:r>
              <w:rPr>
                <w:rFonts w:ascii="Calibri" w:hAnsi="Calibri"/>
                <w:sz w:val="20"/>
              </w:rPr>
              <w:t xml:space="preserve">12,01 [0,04; 20,27]</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10,8 [0,0; 21,2]</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24,95 [-11,58; 45,43]</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19,1</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jc w:val="left"/>
            </w:pPr>
            <w:r>
              <w:rPr>
                <w:rFonts w:ascii="Calibri" w:hAnsi="Calibri"/>
                <w:sz w:val="20"/>
              </w:rPr>
              <w:t xml:space="preserve">26,2</w:t>
            </w:r>
          </w:p>
        </w:tc>
        <w:tc>
          <w:tcPr/>
          <w:p>
            <w:pPr>
              <w:pStyle w:val="Compact"/>
              <w:jc w:val="left"/>
            </w:pPr>
            <w:r>
              <w:rPr>
                <w:rFonts w:ascii="Calibri" w:hAnsi="Calibri"/>
                <w:sz w:val="20"/>
              </w:rPr>
              <w:t xml:space="preserve">19,4</w:t>
            </w:r>
          </w:p>
        </w:tc>
        <w:tc>
          <w:tcPr/>
          <w:p>
            <w:pPr>
              <w:pStyle w:val="Compact"/>
              <w:jc w:val="left"/>
            </w:pPr>
            <w:r>
              <w:rPr>
                <w:rFonts w:ascii="Calibri" w:hAnsi="Calibri"/>
                <w:sz w:val="20"/>
              </w:rPr>
              <w:t xml:space="preserve">16,1</w:t>
            </w:r>
          </w:p>
        </w:tc>
        <w:tc>
          <w:tcPr/>
          <w:p>
            <w:pPr>
              <w:pStyle w:val="Compact"/>
              <w:jc w:val="left"/>
            </w:pPr>
            <w:r>
              <w:rPr>
                <w:rFonts w:ascii="Calibri" w:hAnsi="Calibri"/>
                <w:sz w:val="20"/>
              </w:rPr>
              <w:t xml:space="preserve">7,3</w:t>
            </w:r>
          </w:p>
        </w:tc>
        <w:tc>
          <w:tcPr/>
          <w:p>
            <w:pPr>
              <w:pStyle w:val="Compact"/>
              <w:jc w:val="left"/>
            </w:pPr>
            <w:r>
              <w:rPr>
                <w:rFonts w:ascii="Calibri" w:hAnsi="Calibri"/>
                <w:sz w:val="20"/>
              </w:rPr>
              <w:t xml:space="preserve">63,4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bookmarkEnd w:id="137"/>
    <w:bookmarkEnd w:id="138"/>
    <w:bookmarkStart w:id="139" w:name="referencias"/>
    <w:p>
      <w:pPr>
        <w:pStyle w:val="Heading1"/>
      </w:pPr>
      <w:r>
        <w:t xml:space="preserve">Referencias</w:t>
      </w:r>
    </w:p>
    <w:p>
      <w:pPr>
        <w:numPr>
          <w:ilvl w:val="0"/>
          <w:numId w:val="1008"/>
        </w:numPr>
        <w:pStyle w:val="Compact"/>
      </w:pPr>
      <w:r>
        <w:t xml:space="preserve">Adler, G., Djigbenou, M.-L., y Sosa, S. (2016). Global financial shocks and foreign asset repatriation: Do local investors play a stabilizing role?</w:t>
      </w:r>
      <w:r>
        <w:t xml:space="preserve"> </w:t>
      </w:r>
      <w:r>
        <w:rPr>
          <w:iCs/>
          <w:i/>
        </w:rPr>
        <w:t xml:space="preserve">Journal of International Money and Finance</w:t>
      </w:r>
      <w:r>
        <w:t xml:space="preserve">,</w:t>
      </w:r>
      <w:r>
        <w:t xml:space="preserve"> </w:t>
      </w:r>
      <w:r>
        <w:rPr>
          <w:iCs/>
          <w:i/>
        </w:rPr>
        <w:t xml:space="preserve">60</w:t>
      </w:r>
      <w:r>
        <w:t xml:space="preserve">, 8-28. https://doi.org/10.1016/j.jimonfin.2015.03.007</w:t>
      </w:r>
    </w:p>
    <w:p>
      <w:pPr>
        <w:numPr>
          <w:ilvl w:val="0"/>
          <w:numId w:val="1008"/>
        </w:numPr>
        <w:pStyle w:val="Compact"/>
      </w:pPr>
      <w:r>
        <w:t xml:space="preserve">Adler, G., y Sosa, S. (2013).</w:t>
      </w:r>
      <w:r>
        <w:t xml:space="preserve"> </w:t>
      </w:r>
      <w:r>
        <w:rPr>
          <w:iCs/>
          <w:i/>
        </w:rPr>
        <w:t xml:space="preserve">External conditions and debt sustainability in Latin America</w:t>
      </w:r>
      <w:r>
        <w:t xml:space="preserve"> </w:t>
      </w:r>
      <w:r>
        <w:t xml:space="preserve">(IMF Working Paper No. 13/27). Fondo Monetario Internacional.</w:t>
      </w:r>
    </w:p>
    <w:p>
      <w:pPr>
        <w:numPr>
          <w:ilvl w:val="0"/>
          <w:numId w:val="1008"/>
        </w:numPr>
        <w:pStyle w:val="Compact"/>
      </w:pPr>
      <w:r>
        <w:t xml:space="preserve">Alesina, A., y Tabellini, G. (1990). A positive theory of fiscal deficits and government debt.</w:t>
      </w:r>
      <w:r>
        <w:t xml:space="preserve"> </w:t>
      </w:r>
      <w:r>
        <w:rPr>
          <w:iCs/>
          <w:i/>
        </w:rPr>
        <w:t xml:space="preserve">The Review of Economic Studies</w:t>
      </w:r>
      <w:r>
        <w:t xml:space="preserve">,</w:t>
      </w:r>
      <w:r>
        <w:t xml:space="preserve"> </w:t>
      </w:r>
      <w:r>
        <w:rPr>
          <w:iCs/>
          <w:i/>
        </w:rPr>
        <w:t xml:space="preserve">57</w:t>
      </w:r>
      <w:r>
        <w:t xml:space="preserve">(3), 403-414.</w:t>
      </w:r>
    </w:p>
    <w:p>
      <w:pPr>
        <w:numPr>
          <w:ilvl w:val="0"/>
          <w:numId w:val="1008"/>
        </w:numPr>
        <w:pStyle w:val="Compac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numPr>
          <w:ilvl w:val="0"/>
          <w:numId w:val="1008"/>
        </w:numPr>
        <w:pStyle w:val="Compact"/>
      </w:pPr>
      <w:r>
        <w:t xml:space="preserve">Aruguete, E. (2021). Crisis de balanza de pagos y recuperación de la sostenibilidad de la deuda pública en la Argentina (2016-2020).</w:t>
      </w:r>
      <w:r>
        <w:t xml:space="preserve"> </w:t>
      </w:r>
      <w:r>
        <w:rPr>
          <w:iCs/>
          <w:i/>
        </w:rPr>
        <w:t xml:space="preserve">Revista Estado y Políticas Públicas</w:t>
      </w:r>
      <w:r>
        <w:t xml:space="preserve">, (16), 101-123.</w:t>
      </w:r>
    </w:p>
    <w:p>
      <w:pPr>
        <w:numPr>
          <w:ilvl w:val="0"/>
          <w:numId w:val="1008"/>
        </w:numPr>
        <w:pStyle w:val="Compac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numPr>
          <w:ilvl w:val="0"/>
          <w:numId w:val="1008"/>
        </w:numPr>
        <w:pStyle w:val="Compact"/>
      </w:pPr>
      <w:r>
        <w:t xml:space="preserve">Banco Central de la República Argentina [BCRA]. (s. f.).</w:t>
      </w:r>
      <w:r>
        <w:t xml:space="preserve"> </w:t>
      </w:r>
      <w:r>
        <w:rPr>
          <w:iCs/>
          <w:i/>
        </w:rPr>
        <w:t xml:space="preserve">Balance del Banco Central, serie histórica</w:t>
      </w:r>
      <w:r>
        <w:t xml:space="preserve"> </w:t>
      </w:r>
      <w:r>
        <w:t xml:space="preserve">[Conjunto de datos]. https://www.bcra.gob.ar/Pdfs/PublicacionesEstadisticas/balbcrhis.xls</w:t>
      </w:r>
    </w:p>
    <w:p>
      <w:pPr>
        <w:numPr>
          <w:ilvl w:val="0"/>
          <w:numId w:val="1008"/>
        </w:numPr>
        <w:pStyle w:val="Compact"/>
      </w:pPr>
      <w:r>
        <w:t xml:space="preserve">Banco Central de la República Argentina [BCRA]. (2025).</w:t>
      </w:r>
      <w:r>
        <w:t xml:space="preserve"> </w:t>
      </w:r>
      <w:r>
        <w:rPr>
          <w:iCs/>
          <w:i/>
        </w:rPr>
        <w:t xml:space="preserve">Informe monetario mensual, junio de 2025</w:t>
      </w:r>
      <w:r>
        <w:t xml:space="preserve">. https://www.bcra.gob.ar/archivos/Pdfs/PublicacionesEstadisticas/informe-monetario-mensual-jun-25.pdf</w:t>
      </w:r>
    </w:p>
    <w:p>
      <w:pPr>
        <w:numPr>
          <w:ilvl w:val="0"/>
          <w:numId w:val="1008"/>
        </w:numPr>
        <w:pStyle w:val="Compact"/>
      </w:pPr>
      <w:r>
        <w:t xml:space="preserve">Banco Central de la República Argentina [BCRA]. (2026).</w:t>
      </w:r>
      <w:r>
        <w:t xml:space="preserve"> </w:t>
      </w:r>
      <w:r>
        <w:rPr>
          <w:iCs/>
          <w:i/>
        </w:rPr>
        <w:t xml:space="preserve">Informe monetario mensual, diciembre de 2025</w:t>
      </w:r>
      <w:r>
        <w:t xml:space="preserve">. https://www.bcra.gob.ar/archivos/Pdfs/PublicacionesEstadisticas/informe-monetario-mensual-dic-25.pdf</w:t>
      </w:r>
    </w:p>
    <w:p>
      <w:pPr>
        <w:numPr>
          <w:ilvl w:val="0"/>
          <w:numId w:val="1008"/>
        </w:numPr>
        <w:pStyle w:val="Compact"/>
      </w:pPr>
      <w:r>
        <w:t xml:space="preserve">Bank for International Settlements [BIS]. (s. f.).</w:t>
      </w:r>
      <w:r>
        <w:t xml:space="preserve"> </w:t>
      </w:r>
      <w:r>
        <w:rPr>
          <w:iCs/>
          <w:i/>
        </w:rPr>
        <w:t xml:space="preserve">Effective exchange rate indices: Broad real effective exchange rate, Argentina</w:t>
      </w:r>
      <w:r>
        <w:t xml:space="preserve"> </w:t>
      </w:r>
      <w:r>
        <w:t xml:space="preserve">[M.R.B.AR; conjunto de datos]. https://data.bis.org/topics/EER</w:t>
      </w:r>
    </w:p>
    <w:p>
      <w:pPr>
        <w:numPr>
          <w:ilvl w:val="0"/>
          <w:numId w:val="1008"/>
        </w:numPr>
        <w:pStyle w:val="Compact"/>
      </w:pPr>
      <w:r>
        <w:t xml:space="preserve">Blanchard, O. (1990).</w:t>
      </w:r>
      <w:r>
        <w:t xml:space="preserve"> </w:t>
      </w:r>
      <w:r>
        <w:rPr>
          <w:iCs/>
          <w:i/>
        </w:rPr>
        <w:t xml:space="preserve">Suggestions for a new set of fiscal indicators</w:t>
      </w:r>
      <w:r>
        <w:t xml:space="preserve"> </w:t>
      </w:r>
      <w:r>
        <w:t xml:space="preserve">(OECD Economics Department Working Papers No. 79). OECD Publishing.</w:t>
      </w:r>
    </w:p>
    <w:p>
      <w:pPr>
        <w:numPr>
          <w:ilvl w:val="0"/>
          <w:numId w:val="1008"/>
        </w:numPr>
        <w:pStyle w:val="Compact"/>
      </w:pPr>
      <w:r>
        <w:t xml:space="preserve">Blanchard, O. (2019). Public debt and low interest rates.</w:t>
      </w:r>
      <w:r>
        <w:t xml:space="preserve"> </w:t>
      </w:r>
      <w:r>
        <w:rPr>
          <w:iCs/>
          <w:i/>
        </w:rPr>
        <w:t xml:space="preserve">American Economic Review</w:t>
      </w:r>
      <w:r>
        <w:t xml:space="preserve">,</w:t>
      </w:r>
      <w:r>
        <w:t xml:space="preserve"> </w:t>
      </w:r>
      <w:r>
        <w:rPr>
          <w:iCs/>
          <w:i/>
        </w:rPr>
        <w:t xml:space="preserve">109</w:t>
      </w:r>
      <w:r>
        <w:t xml:space="preserve">(4), 1197-1229. https://doi.org/10.1257/aer.109.4.1197</w:t>
      </w:r>
    </w:p>
    <w:p>
      <w:pPr>
        <w:numPr>
          <w:ilvl w:val="0"/>
          <w:numId w:val="1008"/>
        </w:numPr>
        <w:pStyle w:val="Compac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numPr>
          <w:ilvl w:val="0"/>
          <w:numId w:val="1008"/>
        </w:numPr>
        <w:pStyle w:val="Compact"/>
      </w:pPr>
      <w:r>
        <w:t xml:space="preserve">Board of Governors of the Federal Reserve System (US). (s. f.).</w:t>
      </w:r>
      <w:r>
        <w:t xml:space="preserve"> </w:t>
      </w:r>
      <w:r>
        <w:rPr>
          <w:iCs/>
          <w:i/>
        </w:rPr>
        <w:t xml:space="preserve">Federal funds effective rate</w:t>
      </w:r>
      <w:r>
        <w:t xml:space="preserve"> </w:t>
      </w:r>
      <w:r>
        <w:t xml:space="preserve">[FEDFUNDS; conjunto de datos]. Federal Reserve Bank of St. Louis, FRED. https://fred.stlouisfed.org/series/FEDFUNDS</w:t>
      </w:r>
    </w:p>
    <w:p>
      <w:pPr>
        <w:numPr>
          <w:ilvl w:val="0"/>
          <w:numId w:val="1008"/>
        </w:numPr>
        <w:pStyle w:val="Compac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numPr>
          <w:ilvl w:val="0"/>
          <w:numId w:val="1008"/>
        </w:numPr>
        <w:pStyle w:val="Compact"/>
      </w:pPr>
      <w:r>
        <w:t xml:space="preserve">Bohn, H. (2005).</w:t>
      </w:r>
      <w:r>
        <w:t xml:space="preserve"> </w:t>
      </w:r>
      <w:r>
        <w:rPr>
          <w:iCs/>
          <w:i/>
        </w:rPr>
        <w:t xml:space="preserve">The sustainability of fiscal policy in the United States</w:t>
      </w:r>
      <w:r>
        <w:t xml:space="preserve"> </w:t>
      </w:r>
      <w:r>
        <w:t xml:space="preserve">(CESifo Working Paper No. 1446). CESifo.</w:t>
      </w:r>
    </w:p>
    <w:p>
      <w:pPr>
        <w:numPr>
          <w:ilvl w:val="0"/>
          <w:numId w:val="1008"/>
        </w:numPr>
        <w:pStyle w:val="Compact"/>
      </w:pPr>
      <w:r>
        <w:t xml:space="preserve">Bohn, H. (2007). Are stationarity and cointegration restrictions really necessary for the intertemporal budget constraint?</w:t>
      </w:r>
      <w:r>
        <w:t xml:space="preserve"> </w:t>
      </w:r>
      <w:r>
        <w:rPr>
          <w:iCs/>
          <w:i/>
        </w:rPr>
        <w:t xml:space="preserve">Journal of Monetary Economics</w:t>
      </w:r>
      <w:r>
        <w:t xml:space="preserve">,</w:t>
      </w:r>
      <w:r>
        <w:t xml:space="preserve"> </w:t>
      </w:r>
      <w:r>
        <w:rPr>
          <w:iCs/>
          <w:i/>
        </w:rPr>
        <w:t xml:space="preserve">54</w:t>
      </w:r>
      <w:r>
        <w:t xml:space="preserve">(7), 1837-1847. https://doi.org/10.1016/j.jmoneco.2006.12.012</w:t>
      </w:r>
    </w:p>
    <w:p>
      <w:pPr>
        <w:numPr>
          <w:ilvl w:val="0"/>
          <w:numId w:val="1008"/>
        </w:numPr>
        <w:pStyle w:val="Compact"/>
      </w:pPr>
      <w:r>
        <w:t xml:space="preserve">Bohoslavsky, J. P., y Cantamutto, F. J. (2024). Deuda pública y desarrollo (no)sustentable en Argentina. Una visión crítica sobre la especialización productiva.</w:t>
      </w:r>
      <w:r>
        <w:t xml:space="preserve"> </w:t>
      </w:r>
      <w:r>
        <w:rPr>
          <w:iCs/>
          <w:i/>
        </w:rPr>
        <w:t xml:space="preserve">FACES</w:t>
      </w:r>
      <w:r>
        <w:t xml:space="preserve">,</w:t>
      </w:r>
      <w:r>
        <w:t xml:space="preserve"> </w:t>
      </w:r>
      <w:r>
        <w:rPr>
          <w:iCs/>
          <w:i/>
        </w:rPr>
        <w:t xml:space="preserve">30</w:t>
      </w:r>
      <w:r>
        <w:t xml:space="preserve">(62), 1-18. https://nulan.mdp.edu.ar/id/eprint/4109/1/FACES-30-62-bohoslavsky-cantamutto.pdf</w:t>
      </w:r>
    </w:p>
    <w:p>
      <w:pPr>
        <w:numPr>
          <w:ilvl w:val="0"/>
          <w:numId w:val="1008"/>
        </w:numPr>
        <w:pStyle w:val="Compact"/>
      </w:pPr>
      <w:r>
        <w:t xml:space="preserve">Bouabdallah, O., Checherita-Westphal, C., Warmedinger, T., de Stefani, R., Drudi, F., Setzer, R., y Westphal, A. (2017).</w:t>
      </w:r>
      <w:r>
        <w:t xml:space="preserve"> </w:t>
      </w:r>
      <w:r>
        <w:rPr>
          <w:iCs/>
          <w:i/>
        </w:rPr>
        <w:t xml:space="preserve">Debt sustainability analysis for euro area sovereigns: A methodological framework</w:t>
      </w:r>
      <w:r>
        <w:t xml:space="preserve"> </w:t>
      </w:r>
      <w:r>
        <w:t xml:space="preserve">(ECB Occasional Paper No. 185). Banco Central Europeo. https://ecb.europa.eu/pub/pdf/scpops/ecbop185.bg.pdf</w:t>
      </w:r>
    </w:p>
    <w:p>
      <w:pPr>
        <w:numPr>
          <w:ilvl w:val="0"/>
          <w:numId w:val="1008"/>
        </w:numPr>
        <w:pStyle w:val="Compact"/>
      </w:pPr>
      <w:r>
        <w:t xml:space="preserve">Braun, O., y Joy, L. (1968). A model of economic stagnation: A case study of the Argentine economy.</w:t>
      </w:r>
      <w:r>
        <w:t xml:space="preserve"> </w:t>
      </w:r>
      <w:r>
        <w:rPr>
          <w:iCs/>
          <w:i/>
        </w:rPr>
        <w:t xml:space="preserve">The Economic Journal</w:t>
      </w:r>
      <w:r>
        <w:t xml:space="preserve">,</w:t>
      </w:r>
      <w:r>
        <w:t xml:space="preserve"> </w:t>
      </w:r>
      <w:r>
        <w:rPr>
          <w:iCs/>
          <w:i/>
        </w:rPr>
        <w:t xml:space="preserve">78</w:t>
      </w:r>
      <w:r>
        <w:t xml:space="preserve">(312), 868-887. https://doi.org/10.2307/2229183</w:t>
      </w:r>
    </w:p>
    <w:p>
      <w:pPr>
        <w:numPr>
          <w:ilvl w:val="0"/>
          <w:numId w:val="1008"/>
        </w:numPr>
        <w:pStyle w:val="Compac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numPr>
          <w:ilvl w:val="0"/>
          <w:numId w:val="1008"/>
        </w:numPr>
        <w:pStyle w:val="Compac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numPr>
          <w:ilvl w:val="0"/>
          <w:numId w:val="1008"/>
        </w:numPr>
        <w:pStyle w:val="Compact"/>
      </w:pPr>
      <w:r>
        <w:t xml:space="preserve">Canova, F. (2005). The transmission of US shocks to Latin America.</w:t>
      </w:r>
      <w:r>
        <w:t xml:space="preserve"> </w:t>
      </w:r>
      <w:r>
        <w:rPr>
          <w:iCs/>
          <w:i/>
        </w:rPr>
        <w:t xml:space="preserve">Journal of Applied Econometrics</w:t>
      </w:r>
      <w:r>
        <w:t xml:space="preserve">,</w:t>
      </w:r>
      <w:r>
        <w:t xml:space="preserve"> </w:t>
      </w:r>
      <w:r>
        <w:rPr>
          <w:iCs/>
          <w:i/>
        </w:rPr>
        <w:t xml:space="preserve">20</w:t>
      </w:r>
      <w:r>
        <w:t xml:space="preserve">(2), 229-251. https://doi.org/10.1002/jae.837</w:t>
      </w:r>
    </w:p>
    <w:p>
      <w:pPr>
        <w:numPr>
          <w:ilvl w:val="0"/>
          <w:numId w:val="1008"/>
        </w:numPr>
        <w:pStyle w:val="Compact"/>
      </w:pPr>
      <w:r>
        <w:t xml:space="preserve">Cantamutto, F. J., y Féliz, M. (2021). Argentina entre la sostenibilidad de la deuda y la vida.</w:t>
      </w:r>
      <w:r>
        <w:t xml:space="preserve"> </w:t>
      </w:r>
      <w:r>
        <w:rPr>
          <w:iCs/>
          <w:i/>
        </w:rPr>
        <w:t xml:space="preserve">Revista Nuestramérica</w:t>
      </w:r>
      <w:r>
        <w:t xml:space="preserve">,</w:t>
      </w:r>
      <w:r>
        <w:t xml:space="preserve"> </w:t>
      </w:r>
      <w:r>
        <w:rPr>
          <w:iCs/>
          <w:i/>
        </w:rPr>
        <w:t xml:space="preserve">9</w:t>
      </w:r>
      <w:r>
        <w:t xml:space="preserve">(17), e6167845.</w:t>
      </w:r>
    </w:p>
    <w:p>
      <w:pPr>
        <w:numPr>
          <w:ilvl w:val="0"/>
          <w:numId w:val="1008"/>
        </w:numPr>
        <w:pStyle w:val="Compact"/>
      </w:pPr>
      <w:r>
        <w:t xml:space="preserve">Cantamutto, F. J., Lobato, J., Rodríguez-Enríquez, C., y Féliz, M. (2024). Sustentabilidad de la deuda y derechos humanos desde la perspectiva de la sostenibilidad de la vida. En J. P. Bohoslavsky y M. L. Clérico (Eds.),</w:t>
      </w:r>
      <w:r>
        <w:t xml:space="preserve"> </w:t>
      </w:r>
      <w:r>
        <w:rPr>
          <w:iCs/>
          <w:i/>
        </w:rPr>
        <w:t xml:space="preserve">Deuda y derechos humanos: Claves desde el sistema interamericano</w:t>
      </w:r>
      <w:r>
        <w:t xml:space="preserve"> </w:t>
      </w:r>
      <w:r>
        <w:t xml:space="preserve">(pp. 170-195). EDULP.</w:t>
      </w:r>
    </w:p>
    <w:p>
      <w:pPr>
        <w:numPr>
          <w:ilvl w:val="0"/>
          <w:numId w:val="1008"/>
        </w:numPr>
        <w:pStyle w:val="Compac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numPr>
          <w:ilvl w:val="0"/>
          <w:numId w:val="1008"/>
        </w:numPr>
        <w:pStyle w:val="Compact"/>
      </w:pPr>
      <w:r>
        <w:t xml:space="preserve">Cetrángolo, O., Damill, M., Frenkel, R., y Jiménez, J. P. (1997).</w:t>
      </w:r>
      <w:r>
        <w:t xml:space="preserve"> </w:t>
      </w:r>
      <w:r>
        <w:rPr>
          <w:iCs/>
          <w:i/>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numPr>
          <w:ilvl w:val="0"/>
          <w:numId w:val="1008"/>
        </w:numPr>
        <w:pStyle w:val="Compact"/>
      </w:pPr>
      <w:r>
        <w:t xml:space="preserve">Christiano, L. J., Eichenbaum, M., y Evans, C. L. (1999). Monetary policy shocks: What have we learned and to what end? En J. B. Taylor y M. Woodford (Eds.),</w:t>
      </w:r>
      <w:r>
        <w:t xml:space="preserve"> </w:t>
      </w:r>
      <w:r>
        <w:rPr>
          <w:iCs/>
          <w:i/>
        </w:rPr>
        <w:t xml:space="preserve">Handbook of Macroeconomics</w:t>
      </w:r>
      <w:r>
        <w:t xml:space="preserve"> </w:t>
      </w:r>
      <w:r>
        <w:t xml:space="preserve">(Vol. 1A, pp. 65-148). Elsevier.</w:t>
      </w:r>
    </w:p>
    <w:p>
      <w:pPr>
        <w:numPr>
          <w:ilvl w:val="0"/>
          <w:numId w:val="1008"/>
        </w:numPr>
        <w:pStyle w:val="Compact"/>
      </w:pPr>
      <w:r>
        <w:t xml:space="preserve">Comín Comín, F. (2014).</w:t>
      </w:r>
      <w:r>
        <w:t xml:space="preserve"> </w:t>
      </w:r>
      <w:r>
        <w:rPr>
          <w:iCs/>
          <w:i/>
        </w:rPr>
        <w:t xml:space="preserve">Historia económica mundial: De los orígenes a la actualidad</w:t>
      </w:r>
      <w:r>
        <w:t xml:space="preserve">. Alianza Editorial.</w:t>
      </w:r>
    </w:p>
    <w:p>
      <w:pPr>
        <w:numPr>
          <w:ilvl w:val="0"/>
          <w:numId w:val="1008"/>
        </w:numPr>
        <w:pStyle w:val="Compact"/>
      </w:pPr>
      <w:r>
        <w:t xml:space="preserve">Cushman, D. O., y Zha, T. (1997). Identifying monetary policy in a small open economy under flexible exchange rates.</w:t>
      </w:r>
      <w:r>
        <w:t xml:space="preserve"> </w:t>
      </w:r>
      <w:r>
        <w:rPr>
          <w:iCs/>
          <w:i/>
        </w:rPr>
        <w:t xml:space="preserve">Journal of Monetary Economics</w:t>
      </w:r>
      <w:r>
        <w:t xml:space="preserve">,</w:t>
      </w:r>
      <w:r>
        <w:t xml:space="preserve"> </w:t>
      </w:r>
      <w:r>
        <w:rPr>
          <w:iCs/>
          <w:i/>
        </w:rPr>
        <w:t xml:space="preserve">39</w:t>
      </w:r>
      <w:r>
        <w:t xml:space="preserve">(3), 433-448. https://doi.org/10.1016/S0304-3932(97)00029-9</w:t>
      </w:r>
    </w:p>
    <w:p>
      <w:pPr>
        <w:numPr>
          <w:ilvl w:val="0"/>
          <w:numId w:val="1008"/>
        </w:numPr>
        <w:pStyle w:val="Compact"/>
      </w:pPr>
      <w:r>
        <w:t xml:space="preserve">Damill, M., Frenkel, R., y Rapetti, M. (2015). Macroeconomic policy in Argentina during 2002-2013.</w:t>
      </w:r>
      <w:r>
        <w:t xml:space="preserve"> </w:t>
      </w:r>
      <w:r>
        <w:rPr>
          <w:iCs/>
          <w:i/>
        </w:rPr>
        <w:t xml:space="preserve">Comparative Economic Studies</w:t>
      </w:r>
      <w:r>
        <w:t xml:space="preserve">,</w:t>
      </w:r>
      <w:r>
        <w:t xml:space="preserve"> </w:t>
      </w:r>
      <w:r>
        <w:rPr>
          <w:iCs/>
          <w:i/>
        </w:rPr>
        <w:t xml:space="preserve">57</w:t>
      </w:r>
      <w:r>
        <w:t xml:space="preserve">(3), 369-400. https://doi.org/10.1057/ces.2015.3</w:t>
      </w:r>
    </w:p>
    <w:p>
      <w:pPr>
        <w:numPr>
          <w:ilvl w:val="0"/>
          <w:numId w:val="1008"/>
        </w:numPr>
        <w:pStyle w:val="Compact"/>
      </w:pPr>
      <w:r>
        <w:t xml:space="preserve">della Paolera, G., y Taylor, A. M. (2001).</w:t>
      </w:r>
      <w:r>
        <w:t xml:space="preserve"> </w:t>
      </w:r>
      <w:r>
        <w:rPr>
          <w:iCs/>
          <w:i/>
        </w:rPr>
        <w:t xml:space="preserve">Straining at the anchor: The Argentine currency board and the search for macroeconomic stability, 1880-1935</w:t>
      </w:r>
      <w:r>
        <w:t xml:space="preserve">. University of Chicago Press.</w:t>
      </w:r>
    </w:p>
    <w:p>
      <w:pPr>
        <w:numPr>
          <w:ilvl w:val="0"/>
          <w:numId w:val="1008"/>
        </w:numPr>
        <w:pStyle w:val="Compact"/>
      </w:pPr>
      <w:r>
        <w:t xml:space="preserve">Diamand, M. (1972). La estructura productiva desequilibrada argentina y el tipo de cambio.</w:t>
      </w:r>
      <w:r>
        <w:t xml:space="preserve"> </w:t>
      </w:r>
      <w:r>
        <w:rPr>
          <w:iCs/>
          <w:i/>
        </w:rPr>
        <w:t xml:space="preserve">Desarrollo Económico</w:t>
      </w:r>
      <w:r>
        <w:t xml:space="preserve">,</w:t>
      </w:r>
      <w:r>
        <w:t xml:space="preserve"> </w:t>
      </w:r>
      <w:r>
        <w:rPr>
          <w:iCs/>
          <w:i/>
        </w:rPr>
        <w:t xml:space="preserve">12</w:t>
      </w:r>
      <w:r>
        <w:t xml:space="preserve">(45), 25-47. https://doi.org/10.2307/3465991</w:t>
      </w:r>
    </w:p>
    <w:p>
      <w:pPr>
        <w:numPr>
          <w:ilvl w:val="0"/>
          <w:numId w:val="1008"/>
        </w:numPr>
        <w:pStyle w:val="Compact"/>
      </w:pPr>
      <w:r>
        <w:t xml:space="preserve">Díaz Alejandro, C. F. (1970).</w:t>
      </w:r>
      <w:r>
        <w:t xml:space="preserve"> </w:t>
      </w:r>
      <w:r>
        <w:rPr>
          <w:iCs/>
          <w:i/>
        </w:rPr>
        <w:t xml:space="preserve">Essays on the economic history of the Argentine Republic</w:t>
      </w:r>
      <w:r>
        <w:t xml:space="preserve">. Yale University Press.</w:t>
      </w:r>
    </w:p>
    <w:p>
      <w:pPr>
        <w:numPr>
          <w:ilvl w:val="0"/>
          <w:numId w:val="1008"/>
        </w:numPr>
        <w:pStyle w:val="Compact"/>
      </w:pPr>
      <w:r>
        <w:t xml:space="preserve">Dickey, D. A., y Fuller, W. A. (1979). Distribution of the estimators for autoregressive time series with a unit root.</w:t>
      </w:r>
      <w:r>
        <w:t xml:space="preserve"> </w:t>
      </w:r>
      <w:r>
        <w:rPr>
          <w:iCs/>
          <w:i/>
        </w:rPr>
        <w:t xml:space="preserve">Journal of the American Statistical Association</w:t>
      </w:r>
      <w:r>
        <w:t xml:space="preserve">,</w:t>
      </w:r>
      <w:r>
        <w:t xml:space="preserve"> </w:t>
      </w:r>
      <w:r>
        <w:rPr>
          <w:iCs/>
          <w:i/>
        </w:rPr>
        <w:t xml:space="preserve">74</w:t>
      </w:r>
      <w:r>
        <w:t xml:space="preserve">(366), 427-431. https://doi.org/10.2307/2286348</w:t>
      </w:r>
    </w:p>
    <w:p>
      <w:pPr>
        <w:numPr>
          <w:ilvl w:val="0"/>
          <w:numId w:val="1008"/>
        </w:numPr>
        <w:pStyle w:val="Compact"/>
      </w:pPr>
      <w:r>
        <w:t xml:space="preserve">Eichengreen, B., Hausmann, R., y Panizza, U. (2003).</w:t>
      </w:r>
      <w:r>
        <w:t xml:space="preserve"> </w:t>
      </w:r>
      <w:r>
        <w:rPr>
          <w:iCs/>
          <w:i/>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numPr>
          <w:ilvl w:val="0"/>
          <w:numId w:val="1008"/>
        </w:numPr>
        <w:pStyle w:val="Compact"/>
      </w:pPr>
      <w:r>
        <w:t xml:space="preserve">Engle, R. F. (1982). Autoregressive conditional heteroscedasticity with estimates of the variance of United Kingdom inflation.</w:t>
      </w:r>
      <w:r>
        <w:t xml:space="preserve"> </w:t>
      </w:r>
      <w:r>
        <w:rPr>
          <w:iCs/>
          <w:i/>
        </w:rPr>
        <w:t xml:space="preserve">Econometrica</w:t>
      </w:r>
      <w:r>
        <w:t xml:space="preserve">,</w:t>
      </w:r>
      <w:r>
        <w:t xml:space="preserve"> </w:t>
      </w:r>
      <w:r>
        <w:rPr>
          <w:iCs/>
          <w:i/>
        </w:rPr>
        <w:t xml:space="preserve">50</w:t>
      </w:r>
      <w:r>
        <w:t xml:space="preserve">(4), 987-1007. https://doi.org/10.2307/1912773</w:t>
      </w:r>
    </w:p>
    <w:p>
      <w:pPr>
        <w:numPr>
          <w:ilvl w:val="0"/>
          <w:numId w:val="1008"/>
        </w:numPr>
        <w:pStyle w:val="Compact"/>
      </w:pPr>
      <w:r>
        <w:t xml:space="preserve">Everaert, G., y Jansen, S. (2018). On the estimation of panel fiscal reaction functions: Heterogeneity or fiscal fatigue?</w:t>
      </w:r>
      <w:r>
        <w:t xml:space="preserve"> </w:t>
      </w:r>
      <w:r>
        <w:rPr>
          <w:iCs/>
          <w:i/>
        </w:rPr>
        <w:t xml:space="preserve">Economic Modelling</w:t>
      </w:r>
      <w:r>
        <w:t xml:space="preserve">,</w:t>
      </w:r>
      <w:r>
        <w:t xml:space="preserve"> </w:t>
      </w:r>
      <w:r>
        <w:rPr>
          <w:iCs/>
          <w:i/>
        </w:rPr>
        <w:t xml:space="preserve">70</w:t>
      </w:r>
      <w:r>
        <w:t xml:space="preserve">, 87-96. https://doi.org/10.1016/j.econmod.2017.10.014</w:t>
      </w:r>
    </w:p>
    <w:p>
      <w:pPr>
        <w:numPr>
          <w:ilvl w:val="0"/>
          <w:numId w:val="1008"/>
        </w:numPr>
        <w:pStyle w:val="Compac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numPr>
          <w:ilvl w:val="0"/>
          <w:numId w:val="1008"/>
        </w:numPr>
        <w:pStyle w:val="Compact"/>
      </w:pPr>
      <w:r>
        <w:t xml:space="preserve">Federal Reserve Bank of Atlanta. (s. f.).</w:t>
      </w:r>
      <w:r>
        <w:t xml:space="preserve"> </w:t>
      </w:r>
      <w:r>
        <w:rPr>
          <w:iCs/>
          <w:i/>
        </w:rPr>
        <w:t xml:space="preserve">Wu-Xia shadow federal funds rate</w:t>
      </w:r>
      <w:r>
        <w:t xml:space="preserve"> </w:t>
      </w:r>
      <w:r>
        <w:t xml:space="preserve">[Conjunto de datos]. https://www.atlantafed.org/cqer/research/wu-xia-shadow-federal-funds-rate</w:t>
      </w:r>
    </w:p>
    <w:p>
      <w:pPr>
        <w:numPr>
          <w:ilvl w:val="0"/>
          <w:numId w:val="1008"/>
        </w:numPr>
        <w:pStyle w:val="Compac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numPr>
          <w:ilvl w:val="0"/>
          <w:numId w:val="1008"/>
        </w:numPr>
        <w:pStyle w:val="Compac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numPr>
          <w:ilvl w:val="0"/>
          <w:numId w:val="1008"/>
        </w:numPr>
        <w:pStyle w:val="Compact"/>
      </w:pPr>
      <w:r>
        <w:t xml:space="preserve">Fondo Monetario Internacional [FMI]. (2024).</w:t>
      </w:r>
      <w:r>
        <w:t xml:space="preserve"> </w:t>
      </w:r>
      <w:r>
        <w:rPr>
          <w:iCs/>
          <w:i/>
        </w:rPr>
        <w:t xml:space="preserve">Argentina: Eighth review under the extended arrangement under the Extended Fund Facility</w:t>
      </w:r>
      <w:r>
        <w:t xml:space="preserve"> </w:t>
      </w:r>
      <w:r>
        <w:t xml:space="preserve">(IMF Country Report No. 24/167).</w:t>
      </w:r>
    </w:p>
    <w:p>
      <w:pPr>
        <w:numPr>
          <w:ilvl w:val="0"/>
          <w:numId w:val="1008"/>
        </w:numPr>
        <w:pStyle w:val="Compac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numPr>
          <w:ilvl w:val="0"/>
          <w:numId w:val="1008"/>
        </w:numPr>
        <w:pStyle w:val="Compac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numPr>
          <w:ilvl w:val="0"/>
          <w:numId w:val="1008"/>
        </w:numPr>
        <w:pStyle w:val="Compact"/>
      </w:pPr>
      <w:r>
        <w:t xml:space="preserve">Fondo Monetario Internacional [FMI] y Mecanismo Europeo de Estabilidad [ESM]. (2023).</w:t>
      </w:r>
      <w:r>
        <w:t xml:space="preserve"> </w:t>
      </w:r>
      <w:r>
        <w:rPr>
          <w:iCs/>
          <w:i/>
        </w:rPr>
        <w:t xml:space="preserve">The stochastic debt fanchart in the IMF’s Sovereign Risk and Debt Sustainability Framework for MACs</w:t>
      </w:r>
      <w:r>
        <w:t xml:space="preserve"> </w:t>
      </w:r>
      <w:r>
        <w:t xml:space="preserve">[Presentación, 30 de noviembre de 2023].</w:t>
      </w:r>
    </w:p>
    <w:p>
      <w:pPr>
        <w:numPr>
          <w:ilvl w:val="0"/>
          <w:numId w:val="1008"/>
        </w:numPr>
        <w:pStyle w:val="Compac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numPr>
          <w:ilvl w:val="0"/>
          <w:numId w:val="1008"/>
        </w:numPr>
        <w:pStyle w:val="Compact"/>
      </w:pPr>
      <w:r>
        <w:t xml:space="preserve">Girouard, N., y André, C. (2005).</w:t>
      </w:r>
      <w:r>
        <w:t xml:space="preserve"> </w:t>
      </w:r>
      <w:r>
        <w:rPr>
          <w:iCs/>
          <w:i/>
        </w:rPr>
        <w:t xml:space="preserve">Measuring cyclically-adjusted budget balances for OECD countries</w:t>
      </w:r>
      <w:r>
        <w:t xml:space="preserve"> </w:t>
      </w:r>
      <w:r>
        <w:t xml:space="preserve">(OECD Economics Department Working Papers No. 434). OECD Publishing.</w:t>
      </w:r>
    </w:p>
    <w:p>
      <w:pPr>
        <w:numPr>
          <w:ilvl w:val="0"/>
          <w:numId w:val="1008"/>
        </w:numPr>
        <w:pStyle w:val="Compact"/>
      </w:pPr>
      <w:r>
        <w:t xml:space="preserve">González, M. J., y Hernández, J. M. (2023).</w:t>
      </w:r>
      <w:r>
        <w:t xml:space="preserve"> </w:t>
      </w:r>
      <w:r>
        <w:rPr>
          <w:iCs/>
          <w:i/>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numPr>
          <w:ilvl w:val="0"/>
          <w:numId w:val="1008"/>
        </w:numPr>
        <w:pStyle w:val="Compact"/>
      </w:pPr>
      <w:r>
        <w:t xml:space="preserve">Hakkio, C. S., y Rush, M. (1991). Is the budget deficit</w:t>
      </w:r>
      <w:r>
        <w:t xml:space="preserve"> </w:t>
      </w:r>
      <w:r>
        <w:t xml:space="preserve">“</w:t>
      </w:r>
      <w:r>
        <w:t xml:space="preserve">too large?</w:t>
      </w:r>
      <w:r>
        <w:t xml:space="preserve">”</w:t>
      </w:r>
      <w:r>
        <w:t xml:space="preserve"> </w:t>
      </w:r>
      <w:r>
        <w:rPr>
          <w:iCs/>
          <w:i/>
        </w:rPr>
        <w:t xml:space="preserve">Economic Inquiry</w:t>
      </w:r>
      <w:r>
        <w:t xml:space="preserve">,</w:t>
      </w:r>
      <w:r>
        <w:t xml:space="preserve"> </w:t>
      </w:r>
      <w:r>
        <w:rPr>
          <w:iCs/>
          <w:i/>
        </w:rPr>
        <w:t xml:space="preserve">29</w:t>
      </w:r>
      <w:r>
        <w:t xml:space="preserve">(3), 429-445. https://doi.org/10.1111/j.1465-7295.1991.tb00837.x</w:t>
      </w:r>
    </w:p>
    <w:p>
      <w:pPr>
        <w:numPr>
          <w:ilvl w:val="0"/>
          <w:numId w:val="1008"/>
        </w:numPr>
        <w:pStyle w:val="Compact"/>
      </w:pPr>
      <w:r>
        <w:t xml:space="preserve">Hall, P. (1992).</w:t>
      </w:r>
      <w:r>
        <w:t xml:space="preserve"> </w:t>
      </w:r>
      <w:r>
        <w:rPr>
          <w:iCs/>
          <w:i/>
        </w:rPr>
        <w:t xml:space="preserve">The bootstrap and Edgeworth expansion</w:t>
      </w:r>
      <w:r>
        <w:t xml:space="preserve">. Springer. https://doi.org/10.1007/978-1-4612-4384-7</w:t>
      </w:r>
    </w:p>
    <w:p>
      <w:pPr>
        <w:numPr>
          <w:ilvl w:val="0"/>
          <w:numId w:val="1008"/>
        </w:numPr>
        <w:pStyle w:val="Compact"/>
      </w:pPr>
      <w:r>
        <w:t xml:space="preserve">Hébert, B., y Schreger, J. (2017). The costs of sovereign default: Evidence from Argentina.</w:t>
      </w:r>
      <w:r>
        <w:t xml:space="preserve"> </w:t>
      </w:r>
      <w:r>
        <w:rPr>
          <w:iCs/>
          <w:i/>
        </w:rPr>
        <w:t xml:space="preserve">American Economic Review</w:t>
      </w:r>
      <w:r>
        <w:t xml:space="preserve">,</w:t>
      </w:r>
      <w:r>
        <w:t xml:space="preserve"> </w:t>
      </w:r>
      <w:r>
        <w:rPr>
          <w:iCs/>
          <w:i/>
        </w:rPr>
        <w:t xml:space="preserve">107</w:t>
      </w:r>
      <w:r>
        <w:t xml:space="preserve">(10), 3119-3145. https://doi.org/10.1257/aer.20151667</w:t>
      </w:r>
    </w:p>
    <w:p>
      <w:pPr>
        <w:numPr>
          <w:ilvl w:val="0"/>
          <w:numId w:val="1008"/>
        </w:numPr>
        <w:pStyle w:val="Compact"/>
      </w:pPr>
      <w:r>
        <w:t xml:space="preserve">Hobijn, B., Franses, P. H., y Ooms, M. (2004). Generalizations of the KPSS-test for stationarity.</w:t>
      </w:r>
      <w:r>
        <w:t xml:space="preserve"> </w:t>
      </w:r>
      <w:r>
        <w:rPr>
          <w:iCs/>
          <w:i/>
        </w:rPr>
        <w:t xml:space="preserve">Statistica Neerlandica</w:t>
      </w:r>
      <w:r>
        <w:t xml:space="preserve">,</w:t>
      </w:r>
      <w:r>
        <w:t xml:space="preserve"> </w:t>
      </w:r>
      <w:r>
        <w:rPr>
          <w:iCs/>
          <w:i/>
        </w:rPr>
        <w:t xml:space="preserve">58</w:t>
      </w:r>
      <w:r>
        <w:t xml:space="preserve">(4), 483-502. https://doi.org/10.1111/j.1467-9574.2004.00272.x</w:t>
      </w:r>
    </w:p>
    <w:p>
      <w:pPr>
        <w:numPr>
          <w:ilvl w:val="0"/>
          <w:numId w:val="1008"/>
        </w:numPr>
        <w:pStyle w:val="Compact"/>
      </w:pPr>
      <w:r>
        <w:t xml:space="preserve">Hodrick, R. J., y Prescott, E. C. (1997). Postwar U.S. business cycles: An empirical investigation.</w:t>
      </w:r>
      <w:r>
        <w:t xml:space="preserve"> </w:t>
      </w:r>
      <w:r>
        <w:rPr>
          <w:iCs/>
          <w:i/>
        </w:rPr>
        <w:t xml:space="preserve">Journal of Money, Credit and Banking</w:t>
      </w:r>
      <w:r>
        <w:t xml:space="preserve">,</w:t>
      </w:r>
      <w:r>
        <w:t xml:space="preserve"> </w:t>
      </w:r>
      <w:r>
        <w:rPr>
          <w:iCs/>
          <w:i/>
        </w:rPr>
        <w:t xml:space="preserve">29</w:t>
      </w:r>
      <w:r>
        <w:t xml:space="preserve">(1), 1-16. https://doi.org/10.2307/2953682</w:t>
      </w:r>
    </w:p>
    <w:p>
      <w:pPr>
        <w:numPr>
          <w:ilvl w:val="0"/>
          <w:numId w:val="1008"/>
        </w:numPr>
        <w:pStyle w:val="Compact"/>
      </w:pPr>
      <w:r>
        <w:t xml:space="preserve">Hosking, J. R. M. (1980). The multivariate portmanteau statistic.</w:t>
      </w:r>
      <w:r>
        <w:t xml:space="preserve"> </w:t>
      </w:r>
      <w:r>
        <w:rPr>
          <w:iCs/>
          <w:i/>
        </w:rPr>
        <w:t xml:space="preserve">Journal of the American Statistical Association</w:t>
      </w:r>
      <w:r>
        <w:t xml:space="preserve">,</w:t>
      </w:r>
      <w:r>
        <w:t xml:space="preserve"> </w:t>
      </w:r>
      <w:r>
        <w:rPr>
          <w:iCs/>
          <w:i/>
        </w:rPr>
        <w:t xml:space="preserve">75</w:t>
      </w:r>
      <w:r>
        <w:t xml:space="preserve">(371), 602-608. https://doi.org/10.1080/01621459.1980.10477520</w:t>
      </w:r>
    </w:p>
    <w:p>
      <w:pPr>
        <w:numPr>
          <w:ilvl w:val="0"/>
          <w:numId w:val="1008"/>
        </w:numPr>
        <w:pStyle w:val="Compact"/>
      </w:pPr>
      <w:r>
        <w:t xml:space="preserve">Infobae. (2026, 23 de septiembre).</w:t>
      </w:r>
      <w:r>
        <w:t xml:space="preserve"> </w:t>
      </w:r>
      <w:r>
        <w:rPr>
          <w:iCs/>
          <w:i/>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numPr>
          <w:ilvl w:val="0"/>
          <w:numId w:val="1008"/>
        </w:numPr>
        <w:pStyle w:val="Compac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numPr>
          <w:ilvl w:val="0"/>
          <w:numId w:val="1008"/>
        </w:numPr>
        <w:pStyle w:val="Compact"/>
      </w:pPr>
      <w:r>
        <w:t xml:space="preserve">Jarque, C. M., y Bera, A. K. (1987). A test for normality of observations and regression residuals.</w:t>
      </w:r>
      <w:r>
        <w:t xml:space="preserve"> </w:t>
      </w:r>
      <w:r>
        <w:rPr>
          <w:iCs/>
          <w:i/>
        </w:rPr>
        <w:t xml:space="preserve">International Statistical Review</w:t>
      </w:r>
      <w:r>
        <w:t xml:space="preserve">,</w:t>
      </w:r>
      <w:r>
        <w:t xml:space="preserve"> </w:t>
      </w:r>
      <w:r>
        <w:rPr>
          <w:iCs/>
          <w:i/>
        </w:rPr>
        <w:t xml:space="preserve">55</w:t>
      </w:r>
      <w:r>
        <w:t xml:space="preserve">(2), 163-172. https://doi.org/10.2307/1403192</w:t>
      </w:r>
    </w:p>
    <w:p>
      <w:pPr>
        <w:numPr>
          <w:ilvl w:val="0"/>
          <w:numId w:val="1008"/>
        </w:numPr>
        <w:pStyle w:val="Compact"/>
      </w:pPr>
      <w:r>
        <w:t xml:space="preserve">Johansen, S. (1991). Estimation and hypothesis testing of cointegration vectors in Gaussian vector autoregressive models.</w:t>
      </w:r>
      <w:r>
        <w:t xml:space="preserve"> </w:t>
      </w:r>
      <w:r>
        <w:rPr>
          <w:iCs/>
          <w:i/>
        </w:rPr>
        <w:t xml:space="preserve">Econometrica</w:t>
      </w:r>
      <w:r>
        <w:t xml:space="preserve">,</w:t>
      </w:r>
      <w:r>
        <w:t xml:space="preserve"> </w:t>
      </w:r>
      <w:r>
        <w:rPr>
          <w:iCs/>
          <w:i/>
        </w:rPr>
        <w:t xml:space="preserve">59</w:t>
      </w:r>
      <w:r>
        <w:t xml:space="preserve">(6), 1551-1580. https://doi.org/10.2307/2938278</w:t>
      </w:r>
    </w:p>
    <w:p>
      <w:pPr>
        <w:numPr>
          <w:ilvl w:val="0"/>
          <w:numId w:val="1008"/>
        </w:numPr>
        <w:pStyle w:val="Compact"/>
      </w:pPr>
      <w:r>
        <w:t xml:space="preserve">Johansen, S., Mosconi, R., y Nielsen, B. (2000). Cointegration analysis in the presence of structural breaks in the deterministic trend.</w:t>
      </w:r>
      <w:r>
        <w:t xml:space="preserve"> </w:t>
      </w:r>
      <w:r>
        <w:rPr>
          <w:iCs/>
          <w:i/>
        </w:rPr>
        <w:t xml:space="preserve">The Econometrics Journal</w:t>
      </w:r>
      <w:r>
        <w:t xml:space="preserve">,</w:t>
      </w:r>
      <w:r>
        <w:t xml:space="preserve"> </w:t>
      </w:r>
      <w:r>
        <w:rPr>
          <w:iCs/>
          <w:i/>
        </w:rPr>
        <w:t xml:space="preserve">3</w:t>
      </w:r>
      <w:r>
        <w:t xml:space="preserve">(2), 216-249. https://doi.org/10.1111/1368-423X.00047</w:t>
      </w:r>
    </w:p>
    <w:p>
      <w:pPr>
        <w:numPr>
          <w:ilvl w:val="0"/>
          <w:numId w:val="1008"/>
        </w:numPr>
        <w:pStyle w:val="Compact"/>
      </w:pPr>
      <w:r>
        <w:t xml:space="preserve">Kalemli-Özcan, Ş. (2019).</w:t>
      </w:r>
      <w:r>
        <w:t xml:space="preserve"> </w:t>
      </w:r>
      <w:r>
        <w:rPr>
          <w:iCs/>
          <w:i/>
        </w:rPr>
        <w:t xml:space="preserve">U.S. monetary policy and international risk spillovers</w:t>
      </w:r>
      <w:r>
        <w:t xml:space="preserve"> </w:t>
      </w:r>
      <w:r>
        <w:t xml:space="preserve">(NBER Working Paper No. 26297). National Bureau of Economic Research. https://doi.org/10.3386/w26297</w:t>
      </w:r>
    </w:p>
    <w:p>
      <w:pPr>
        <w:numPr>
          <w:ilvl w:val="0"/>
          <w:numId w:val="1008"/>
        </w:numPr>
        <w:pStyle w:val="Compact"/>
      </w:pPr>
      <w:r>
        <w:t xml:space="preserve">Kaminsky, G., Lizondo, S., y Reinhart, C. M. (1998). Leading indicators of currency crises.</w:t>
      </w:r>
      <w:r>
        <w:t xml:space="preserve"> </w:t>
      </w:r>
      <w:r>
        <w:rPr>
          <w:iCs/>
          <w:i/>
        </w:rPr>
        <w:t xml:space="preserve">IMF Staff Papers</w:t>
      </w:r>
      <w:r>
        <w:t xml:space="preserve">,</w:t>
      </w:r>
      <w:r>
        <w:t xml:space="preserve"> </w:t>
      </w:r>
      <w:r>
        <w:rPr>
          <w:iCs/>
          <w:i/>
        </w:rPr>
        <w:t xml:space="preserve">45</w:t>
      </w:r>
      <w:r>
        <w:t xml:space="preserve">(1), 1-48. https://doi.org/10.2307/3867328</w:t>
      </w:r>
    </w:p>
    <w:p>
      <w:pPr>
        <w:numPr>
          <w:ilvl w:val="0"/>
          <w:numId w:val="1008"/>
        </w:numPr>
        <w:pStyle w:val="Compac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numPr>
          <w:ilvl w:val="0"/>
          <w:numId w:val="1008"/>
        </w:numPr>
        <w:pStyle w:val="Compact"/>
      </w:pPr>
      <w:r>
        <w:t xml:space="preserve">Kwiatkowski, D., Phillips, P. C. B., Schmidt, P., y Shin, Y. (1992). Testing the null hypothesis of stationarity against the alternative of a unit root.</w:t>
      </w:r>
      <w:r>
        <w:t xml:space="preserve"> </w:t>
      </w:r>
      <w:r>
        <w:rPr>
          <w:iCs/>
          <w:i/>
        </w:rPr>
        <w:t xml:space="preserve">Journal of Econometrics</w:t>
      </w:r>
      <w:r>
        <w:t xml:space="preserve">,</w:t>
      </w:r>
      <w:r>
        <w:t xml:space="preserve"> </w:t>
      </w:r>
      <w:r>
        <w:rPr>
          <w:iCs/>
          <w:i/>
        </w:rPr>
        <w:t xml:space="preserve">54</w:t>
      </w:r>
      <w:r>
        <w:t xml:space="preserve">(1-3), 159-178. https://doi.org/10.1016/0304-4076(92)90104-Y</w:t>
      </w:r>
    </w:p>
    <w:p>
      <w:pPr>
        <w:numPr>
          <w:ilvl w:val="0"/>
          <w:numId w:val="1008"/>
        </w:numPr>
        <w:pStyle w:val="Compact"/>
      </w:pPr>
      <w:r>
        <w:t xml:space="preserve">Leeper, E. M. (1991). Equilibria under</w:t>
      </w:r>
      <w:r>
        <w:t xml:space="preserve"> </w:t>
      </w:r>
      <w:r>
        <w:t xml:space="preserve">“</w:t>
      </w:r>
      <w:r>
        <w:t xml:space="preserve">active</w:t>
      </w:r>
      <w:r>
        <w:t xml:space="preserve">”</w:t>
      </w:r>
      <w:r>
        <w:t xml:space="preserve"> </w:t>
      </w:r>
      <w:r>
        <w:t xml:space="preserve">and</w:t>
      </w:r>
      <w:r>
        <w:t xml:space="preserve"> </w:t>
      </w:r>
      <w:r>
        <w:t xml:space="preserve">“</w:t>
      </w:r>
      <w:r>
        <w:t xml:space="preserve">passive</w:t>
      </w:r>
      <w:r>
        <w:t xml:space="preserve">”</w:t>
      </w:r>
      <w:r>
        <w:t xml:space="preserve"> </w:t>
      </w:r>
      <w:r>
        <w:t xml:space="preserve">monetary and fiscal policies.</w:t>
      </w:r>
      <w:r>
        <w:t xml:space="preserve"> </w:t>
      </w:r>
      <w:r>
        <w:rPr>
          <w:iCs/>
          <w:i/>
        </w:rPr>
        <w:t xml:space="preserve">Journal of Monetary Economics</w:t>
      </w:r>
      <w:r>
        <w:t xml:space="preserve">,</w:t>
      </w:r>
      <w:r>
        <w:t xml:space="preserve"> </w:t>
      </w:r>
      <w:r>
        <w:rPr>
          <w:iCs/>
          <w:i/>
        </w:rPr>
        <w:t xml:space="preserve">27</w:t>
      </w:r>
      <w:r>
        <w:t xml:space="preserve">(1), 129-147. https://doi.org/10.1016/0304-3932(91)90007-B</w:t>
      </w:r>
    </w:p>
    <w:p>
      <w:pPr>
        <w:numPr>
          <w:ilvl w:val="0"/>
          <w:numId w:val="1008"/>
        </w:numPr>
        <w:pStyle w:val="Compac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numPr>
          <w:ilvl w:val="0"/>
          <w:numId w:val="1008"/>
        </w:numPr>
        <w:pStyle w:val="Compact"/>
      </w:pPr>
      <w:r>
        <w:t xml:space="preserve">Ley 27.612 de Fortalecimiento de la Sostenibilidad de la Deuda Pública. (2021, 3 de marzo). Boletín Oficial de la República Argentina. https://www.argentina.gob.ar/normativa/nacional/norma-347532/texto</w:t>
      </w:r>
    </w:p>
    <w:p>
      <w:pPr>
        <w:numPr>
          <w:ilvl w:val="0"/>
          <w:numId w:val="1008"/>
        </w:numPr>
        <w:pStyle w:val="Compact"/>
      </w:pPr>
      <w:r>
        <w:t xml:space="preserve">Lütkepohl, H. (2005).</w:t>
      </w:r>
      <w:r>
        <w:t xml:space="preserve"> </w:t>
      </w:r>
      <w:r>
        <w:rPr>
          <w:iCs/>
          <w:i/>
        </w:rPr>
        <w:t xml:space="preserve">New introduction to multiple time series analysis</w:t>
      </w:r>
      <w:r>
        <w:t xml:space="preserve">. Springer.</w:t>
      </w:r>
    </w:p>
    <w:p>
      <w:pPr>
        <w:numPr>
          <w:ilvl w:val="0"/>
          <w:numId w:val="1008"/>
        </w:numPr>
        <w:pStyle w:val="Compac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numPr>
          <w:ilvl w:val="0"/>
          <w:numId w:val="1008"/>
        </w:numPr>
        <w:pStyle w:val="Compact"/>
      </w:pPr>
      <w:r>
        <w:t xml:space="preserve">Mendoza, E. G., y Oviedo, P. M. (2009). Public debt, fiscal solvency and macroeconomic uncertainty in Latin America: The cases of Brazil, Colombia, Costa Rica and Mexico.</w:t>
      </w:r>
      <w:r>
        <w:t xml:space="preserve"> </w:t>
      </w:r>
      <w:r>
        <w:rPr>
          <w:iCs/>
          <w:i/>
        </w:rPr>
        <w:t xml:space="preserve">Economía Mexicana. Nueva Época</w:t>
      </w:r>
      <w:r>
        <w:t xml:space="preserve">,</w:t>
      </w:r>
      <w:r>
        <w:t xml:space="preserve"> </w:t>
      </w:r>
      <w:r>
        <w:rPr>
          <w:iCs/>
          <w:i/>
        </w:rPr>
        <w:t xml:space="preserve">18</w:t>
      </w:r>
      <w:r>
        <w:t xml:space="preserve">(2), 133-177.</w:t>
      </w:r>
    </w:p>
    <w:p>
      <w:pPr>
        <w:numPr>
          <w:ilvl w:val="0"/>
          <w:numId w:val="1008"/>
        </w:numPr>
        <w:pStyle w:val="Compact"/>
      </w:pPr>
      <w:r>
        <w:t xml:space="preserve">Ministerio de Economía de la Nación, Secretaría de Finanzas. (2025).</w:t>
      </w:r>
      <w:r>
        <w:t xml:space="preserve"> </w:t>
      </w:r>
      <w:r>
        <w:rPr>
          <w:iCs/>
          <w:i/>
        </w:rPr>
        <w:t xml:space="preserve">Informe de deuda pública al 31/12/2025</w:t>
      </w:r>
      <w:r>
        <w:t xml:space="preserve"> </w:t>
      </w:r>
      <w:r>
        <w:t xml:space="preserve">[Conjunto de datos].</w:t>
      </w:r>
    </w:p>
    <w:p>
      <w:pPr>
        <w:numPr>
          <w:ilvl w:val="0"/>
          <w:numId w:val="1008"/>
        </w:numPr>
        <w:pStyle w:val="Compac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numPr>
          <w:ilvl w:val="0"/>
          <w:numId w:val="1008"/>
        </w:numPr>
        <w:pStyle w:val="Compact"/>
      </w:pPr>
      <w:r>
        <w:t xml:space="preserve">Oficina de Presupuesto del Congreso [OPC]. (2026).</w:t>
      </w:r>
      <w:r>
        <w:t xml:space="preserve"> </w:t>
      </w:r>
      <w:r>
        <w:rPr>
          <w:iCs/>
          <w:i/>
        </w:rPr>
        <w:t xml:space="preserve">Operaciones de deuda pública, julio 2026</w:t>
      </w:r>
      <w:r>
        <w:t xml:space="preserve">.</w:t>
      </w:r>
    </w:p>
    <w:p>
      <w:pPr>
        <w:numPr>
          <w:ilvl w:val="0"/>
          <w:numId w:val="1008"/>
        </w:numPr>
        <w:pStyle w:val="Compact"/>
      </w:pPr>
      <w:r>
        <w:t xml:space="preserve">Perron, P. (1989). The great crash, the oil price shock, and the unit root hypothesis.</w:t>
      </w:r>
      <w:r>
        <w:t xml:space="preserve"> </w:t>
      </w:r>
      <w:r>
        <w:rPr>
          <w:iCs/>
          <w:i/>
        </w:rPr>
        <w:t xml:space="preserve">Econometrica</w:t>
      </w:r>
      <w:r>
        <w:t xml:space="preserve">,</w:t>
      </w:r>
      <w:r>
        <w:t xml:space="preserve"> </w:t>
      </w:r>
      <w:r>
        <w:rPr>
          <w:iCs/>
          <w:i/>
        </w:rPr>
        <w:t xml:space="preserve">57</w:t>
      </w:r>
      <w:r>
        <w:t xml:space="preserve">(6), 1361-1401. https://doi.org/10.2307/1913712</w:t>
      </w:r>
    </w:p>
    <w:p>
      <w:pPr>
        <w:numPr>
          <w:ilvl w:val="0"/>
          <w:numId w:val="1008"/>
        </w:numPr>
        <w:pStyle w:val="Compact"/>
      </w:pPr>
      <w:r>
        <w:t xml:space="preserve">Pesaran, M. H., y Smith, R. (1995). Estimating long-run relationships from dynamic heterogeneous panels.</w:t>
      </w:r>
      <w:r>
        <w:t xml:space="preserve"> </w:t>
      </w:r>
      <w:r>
        <w:rPr>
          <w:iCs/>
          <w:i/>
        </w:rPr>
        <w:t xml:space="preserve">Journal of Econometrics</w:t>
      </w:r>
      <w:r>
        <w:t xml:space="preserve">,</w:t>
      </w:r>
      <w:r>
        <w:t xml:space="preserve"> </w:t>
      </w:r>
      <w:r>
        <w:rPr>
          <w:iCs/>
          <w:i/>
        </w:rPr>
        <w:t xml:space="preserve">68</w:t>
      </w:r>
      <w:r>
        <w:t xml:space="preserve">(1), 79-113. https://doi.org/10.1016/0304-4076(94)01644-F</w:t>
      </w:r>
    </w:p>
    <w:p>
      <w:pPr>
        <w:numPr>
          <w:ilvl w:val="0"/>
          <w:numId w:val="1008"/>
        </w:numPr>
        <w:pStyle w:val="Compact"/>
      </w:pPr>
      <w:r>
        <w:t xml:space="preserve">Porto, A. (2020).</w:t>
      </w:r>
      <w:r>
        <w:t xml:space="preserve"> </w:t>
      </w:r>
      <w:r>
        <w:rPr>
          <w:iCs/>
          <w:i/>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numPr>
          <w:ilvl w:val="0"/>
          <w:numId w:val="1008"/>
        </w:numPr>
        <w:pStyle w:val="Compact"/>
      </w:pPr>
      <w:r>
        <w:t xml:space="preserve">Rapoport, M. (2020).</w:t>
      </w:r>
      <w:r>
        <w:t xml:space="preserve"> </w:t>
      </w:r>
      <w:r>
        <w:rPr>
          <w:iCs/>
          <w:i/>
        </w:rPr>
        <w:t xml:space="preserve">Historia económica, política y social de la Argentina (1880-2003)</w:t>
      </w:r>
      <w:r>
        <w:t xml:space="preserve">. Crítica.</w:t>
      </w:r>
    </w:p>
    <w:p>
      <w:pPr>
        <w:numPr>
          <w:ilvl w:val="0"/>
          <w:numId w:val="1008"/>
        </w:numPr>
        <w:pStyle w:val="Compact"/>
      </w:pPr>
      <w:r>
        <w:t xml:space="preserve">Reinhart, C. M., y Rogoff, K. S. (2009).</w:t>
      </w:r>
      <w:r>
        <w:t xml:space="preserve"> </w:t>
      </w:r>
      <w:r>
        <w:rPr>
          <w:iCs/>
          <w:i/>
        </w:rPr>
        <w:t xml:space="preserve">This time is different: Eight centuries of financial folly</w:t>
      </w:r>
      <w:r>
        <w:t xml:space="preserve">. Princeton University Press.</w:t>
      </w:r>
    </w:p>
    <w:p>
      <w:pPr>
        <w:numPr>
          <w:ilvl w:val="0"/>
          <w:numId w:val="1008"/>
        </w:numPr>
        <w:pStyle w:val="Compact"/>
      </w:pPr>
      <w:r>
        <w:t xml:space="preserve">Reinhart, C. M., Rogoff, K. S., y Savastano, M. A. (2003). Debt intolerance.</w:t>
      </w:r>
      <w:r>
        <w:t xml:space="preserve"> </w:t>
      </w:r>
      <w:r>
        <w:rPr>
          <w:iCs/>
          <w:i/>
        </w:rPr>
        <w:t xml:space="preserve">Brookings Papers on Economic Activity</w:t>
      </w:r>
      <w:r>
        <w:t xml:space="preserve">,</w:t>
      </w:r>
      <w:r>
        <w:t xml:space="preserve"> </w:t>
      </w:r>
      <w:r>
        <w:rPr>
          <w:iCs/>
          <w:i/>
        </w:rPr>
        <w:t xml:space="preserve">2003</w:t>
      </w:r>
      <w:r>
        <w:t xml:space="preserve">(1), 1-74. https://doi.org/10.1353/eca.2003.0018</w:t>
      </w:r>
    </w:p>
    <w:p>
      <w:pPr>
        <w:numPr>
          <w:ilvl w:val="0"/>
          <w:numId w:val="1008"/>
        </w:numPr>
        <w:pStyle w:val="Compact"/>
      </w:pPr>
      <w:r>
        <w:t xml:space="preserve">Renzhi, N., y Beirne, J. (2024).</w:t>
      </w:r>
      <w:r>
        <w:t xml:space="preserve"> </w:t>
      </w:r>
      <w:r>
        <w:rPr>
          <w:iCs/>
          <w:i/>
        </w:rPr>
        <w:t xml:space="preserve">Global shocks and monetary policy transmission in emerging markets</w:t>
      </w:r>
      <w:r>
        <w:t xml:space="preserve"> </w:t>
      </w:r>
      <w:r>
        <w:t xml:space="preserve">(ADB Economics Working Paper No. 726). Asian Development Bank.</w:t>
      </w:r>
    </w:p>
    <w:p>
      <w:pPr>
        <w:numPr>
          <w:ilvl w:val="0"/>
          <w:numId w:val="1008"/>
        </w:numPr>
        <w:pStyle w:val="Compact"/>
      </w:pPr>
      <w:r>
        <w:t xml:space="preserve">Rey, H. (2013).</w:t>
      </w:r>
      <w:r>
        <w:t xml:space="preserve"> </w:t>
      </w:r>
      <w:r>
        <w:rPr>
          <w:iCs/>
          <w:i/>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numPr>
          <w:ilvl w:val="0"/>
          <w:numId w:val="1008"/>
        </w:numPr>
        <w:pStyle w:val="Compact"/>
      </w:pPr>
      <w:r>
        <w:t xml:space="preserve">Rigobon, R. (2003). Identification through heteroskedasticity.</w:t>
      </w:r>
      <w:r>
        <w:t xml:space="preserve"> </w:t>
      </w:r>
      <w:r>
        <w:rPr>
          <w:iCs/>
          <w:i/>
        </w:rPr>
        <w:t xml:space="preserve">The Review of Economics and Statistics</w:t>
      </w:r>
      <w:r>
        <w:t xml:space="preserve">,</w:t>
      </w:r>
      <w:r>
        <w:t xml:space="preserve"> </w:t>
      </w:r>
      <w:r>
        <w:rPr>
          <w:iCs/>
          <w:i/>
        </w:rPr>
        <w:t xml:space="preserve">85</w:t>
      </w:r>
      <w:r>
        <w:t xml:space="preserve">(4), 777-792. https://doi.org/10.1162/003465303772815727</w:t>
      </w:r>
    </w:p>
    <w:p>
      <w:pPr>
        <w:numPr>
          <w:ilvl w:val="0"/>
          <w:numId w:val="1008"/>
        </w:numPr>
        <w:pStyle w:val="Compact"/>
      </w:pPr>
      <w:r>
        <w:t xml:space="preserve">Rigobon, R., y Sack, B. (2004). The impact of monetary policy on asset prices.</w:t>
      </w:r>
      <w:r>
        <w:t xml:space="preserve"> </w:t>
      </w:r>
      <w:r>
        <w:rPr>
          <w:iCs/>
          <w:i/>
        </w:rPr>
        <w:t xml:space="preserve">Journal of Monetary Economics</w:t>
      </w:r>
      <w:r>
        <w:t xml:space="preserve">,</w:t>
      </w:r>
      <w:r>
        <w:t xml:space="preserve"> </w:t>
      </w:r>
      <w:r>
        <w:rPr>
          <w:iCs/>
          <w:i/>
        </w:rPr>
        <w:t xml:space="preserve">51</w:t>
      </w:r>
      <w:r>
        <w:t xml:space="preserve">(8), 1553-1575. https://doi.org/10.1016/j.jmoneco.2004.02.004</w:t>
      </w:r>
    </w:p>
    <w:p>
      <w:pPr>
        <w:numPr>
          <w:ilvl w:val="0"/>
          <w:numId w:val="1008"/>
        </w:numPr>
        <w:pStyle w:val="Compac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numPr>
          <w:ilvl w:val="0"/>
          <w:numId w:val="1008"/>
        </w:numPr>
        <w:pStyle w:val="Compact"/>
      </w:pPr>
      <w:r>
        <w:t xml:space="preserve">Roldán, V. (2021).</w:t>
      </w:r>
      <w:r>
        <w:t xml:space="preserve"> </w:t>
      </w:r>
      <w:r>
        <w:rPr>
          <w:iCs/>
          <w:i/>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numPr>
          <w:ilvl w:val="0"/>
          <w:numId w:val="1008"/>
        </w:numPr>
        <w:pStyle w:val="Compac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numPr>
          <w:ilvl w:val="0"/>
          <w:numId w:val="1008"/>
        </w:numPr>
        <w:pStyle w:val="Compact"/>
      </w:pPr>
      <w:r>
        <w:t xml:space="preserve">Sargent, T. J., y Wallace, N. (1981). Some unpleasant monetarist arithmetic.</w:t>
      </w:r>
      <w:r>
        <w:t xml:space="preserve"> </w:t>
      </w:r>
      <w:r>
        <w:rPr>
          <w:iCs/>
          <w:i/>
        </w:rPr>
        <w:t xml:space="preserve">Federal Reserve Bank of Minneapolis Quarterly Review</w:t>
      </w:r>
      <w:r>
        <w:t xml:space="preserve">,</w:t>
      </w:r>
      <w:r>
        <w:t xml:space="preserve"> </w:t>
      </w:r>
      <w:r>
        <w:rPr>
          <w:iCs/>
          <w:i/>
        </w:rPr>
        <w:t xml:space="preserve">5</w:t>
      </w:r>
      <w:r>
        <w:t xml:space="preserve">(3), 1-17.</w:t>
      </w:r>
    </w:p>
    <w:p>
      <w:pPr>
        <w:numPr>
          <w:ilvl w:val="0"/>
          <w:numId w:val="1008"/>
        </w:numPr>
        <w:pStyle w:val="Compac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numPr>
          <w:ilvl w:val="0"/>
          <w:numId w:val="1008"/>
        </w:numPr>
        <w:pStyle w:val="Compact"/>
      </w:pPr>
      <w:r>
        <w:t xml:space="preserve">Schwert, G. W. (1989). Tests for unit roots: A Monte Carlo investigation.</w:t>
      </w:r>
      <w:r>
        <w:t xml:space="preserve"> </w:t>
      </w:r>
      <w:r>
        <w:rPr>
          <w:iCs/>
          <w:i/>
        </w:rPr>
        <w:t xml:space="preserve">Journal of Business &amp; Economic Statistics</w:t>
      </w:r>
      <w:r>
        <w:t xml:space="preserve">,</w:t>
      </w:r>
      <w:r>
        <w:t xml:space="preserve"> </w:t>
      </w:r>
      <w:r>
        <w:rPr>
          <w:iCs/>
          <w:i/>
        </w:rPr>
        <w:t xml:space="preserve">7</w:t>
      </w:r>
      <w:r>
        <w:t xml:space="preserve">(2), 147-159. https://doi.org/10.1080/07350015.1989.10509723</w:t>
      </w:r>
    </w:p>
    <w:p>
      <w:pPr>
        <w:numPr>
          <w:ilvl w:val="0"/>
          <w:numId w:val="1008"/>
        </w:numPr>
        <w:pStyle w:val="Compact"/>
      </w:pPr>
      <w:r>
        <w:t xml:space="preserve">Sims, C. A. (1980). Macroeconomics and reality.</w:t>
      </w:r>
      <w:r>
        <w:t xml:space="preserve"> </w:t>
      </w:r>
      <w:r>
        <w:rPr>
          <w:iCs/>
          <w:i/>
        </w:rPr>
        <w:t xml:space="preserve">Econometrica</w:t>
      </w:r>
      <w:r>
        <w:t xml:space="preserve">,</w:t>
      </w:r>
      <w:r>
        <w:t xml:space="preserve"> </w:t>
      </w:r>
      <w:r>
        <w:rPr>
          <w:iCs/>
          <w:i/>
        </w:rPr>
        <w:t xml:space="preserve">48</w:t>
      </w:r>
      <w:r>
        <w:t xml:space="preserve">(1), 1-48. https://doi.org/10.2307/1912017</w:t>
      </w:r>
    </w:p>
    <w:p>
      <w:pPr>
        <w:numPr>
          <w:ilvl w:val="0"/>
          <w:numId w:val="1008"/>
        </w:numPr>
        <w:pStyle w:val="Compact"/>
      </w:pPr>
      <w:r>
        <w:t xml:space="preserve">Sims, C. A., Stock, J. H., y Watson, M. W. (1990). Inference in linear time series models with some unit roots.</w:t>
      </w:r>
      <w:r>
        <w:t xml:space="preserve"> </w:t>
      </w:r>
      <w:r>
        <w:rPr>
          <w:iCs/>
          <w:i/>
        </w:rPr>
        <w:t xml:space="preserve">Econometrica</w:t>
      </w:r>
      <w:r>
        <w:t xml:space="preserve">,</w:t>
      </w:r>
      <w:r>
        <w:t xml:space="preserve"> </w:t>
      </w:r>
      <w:r>
        <w:rPr>
          <w:iCs/>
          <w:i/>
        </w:rPr>
        <w:t xml:space="preserve">58</w:t>
      </w:r>
      <w:r>
        <w:t xml:space="preserve">(1), 113-144. https://doi.org/10.2307/2938337</w:t>
      </w:r>
    </w:p>
    <w:p>
      <w:pPr>
        <w:numPr>
          <w:ilvl w:val="0"/>
          <w:numId w:val="1008"/>
        </w:numPr>
        <w:pStyle w:val="Compact"/>
      </w:pPr>
      <w:r>
        <w:t xml:space="preserve">Thirlwall, A. P. (1979). The balance of payments constraint as an explanation of international growth rate differences.</w:t>
      </w:r>
      <w:r>
        <w:t xml:space="preserve"> </w:t>
      </w:r>
      <w:r>
        <w:rPr>
          <w:iCs/>
          <w:i/>
        </w:rPr>
        <w:t xml:space="preserve">Banca Nazionale del Lavoro Quarterly Review</w:t>
      </w:r>
      <w:r>
        <w:t xml:space="preserve">,</w:t>
      </w:r>
      <w:r>
        <w:t xml:space="preserve"> </w:t>
      </w:r>
      <w:r>
        <w:rPr>
          <w:iCs/>
          <w:i/>
        </w:rPr>
        <w:t xml:space="preserve">32</w:t>
      </w:r>
      <w:r>
        <w:t xml:space="preserve">(128), 45-53.</w:t>
      </w:r>
    </w:p>
    <w:p>
      <w:pPr>
        <w:numPr>
          <w:ilvl w:val="0"/>
          <w:numId w:val="1008"/>
        </w:numPr>
        <w:pStyle w:val="Compact"/>
      </w:pPr>
      <w:r>
        <w:t xml:space="preserve">Trehan, B., y Walsh, C. E. (1991). Testing intertemporal budget constraints: Theory and applications to U.S. federal budget and current account deficits.</w:t>
      </w:r>
      <w:r>
        <w:t xml:space="preserve"> </w:t>
      </w:r>
      <w:r>
        <w:rPr>
          <w:iCs/>
          <w:i/>
        </w:rPr>
        <w:t xml:space="preserve">Journal of Money, Credit and Banking</w:t>
      </w:r>
      <w:r>
        <w:t xml:space="preserve">,</w:t>
      </w:r>
      <w:r>
        <w:t xml:space="preserve"> </w:t>
      </w:r>
      <w:r>
        <w:rPr>
          <w:iCs/>
          <w:i/>
        </w:rPr>
        <w:t xml:space="preserve">23</w:t>
      </w:r>
      <w:r>
        <w:t xml:space="preserve">(2), 206-223. https://doi.org/10.2307/1992777</w:t>
      </w:r>
    </w:p>
    <w:p>
      <w:pPr>
        <w:numPr>
          <w:ilvl w:val="0"/>
          <w:numId w:val="1008"/>
        </w:numPr>
        <w:pStyle w:val="Compac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numPr>
          <w:ilvl w:val="0"/>
          <w:numId w:val="1008"/>
        </w:numPr>
        <w:pStyle w:val="Compact"/>
      </w:pPr>
      <w:r>
        <w:t xml:space="preserve">Wijayanti, R., y Rachmanira, S. (2020). Early warning system for government debt crisis in developing countries.</w:t>
      </w:r>
      <w:r>
        <w:t xml:space="preserve"> </w:t>
      </w:r>
      <w:r>
        <w:rPr>
          <w:iCs/>
          <w:i/>
        </w:rPr>
        <w:t xml:space="preserve">Journal of Central Banking Theory and Practice</w:t>
      </w:r>
      <w:r>
        <w:t xml:space="preserve">,</w:t>
      </w:r>
      <w:r>
        <w:t xml:space="preserve"> </w:t>
      </w:r>
      <w:r>
        <w:rPr>
          <w:iCs/>
          <w:i/>
        </w:rPr>
        <w:t xml:space="preserve">9</w:t>
      </w:r>
      <w:r>
        <w:t xml:space="preserve">(número especial 1), 103-124. https://doi.org/10.2478/jcbtp-2020-0025</w:t>
      </w:r>
    </w:p>
    <w:p>
      <w:pPr>
        <w:numPr>
          <w:ilvl w:val="0"/>
          <w:numId w:val="1008"/>
        </w:numPr>
        <w:pStyle w:val="Compac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p>
      <w:pPr>
        <w:numPr>
          <w:ilvl w:val="0"/>
          <w:numId w:val="1008"/>
        </w:numPr>
        <w:pStyle w:val="Compact"/>
      </w:pPr>
      <w:r>
        <w:t xml:space="preserve">Zivot, E., y Andrews, D. W. K. (1992). Further evidence on the great crash, the oil-price shock, and the unit-root hypothesis.</w:t>
      </w:r>
      <w:r>
        <w:t xml:space="preserve"> </w:t>
      </w:r>
      <w:r>
        <w:rPr>
          <w:iCs/>
          <w:i/>
        </w:rPr>
        <w:t xml:space="preserve">Journal of Business and Economic Statistics</w:t>
      </w:r>
      <w:r>
        <w:t xml:space="preserve">,</w:t>
      </w:r>
      <w:r>
        <w:t xml:space="preserve"> </w:t>
      </w:r>
      <w:r>
        <w:rPr>
          <w:iCs/>
          <w:i/>
        </w:rPr>
        <w:t xml:space="preserve">10</w:t>
      </w:r>
      <w:r>
        <w:t xml:space="preserve">(3), 251-270. https://doi.org/10.1080/07350015.1992.10509904</w:t>
      </w:r>
    </w:p>
    <w:p>
      <w:r>
        <w:pict>
          <v:rect style="width:0;height:1.5pt" o:hralign="center" o:hrstd="t" o:hr="t"/>
        </w:pict>
      </w:r>
    </w:p>
    <w:bookmarkEnd w:id="139"/>
    <w:bookmarkStart w:id="146" w:name="X94fa00cbba88d80644c76c995e4abd03512405e"/>
    <w:p>
      <w:pPr>
        <w:pStyle w:val="Heading1"/>
      </w:pPr>
      <w:r>
        <w:t xml:space="preserve">Notas para el grupo (no forman parte del texto de la tesis)</w:t>
      </w:r>
    </w:p>
    <w:bookmarkStart w:id="140" w:name="Xe7002bb9638089656e0a1b406a1cb785342ca29"/>
    <w:p>
      <w:pPr>
        <w:pStyle w:val="Heading2"/>
      </w:pPr>
      <w:r>
        <w:t xml:space="preserve">Nota 1. Criterio de H1b (actualizado el 12/10/2026)</w:t>
      </w:r>
    </w:p>
    <w:p>
      <w:pPr>
        <w:pStyle w:val="FirstParagraph"/>
      </w:pPr>
      <w:r>
        <w:rPr>
          <w:bCs/>
          <w:b/>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Cs/>
          <w:b/>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Cs/>
          <w:b/>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Cs/>
          <w:b/>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40"/>
    <w:bookmarkStart w:id="141"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0,501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41"/>
    <w:bookmarkStart w:id="142" w:name="Xdc62a78a0129496ecd1fbc5ea8002834bc8b4bf"/>
    <w:p>
      <w:pPr>
        <w:pStyle w:val="Heading2"/>
      </w:pPr>
      <w:r>
        <w:t xml:space="preserve">Nota 3. Cambios respecto de la versión anterior del texto</w:t>
      </w:r>
    </w:p>
    <w:p>
      <w:pPr>
        <w:pStyle w:val="FirstParagraph"/>
      </w:pPr>
      <w:r>
        <w:rPr>
          <w:bCs/>
          <w:b/>
        </w:rPr>
        <w:t xml:space="preserve">Introducción:</w:t>
      </w:r>
    </w:p>
    <w:p>
      <w:pPr>
        <w:numPr>
          <w:ilvl w:val="0"/>
          <w:numId w:val="1009"/>
        </w:numPr>
        <w:pStyle w:val="Compact"/>
      </w:pPr>
      <w:r>
        <w:rPr>
          <w:bCs/>
          <w:b/>
        </w:rPr>
        <w:t xml:space="preserve">Coyuntura actualizada:</w:t>
      </w:r>
      <w:r>
        <w:t xml:space="preserve"> </w:t>
      </w:r>
      <w:r>
        <w:t xml:space="preserve">“</w:t>
      </w:r>
      <w:r>
        <w:t xml:space="preserve">administración ingresante</w:t>
      </w:r>
      <w:r>
        <w:t xml:space="preserve">”</w:t>
      </w:r>
      <w:r>
        <w:t xml:space="preserve"> </w:t>
      </w:r>
      <w:r>
        <w:t xml:space="preserve">pasó a</w:t>
      </w:r>
      <w:r>
        <w:t xml:space="preserve"> </w:t>
      </w:r>
      <w:r>
        <w:t xml:space="preserve">“</w:t>
      </w:r>
      <w:r>
        <w:t xml:space="preserve">la que asumió en diciembre de 2023</w:t>
      </w:r>
      <w:r>
        <w:t xml:space="preserve">”</w:t>
      </w:r>
      <w:r>
        <w:t xml:space="preserve">, y se usan datos de la OPC de julio de 2026.</w:t>
      </w:r>
    </w:p>
    <w:p>
      <w:pPr>
        <w:numPr>
          <w:ilvl w:val="0"/>
          <w:numId w:val="1009"/>
        </w:numPr>
        <w:pStyle w:val="Compact"/>
      </w:pPr>
      <w:r>
        <w:rPr>
          <w:bCs/>
          <w:b/>
        </w:rPr>
        <w:t xml:space="preserve">Citas corregidas:</w:t>
      </w:r>
    </w:p>
    <w:p>
      <w:pPr>
        <w:numPr>
          <w:ilvl w:val="1"/>
          <w:numId w:val="1010"/>
        </w:numPr>
        <w:pStyle w:val="Compact"/>
      </w:pPr>
      <w:r>
        <w:t xml:space="preserve">Reinhart et al. (2003) se usa ahora para la intolerancia a la deuda.</w:t>
      </w:r>
    </w:p>
    <w:p>
      <w:pPr>
        <w:numPr>
          <w:ilvl w:val="1"/>
          <w:numId w:val="1010"/>
        </w:numPr>
        <w:pStyle w:val="Compact"/>
      </w:pPr>
      <w:r>
        <w:t xml:space="preserve">Mendoza y Oviedo (2009), para la incertidumbre y el límite de deuda.</w:t>
      </w:r>
    </w:p>
    <w:p>
      <w:pPr>
        <w:numPr>
          <w:ilvl w:val="1"/>
          <w:numId w:val="1010"/>
        </w:numPr>
        <w:pStyle w:val="Compact"/>
      </w:pPr>
      <w:r>
        <w:t xml:space="preserve">La fatiga fiscal pasa a Ghosh et al. (2013).</w:t>
      </w:r>
    </w:p>
    <w:p>
      <w:pPr>
        <w:numPr>
          <w:ilvl w:val="1"/>
          <w:numId w:val="1010"/>
        </w:numPr>
        <w:pStyle w:val="Compact"/>
      </w:pPr>
      <w:r>
        <w:t xml:space="preserve">Ando et al. queda con año 2025.</w:t>
      </w:r>
    </w:p>
    <w:p>
      <w:pPr>
        <w:numPr>
          <w:ilvl w:val="1"/>
          <w:numId w:val="1010"/>
        </w:numPr>
        <w:pStyle w:val="Compact"/>
      </w:pPr>
      <w:r>
        <w:t xml:space="preserve">Se sacan Garud y la tesis propia.</w:t>
      </w:r>
    </w:p>
    <w:p>
      <w:pPr>
        <w:numPr>
          <w:ilvl w:val="0"/>
          <w:numId w:val="1009"/>
        </w:numPr>
        <w:pStyle w:val="Compact"/>
      </w:pPr>
      <w:r>
        <w:rPr>
          <w:bCs/>
          <w:b/>
        </w:rPr>
        <w:t xml:space="preserve">Canal cuasifiscal del shock de la FED:</w:t>
      </w:r>
      <w:r>
        <w:t xml:space="preserve"> </w:t>
      </w:r>
      <w:r>
        <w:t xml:space="preserve">se redacta en pasado.</w:t>
      </w:r>
    </w:p>
    <w:p>
      <w:pPr>
        <w:numPr>
          <w:ilvl w:val="0"/>
          <w:numId w:val="1009"/>
        </w:numPr>
        <w:pStyle w:val="Compact"/>
      </w:pPr>
      <w:r>
        <w:rPr>
          <w:bCs/>
          <w:b/>
        </w:rPr>
        <w:t xml:space="preserve">Pregunta e hipótesis:</w:t>
      </w:r>
      <w:r>
        <w:t xml:space="preserve"> </w:t>
      </w:r>
      <w:r>
        <w:t xml:space="preserve">se acorta la pregunta, se agregan seis objetivos específicos, y H1a mantiene su concepto central con un criterio de contraste explícito (Capítulo 4).</w:t>
      </w:r>
    </w:p>
    <w:p>
      <w:pPr>
        <w:numPr>
          <w:ilvl w:val="0"/>
          <w:numId w:val="1009"/>
        </w:numPr>
        <w:pStyle w:val="Compact"/>
      </w:pPr>
      <w:r>
        <w:rPr>
          <w:bCs/>
          <w:b/>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numPr>
          <w:ilvl w:val="0"/>
          <w:numId w:val="1009"/>
        </w:numPr>
        <w:pStyle w:val="Compact"/>
      </w:pPr>
      <w:r>
        <w:rPr>
          <w:bCs/>
          <w:b/>
        </w:rPr>
        <w:t xml:space="preserve">Del texto LaTeX:</w:t>
      </w:r>
      <w:r>
        <w:t xml:space="preserve"> </w:t>
      </w:r>
      <w:r>
        <w:t xml:space="preserve">se suman la Justificación (Ley 27.612) y la organización por capítulos.</w:t>
      </w:r>
    </w:p>
    <w:p>
      <w:pPr>
        <w:pStyle w:val="FirstParagraph"/>
      </w:pPr>
      <w:r>
        <w:rPr>
          <w:bCs/>
          <w:b/>
        </w:rPr>
        <w:t xml:space="preserve">Antecedentes:</w:t>
      </w:r>
    </w:p>
    <w:p>
      <w:pPr>
        <w:numPr>
          <w:ilvl w:val="0"/>
          <w:numId w:val="1011"/>
        </w:numPr>
        <w:pStyle w:val="Compact"/>
      </w:pPr>
      <w:r>
        <w:rPr>
          <w:bCs/>
          <w:b/>
        </w:rPr>
        <w:t xml:space="preserve">Fusión con el texto LaTeX:</w:t>
      </w:r>
      <w:r>
        <w:t xml:space="preserve"> </w:t>
      </w:r>
      <w:r>
        <w:t xml:space="preserve">se fusionaron los ocho ejes del LaTeX con la versión anterior, incluido el párrafo sobre Everaert y Jansen.</w:t>
      </w:r>
    </w:p>
    <w:p>
      <w:pPr>
        <w:numPr>
          <w:ilvl w:val="0"/>
          <w:numId w:val="1011"/>
        </w:numPr>
        <w:pStyle w:val="Compact"/>
      </w:pPr>
      <w:r>
        <w:rPr>
          <w:bCs/>
          <w:b/>
        </w:rPr>
        <w:t xml:space="preserve">Porcentaje en Hébert y Schreger:</w:t>
      </w:r>
      <w:r>
        <w:t xml:space="preserve"> </w:t>
      </w:r>
      <w:r>
        <w:t xml:space="preserve">se corrigió a</w:t>
      </w:r>
      <w:r>
        <w:t xml:space="preserve"> </w:t>
      </w:r>
      <w:r>
        <w:t xml:space="preserve">“</w:t>
      </w:r>
      <w:r>
        <w:t xml:space="preserve">10 puntos porcentuales</w:t>
      </w:r>
      <w:r>
        <w:t xml:space="preserve">”</w:t>
      </w:r>
      <w:r>
        <w:t xml:space="preserve">.</w:t>
      </w:r>
    </w:p>
    <w:p>
      <w:pPr>
        <w:numPr>
          <w:ilvl w:val="0"/>
          <w:numId w:val="1011"/>
        </w:numPr>
        <w:pStyle w:val="Compact"/>
      </w:pPr>
      <w:r>
        <w:rPr>
          <w:bCs/>
          <w:b/>
        </w:rPr>
        <w:t xml:space="preserve">Cifras del FMI:</w:t>
      </w:r>
      <w:r>
        <w:t xml:space="preserve"> </w:t>
      </w:r>
      <w:r>
        <w:t xml:space="preserve">las del salto de 2023 se apoyan ahora en el informe de 2025, y las de 2024 quedan marcadas para verificar.</w:t>
      </w:r>
    </w:p>
    <w:p>
      <w:pPr>
        <w:pStyle w:val="FirstParagraph"/>
      </w:pPr>
      <w:r>
        <w:rPr>
          <w:bCs/>
          <w:b/>
        </w:rPr>
        <w:t xml:space="preserve">Vacancia:</w:t>
      </w:r>
    </w:p>
    <w:p>
      <w:pPr>
        <w:numPr>
          <w:ilvl w:val="0"/>
          <w:numId w:val="1012"/>
        </w:numPr>
        <w:pStyle w:val="Compact"/>
      </w:pPr>
      <w:r>
        <w:rPr>
          <w:bCs/>
          <w:b/>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Cs/>
          <w:i/>
        </w:rPr>
        <w:t xml:space="preserve">shocks</w:t>
      </w:r>
      <w:r>
        <w:t xml:space="preserve"> </w:t>
      </w:r>
      <w:r>
        <w:t xml:space="preserve">identificados cuyo resultado es la métrica del FMI sobre su propio perímetro y escenario, con el perímetro consolidado como extensión.</w:t>
      </w:r>
    </w:p>
    <w:p>
      <w:pPr>
        <w:numPr>
          <w:ilvl w:val="0"/>
          <w:numId w:val="1012"/>
        </w:numPr>
        <w:pStyle w:val="Compact"/>
      </w:pPr>
      <w:r>
        <w:rPr>
          <w:bCs/>
          <w:b/>
        </w:rPr>
        <w:t xml:space="preserve">Párrafo cortado:</w:t>
      </w:r>
      <w:r>
        <w:t xml:space="preserve"> </w:t>
      </w:r>
      <w:r>
        <w:t xml:space="preserve">el párrafo sobre la subordinación del BCRA, que estaba cortado, se completó y quedó marcado para verificar.</w:t>
      </w:r>
    </w:p>
    <w:bookmarkEnd w:id="142"/>
    <w:bookmarkStart w:id="143" w:name="X5356dde57f307558a0c9819d9bda278c8d20a6f"/>
    <w:p>
      <w:pPr>
        <w:pStyle w:val="Heading2"/>
      </w:pPr>
      <w:r>
        <w:t xml:space="preserve">Nota 3b. Qué se hizo con cada comentario de Pablo y cada punto de la propuesta metodológica</w:t>
      </w:r>
    </w:p>
    <w:p>
      <w:pPr>
        <w:pStyle w:val="FirstParagraph"/>
      </w:pPr>
      <w:r>
        <w:rPr>
          <w:bCs/>
          <w:b/>
        </w:rPr>
        <w:t xml:space="preserve">Comentarios de Pablo sobre Introducción y Antecedentes (PDF anotado del 15/9/2026)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Comentario</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Dar citas para el patrón histórico de crisis de deuda</w:t>
            </w:r>
          </w:p>
        </w:tc>
        <w:tc>
          <w:tcPr/>
          <w:p>
            <w:pPr>
              <w:pStyle w:val="Compact"/>
              <w:jc w:val="left"/>
            </w:pPr>
            <w:r>
              <w:rPr>
                <w:rFonts w:ascii="Calibri" w:hAnsi="Calibri"/>
                <w:sz w:val="20"/>
              </w:rPr>
              <w:t xml:space="preserve">Comín Comín (2014), Reinhart y Rogoff (2009), Díaz Alejandro (1970), della Paolera y Taylor (2001), Rapoport (2020)</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La frase sobre que la solvencia no depende solo del saldo fiscal necesita cita</w:t>
            </w:r>
          </w:p>
        </w:tc>
        <w:tc>
          <w:tcPr/>
          <w:p>
            <w:pPr>
              <w:pStyle w:val="Compact"/>
              <w:jc w:val="left"/>
            </w:pPr>
            <w:r>
              <w:rPr>
                <w:rFonts w:ascii="Calibri" w:hAnsi="Calibri"/>
                <w:sz w:val="20"/>
              </w:rPr>
              <w:t xml:space="preserve">Ando et al. (2025), Calvo et al. (2003), Levy Yeyati y Sturzenegger (2023)</w:t>
            </w:r>
          </w:p>
        </w:tc>
        <w:tc>
          <w:tcPr/>
          <w:p>
            <w:pPr>
              <w:pStyle w:val="Compact"/>
              <w:jc w:val="left"/>
            </w:pPr>
            <w:r>
              <w:rPr>
                <w:rFonts w:ascii="Calibri" w:hAnsi="Calibri"/>
                <w:sz w:val="20"/>
              </w:rPr>
              <w:t xml:space="preserve">1.2</w:t>
            </w:r>
          </w:p>
        </w:tc>
      </w:tr>
      <w:tr>
        <w:tc>
          <w:tcPr/>
          <w:p>
            <w:pPr>
              <w:pStyle w:val="Compact"/>
              <w:jc w:val="lef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w:t>
            </w:r>
            <w:r>
              <w:rPr>
                <w:rFonts w:ascii="Calibri" w:hAnsi="Calibri"/>
                <w:sz w:val="20"/>
              </w:rPr>
              <w:t xml:space="preserve">reabre un interrogante decisivo</w:t>
            </w:r>
            <w:r>
              <w:rPr>
                <w:rFonts w:ascii="Calibri" w:hAnsi="Calibri"/>
                <w:sz w:val="20"/>
              </w:rPr>
              <w:t xml:space="preserve">”</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w:t>
            </w:r>
            <w:r>
              <w:rPr>
                <w:rFonts w:ascii="Calibri" w:hAnsi="Calibri"/>
                <w:sz w:val="20"/>
              </w:rPr>
              <w:t xml:space="preserve">Frente a este dilema</w:t>
            </w:r>
            <w:r>
              <w:rPr>
                <w:rFonts w:ascii="Calibri" w:hAnsi="Calibri"/>
                <w:sz w:val="20"/>
              </w:rPr>
              <w:t xml:space="preserve">”</w:t>
            </w:r>
          </w:p>
        </w:tc>
        <w:tc>
          <w:tcPr/>
          <w:p>
            <w:pPr>
              <w:pStyle w:val="Compact"/>
              <w:jc w:val="left"/>
            </w:pPr>
            <w:r>
              <w:rPr>
                <w:rFonts w:ascii="Calibri" w:hAnsi="Calibri"/>
                <w:sz w:val="20"/>
              </w:rPr>
              <w:t xml:space="preserve">Reescrito</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Sacar la parte de</w:t>
            </w:r>
            <w:r>
              <w:rPr>
                <w:rFonts w:ascii="Calibri" w:hAnsi="Calibri"/>
                <w:sz w:val="20"/>
              </w:rPr>
              <w:t xml:space="preserve"> </w:t>
            </w:r>
            <w:r>
              <w:rPr>
                <w:rFonts w:ascii="Calibri" w:hAnsi="Calibri"/>
                <w:sz w:val="20"/>
              </w:rPr>
              <w:t xml:space="preserve">“</w:t>
            </w:r>
            <w:r>
              <w:rPr>
                <w:rFonts w:ascii="Calibri" w:hAnsi="Calibri"/>
                <w:sz w:val="20"/>
              </w:rPr>
              <w:t xml:space="preserve">margen de solvencia para honrar los compromisos</w:t>
            </w:r>
            <w:r>
              <w:rPr>
                <w:rFonts w:ascii="Calibri" w:hAnsi="Calibri"/>
                <w:sz w:val="20"/>
              </w:rPr>
              <w:t xml:space="preserve">”</w:t>
            </w:r>
            <w:r>
              <w:rPr>
                <w:rFonts w:ascii="Calibri" w:hAnsi="Calibri"/>
                <w:sz w:val="20"/>
              </w:rPr>
              <w:t xml:space="preserve"> </w:t>
            </w:r>
            <w:r>
              <w:rPr>
                <w:rFonts w:ascii="Calibri" w:hAnsi="Calibri"/>
                <w:sz w:val="20"/>
              </w:rPr>
              <w:t xml:space="preserve">del objetivo</w:t>
            </w:r>
          </w:p>
        </w:tc>
        <w:tc>
          <w:tcPr/>
          <w:p>
            <w:pPr>
              <w:pStyle w:val="Compact"/>
              <w:jc w:val="left"/>
            </w:pPr>
            <w:r>
              <w:rPr>
                <w:rFonts w:ascii="Calibri" w:hAnsi="Calibri"/>
                <w:sz w:val="20"/>
              </w:rPr>
              <w:t xml:space="preserve">Sacada; el objetivo quedó en evaluar la dinámica y estimar la probabilidad de no estabilización</w:t>
            </w:r>
          </w:p>
        </w:tc>
        <w:tc>
          <w:tcPr/>
          <w:p>
            <w:pPr>
              <w:pStyle w:val="Compact"/>
              <w:jc w:val="left"/>
            </w:pPr>
            <w:r>
              <w:rPr>
                <w:rFonts w:ascii="Calibri" w:hAnsi="Calibri"/>
                <w:sz w:val="20"/>
              </w:rPr>
              <w:t xml:space="preserve">1.4</w:t>
            </w:r>
          </w:p>
        </w:tc>
      </w:tr>
      <w:tr>
        <w:tc>
          <w:tcPr/>
          <w:p>
            <w:pPr>
              <w:pStyle w:val="Compact"/>
              <w:jc w:val="left"/>
            </w:pPr>
            <w:r>
              <w:rPr>
                <w:iCs/>
                <w:rFonts w:ascii="Calibri" w:hAnsi="Calibri"/>
                <w:i/>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iCs/>
                <w:rFonts w:ascii="Calibri" w:hAnsi="Calibri"/>
                <w:i/>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Introducción y 2.5</w:t>
            </w:r>
          </w:p>
        </w:tc>
      </w:tr>
      <w:tr>
        <w:tc>
          <w:tcPr/>
          <w:p>
            <w:pPr>
              <w:pStyle w:val="Compact"/>
              <w:jc w:val="lef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w:t>
            </w:r>
            <w:r>
              <w:rPr>
                <w:rFonts w:ascii="Calibri" w:hAnsi="Calibri"/>
                <w:sz w:val="20"/>
              </w:rPr>
              <w:t xml:space="preserve">de 36,5% a 50,8%</w:t>
            </w:r>
            <w:r>
              <w:rPr>
                <w:rFonts w:ascii="Calibri" w:hAnsi="Calibri"/>
                <w:sz w:val="20"/>
              </w:rPr>
              <w:t xml:space="preserve">”</w:t>
            </w:r>
          </w:p>
        </w:tc>
        <w:tc>
          <w:tcPr/>
          <w:p>
            <w:pPr>
              <w:pStyle w:val="Compact"/>
              <w:jc w:val="left"/>
            </w:pPr>
            <w:r>
              <w:rPr>
                <w:rFonts w:ascii="Calibri" w:hAnsi="Calibri"/>
                <w:sz w:val="20"/>
              </w:rPr>
              <w:t xml:space="preserve">Sacado</w:t>
            </w:r>
          </w:p>
        </w:tc>
        <w:tc>
          <w:tcPr/>
          <w:p>
            <w:pPr>
              <w:pStyle w:val="Compact"/>
              <w:jc w:val="left"/>
            </w:pPr>
            <w:r>
              <w:rPr>
                <w:rFonts w:ascii="Calibri" w:hAnsi="Calibri"/>
                <w:sz w:val="20"/>
              </w:rPr>
              <w:t xml:space="preserve">2.7</w:t>
            </w:r>
          </w:p>
        </w:tc>
      </w:tr>
      <w:tr>
        <w:tc>
          <w:tcPr/>
          <w:p>
            <w:pPr>
              <w:pStyle w:val="Compact"/>
              <w:jc w:val="left"/>
            </w:pPr>
            <w:r>
              <w:rPr>
                <w:rFonts w:ascii="Calibri" w:hAnsi="Calibri"/>
                <w:sz w:val="20"/>
              </w:rPr>
              <w:t xml:space="preserve">Cerrar Antecedentes con por qué esta metodología y estas variables (no se probó, cambió el contexto, hay una variable nueva)</w:t>
            </w:r>
          </w:p>
        </w:tc>
        <w:tc>
          <w:tcPr/>
          <w:p>
            <w:pPr>
              <w:pStyle w:val="Compact"/>
              <w:jc w:val="lef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jc w:val="left"/>
            </w:pPr>
            <w:r>
              <w:rPr>
                <w:rFonts w:ascii="Calibri" w:hAnsi="Calibri"/>
                <w:sz w:val="20"/>
              </w:rPr>
              <w:t xml:space="preserve">2.9</w:t>
            </w:r>
          </w:p>
        </w:tc>
      </w:tr>
    </w:tbl>
    <w:p>
      <w:pPr>
        <w:pStyle w:val="BodyText"/>
      </w:pPr>
      <w:r>
        <w:rPr>
          <w:bCs/>
          <w:b/>
        </w:rPr>
        <w:t xml:space="preserve">Decisiones de reuniones con Pablo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No nombrar la</w:t>
            </w:r>
            <w:r>
              <w:rPr>
                <w:rFonts w:ascii="Calibri" w:hAnsi="Calibri"/>
                <w:sz w:val="20"/>
              </w:rPr>
              <w:t xml:space="preserve"> </w:t>
            </w:r>
            <w:r>
              <w:rPr>
                <w:rFonts w:ascii="Calibri" w:hAnsi="Calibri"/>
                <w:sz w:val="20"/>
              </w:rPr>
              <w:t xml:space="preserve">“</w:t>
            </w:r>
            <w:r>
              <w:rPr>
                <w:rFonts w:ascii="Calibri" w:hAnsi="Calibri"/>
                <w:sz w:val="20"/>
              </w:rPr>
              <w:t xml:space="preserve">ventana única</w:t>
            </w:r>
            <w:r>
              <w:rPr>
                <w:rFonts w:ascii="Calibri" w:hAnsi="Calibri"/>
                <w:sz w:val="20"/>
              </w:rPr>
              <w:t xml:space="preserve">”</w:t>
            </w:r>
            <w:r>
              <w:rPr>
                <w:rFonts w:ascii="Calibri" w:hAnsi="Calibri"/>
                <w:sz w:val="20"/>
              </w:rPr>
              <w:t xml:space="preserve"> </w:t>
            </w:r>
            <w:r>
              <w:rPr>
                <w:rFonts w:ascii="Calibri" w:hAnsi="Calibri"/>
                <w:sz w:val="20"/>
              </w:rPr>
              <w:t xml:space="preserve">(18/9)</w:t>
            </w:r>
          </w:p>
        </w:tc>
        <w:tc>
          <w:tcPr/>
          <w:p>
            <w:pPr>
              <w:pStyle w:val="Compact"/>
              <w:jc w:val="left"/>
            </w:pPr>
            <w:r>
              <w:rPr>
                <w:rFonts w:ascii="Calibri" w:hAnsi="Calibri"/>
                <w:sz w:val="20"/>
              </w:rPr>
              <w:t xml:space="preserve">La expresión no aparece; el texto dice siempre 1996-2025 para el estudio y 2026-2035 para la proyección</w:t>
            </w:r>
          </w:p>
        </w:tc>
      </w:tr>
      <w:tr>
        <w:tc>
          <w:tcPr/>
          <w:p>
            <w:pPr>
              <w:pStyle w:val="Compact"/>
              <w:jc w:val="left"/>
            </w:pPr>
            <w:r>
              <w:rPr>
                <w:rFonts w:ascii="Calibri" w:hAnsi="Calibri"/>
                <w:sz w:val="20"/>
              </w:rPr>
              <w:t xml:space="preserve">No discutir en el texto si el riesgo país es endógeno (17/9)</w:t>
            </w:r>
          </w:p>
        </w:tc>
        <w:tc>
          <w:tcPr/>
          <w:p>
            <w:pPr>
              <w:pStyle w:val="Compact"/>
              <w:jc w:val="left"/>
            </w:pPr>
            <w:r>
              <w:rPr>
                <w:rFonts w:ascii="Calibri" w:hAnsi="Calibri"/>
                <w:sz w:val="20"/>
              </w:rPr>
              <w:t xml:space="preserve">No aparece; queda como respuesta oral en la guía de defensa</w:t>
            </w:r>
          </w:p>
        </w:tc>
      </w:tr>
      <w:tr>
        <w:tc>
          <w:tcPr/>
          <w:p>
            <w:pPr>
              <w:pStyle w:val="Compact"/>
              <w:jc w:val="lef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w:t>
            </w:r>
            <w:r>
              <w:rPr>
                <w:rFonts w:ascii="Calibri" w:hAnsi="Calibri"/>
                <w:sz w:val="20"/>
              </w:rPr>
              <w:t xml:space="preserve">donde gira todo</w:t>
            </w:r>
            <w:r>
              <w:rPr>
                <w:rFonts w:ascii="Calibri" w:hAnsi="Calibri"/>
                <w:sz w:val="20"/>
              </w:rPr>
              <w:t xml:space="preserve">”</w:t>
            </w:r>
          </w:p>
        </w:tc>
        <w:tc>
          <w:tcPr/>
          <w:p>
            <w:pPr>
              <w:pStyle w:val="Compact"/>
              <w:jc w:val="left"/>
            </w:pPr>
            <w:r>
              <w:rPr>
                <w:rFonts w:ascii="Calibri" w:hAnsi="Calibri"/>
                <w:sz w:val="20"/>
              </w:rPr>
              <w:t xml:space="preserve">Secciones 4.4 (identificación) y 4.3 (canales de la FED)</w:t>
            </w:r>
          </w:p>
        </w:tc>
      </w:tr>
      <w:tr>
        <w:tc>
          <w:tcPr/>
          <w:p>
            <w:pPr>
              <w:pStyle w:val="Compact"/>
              <w:jc w:val="left"/>
            </w:pPr>
            <w:r>
              <w:rPr>
                <w:rFonts w:ascii="Calibri" w:hAnsi="Calibri"/>
                <w:sz w:val="20"/>
              </w:rPr>
              <w:t xml:space="preserve">Panel Argentina-Chile como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Bajar la extensión</w:t>
            </w:r>
          </w:p>
        </w:tc>
        <w:tc>
          <w:tcPr/>
          <w:p>
            <w:pPr>
              <w:pStyle w:val="Compact"/>
              <w:jc w:val="left"/>
            </w:pPr>
            <w:r>
              <w:rPr>
                <w:rFonts w:ascii="Calibri" w:hAnsi="Calibri"/>
                <w:sz w:val="20"/>
              </w:rPr>
              <w:t xml:space="preserve">La tabla completa de robustez pasó al Apéndice (A.10) y los ejes 2, 3 y 8 de Antecedentes se redujeron a lo esencial</w:t>
            </w:r>
          </w:p>
        </w:tc>
      </w:tr>
    </w:tbl>
    <w:p>
      <w:pPr>
        <w:pStyle w:val="BodyText"/>
      </w:pPr>
      <w:r>
        <w:rPr>
          <w:bCs/>
          <w:b/>
        </w:rPr>
        <w:t xml:space="preserve">Propuesta metodológica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ADF y KPSS para raíz unitaria, Zivot-Andrews y Bai-Perron para quiebres</w:t>
            </w:r>
          </w:p>
        </w:tc>
        <w:tc>
          <w:tcPr/>
          <w:p>
            <w:pPr>
              <w:pStyle w:val="Compact"/>
              <w:jc w:val="left"/>
            </w:pPr>
            <w:r>
              <w:rPr>
                <w:rFonts w:ascii="Calibri" w:hAnsi="Calibri"/>
                <w:sz w:val="20"/>
              </w:rPr>
              <w:t xml:space="preserve">Hecho; los quiebres de Bai-Perron entran como variables binarias</w:t>
            </w:r>
          </w:p>
        </w:tc>
        <w:tc>
          <w:tcPr/>
          <w:p>
            <w:pPr>
              <w:pStyle w:val="Compact"/>
              <w:jc w:val="left"/>
            </w:pPr>
            <w:r>
              <w:rPr>
                <w:rFonts w:ascii="Calibri" w:hAnsi="Calibri"/>
                <w:sz w:val="20"/>
              </w:rPr>
              <w:t xml:space="preserve">4.2, 6.1 y A.3</w:t>
            </w:r>
          </w:p>
        </w:tc>
      </w:tr>
      <w:tr>
        <w:tc>
          <w:tcPr/>
          <w:p>
            <w:pPr>
              <w:pStyle w:val="Compact"/>
              <w:jc w:val="left"/>
            </w:pPr>
            <w:r>
              <w:rPr>
                <w:rFonts w:ascii="Calibri" w:hAnsi="Calibri"/>
                <w:sz w:val="20"/>
              </w:rPr>
              <w:t xml:space="preserve">Selección de rezagos por AIC y BIC con residuos sin autocorrelación</w:t>
            </w:r>
          </w:p>
        </w:tc>
        <w:tc>
          <w:tcPr/>
          <w:p>
            <w:pPr>
              <w:pStyle w:val="Compact"/>
              <w:jc w:val="lef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ningún orden estable pasa la prueba con la muestra corregida; regla de reserva: el estable de mayor p-valor, 2 rezagos (Portmanteau p = 0,031), el mismo orden que elige Hannan-Quinn</w:t>
            </w:r>
          </w:p>
        </w:tc>
        <w:tc>
          <w:tcPr/>
          <w:p>
            <w:pPr>
              <w:pStyle w:val="Compact"/>
              <w:jc w:val="left"/>
            </w:pPr>
            <w:r>
              <w:rPr>
                <w:rFonts w:ascii="Calibri" w:hAnsi="Calibri"/>
                <w:sz w:val="20"/>
              </w:rPr>
              <w:t xml:space="preserve">4.5 y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4.2</w:t>
            </w:r>
          </w:p>
        </w:tc>
      </w:tr>
      <w:tr>
        <w:tc>
          <w:tcPr/>
          <w:p>
            <w:pPr>
              <w:pStyle w:val="Compact"/>
              <w:jc w:val="lef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w:t>
            </w:r>
            <w:r>
              <w:rPr>
                <w:rFonts w:ascii="Calibri" w:hAnsi="Calibri"/>
                <w:sz w:val="20"/>
              </w:rPr>
              <w:t xml:space="preserve">esponja contable</w:t>
            </w:r>
            <w:r>
              <w:rPr>
                <w:rFonts w:ascii="Calibri" w:hAnsi="Calibri"/>
                <w:sz w:val="20"/>
              </w:rPr>
              <w:t xml:space="preserve">”</w:t>
            </w:r>
            <w:r>
              <w:rPr>
                <w:rFonts w:ascii="Calibri" w:hAnsi="Calibri"/>
                <w:sz w:val="20"/>
              </w:rPr>
              <w:t xml:space="preserve"> </w:t>
            </w:r>
            <w:r>
              <w:rPr>
                <w:rFonts w:ascii="Calibri" w:hAnsi="Calibri"/>
                <w:sz w:val="20"/>
              </w:rPr>
              <w:t xml:space="preserve">(retroalimentación)</w:t>
            </w:r>
          </w:p>
        </w:tc>
        <w:tc>
          <w:tcPr/>
          <w:p>
            <w:pPr>
              <w:pStyle w:val="Compact"/>
              <w:jc w:val="lef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34,9 puntos básicos, con un intervalo de 90% de 13,9 a 47,6 (con la versión anterior, sin binarias presidenciales, el intervalo incluía el cero)</w:t>
            </w:r>
          </w:p>
        </w:tc>
        <w:tc>
          <w:tcPr/>
          <w:p>
            <w:pPr>
              <w:pStyle w:val="Compact"/>
              <w:jc w:val="left"/>
            </w:pPr>
            <w:r>
              <w:rPr>
                <w:rFonts w:ascii="Calibri" w:hAnsi="Calibri"/>
                <w:sz w:val="20"/>
              </w:rPr>
              <w:t xml:space="preserve">6.1</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 sin retroalimentación, la probabilidad de no estabilización de 2031 es 27,2%, frente a 27,7% con ella</w:t>
            </w:r>
          </w:p>
        </w:tc>
        <w:tc>
          <w:tcPr/>
          <w:p>
            <w:pPr>
              <w:pStyle w:val="Compact"/>
              <w:jc w:val="left"/>
            </w:pPr>
            <w:r>
              <w:rPr>
                <w:rFonts w:ascii="Calibri" w:hAnsi="Calibri"/>
                <w:sz w:val="20"/>
              </w:rPr>
              <w:t xml:space="preserve">6.6 y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jc w:val="left"/>
            </w:pPr>
            <w:r>
              <w:rPr>
                <w:rFonts w:ascii="Calibri" w:hAnsi="Calibri"/>
                <w:sz w:val="20"/>
              </w:rPr>
              <w:t xml:space="preserve">6.6</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la variante con el riesgo país en la tasa en pesos se informa como robustez</w:t>
            </w:r>
          </w:p>
        </w:tc>
        <w:tc>
          <w:tcPr/>
          <w:p>
            <w:pPr>
              <w:pStyle w:val="Compact"/>
              <w:jc w:val="left"/>
            </w:pPr>
            <w:r>
              <w:rPr>
                <w:rFonts w:ascii="Calibri" w:hAnsi="Calibri"/>
                <w:sz w:val="20"/>
              </w:rPr>
              <w:t xml:space="preserve">4.6 y 6.6</w:t>
            </w:r>
          </w:p>
        </w:tc>
      </w:tr>
      <w:tr>
        <w:tc>
          <w:tcPr/>
          <w:p>
            <w:pPr>
              <w:pStyle w:val="Compact"/>
              <w:jc w:val="left"/>
            </w:pPr>
            <w:r>
              <w:rPr>
                <w:rFonts w:ascii="Calibri" w:hAnsi="Calibri"/>
                <w:sz w:val="20"/>
              </w:rPr>
              <w:t xml:space="preserve">Shock de la FED con la tasa sombra</w:t>
            </w:r>
          </w:p>
        </w:tc>
        <w:tc>
          <w:tcPr/>
          <w:p>
            <w:pPr>
              <w:pStyle w:val="Compact"/>
              <w:jc w:val="left"/>
            </w:pPr>
            <w:r>
              <w:rPr>
                <w:rFonts w:ascii="Calibri" w:hAnsi="Calibri"/>
                <w:sz w:val="20"/>
              </w:rPr>
              <w:t xml:space="preserve">Hecho (Wu y Xia, 2016), con el empalme de 2022T1 calculado con la tasa efectiva en ambos trimestres</w:t>
            </w:r>
          </w:p>
        </w:tc>
        <w:tc>
          <w:tcPr/>
          <w:p>
            <w:pPr>
              <w:pStyle w:val="Compact"/>
              <w:jc w:val="left"/>
            </w:pPr>
            <w:r>
              <w:rPr>
                <w:rFonts w:ascii="Calibri" w:hAnsi="Calibri"/>
                <w:sz w:val="20"/>
              </w:rPr>
              <w:t xml:space="preserve">5.4</w:t>
            </w:r>
          </w:p>
        </w:tc>
      </w:tr>
      <w:tr>
        <w:tc>
          <w:tcPr/>
          <w:p>
            <w:pPr>
              <w:pStyle w:val="Compact"/>
              <w:jc w:val="left"/>
            </w:pPr>
            <w:r>
              <w:rPr>
                <w:rFonts w:ascii="Calibri" w:hAnsi="Calibri"/>
                <w:sz w:val="20"/>
              </w:rPr>
              <w:t xml:space="preserve">Shocks de la FED identificados por la literatura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Términos de intercambio (Lanteri, 2019)</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100% no tiene fuente</w:t>
            </w:r>
          </w:p>
        </w:tc>
        <w:tc>
          <w:tcPr/>
          <w:p>
            <w:pPr>
              <w:pStyle w:val="Compact"/>
              <w:jc w:val="left"/>
            </w:pPr>
            <w:r>
              <w:rPr>
                <w:rFonts w:ascii="Calibri" w:hAnsi="Calibri"/>
                <w:sz w:val="20"/>
              </w:rPr>
              <w:t xml:space="preserve">4.7</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(es otra tesis); 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la neutralidad de largo plazo del TCRM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Se usan variables binarias estacionales</w:t>
            </w:r>
          </w:p>
        </w:tc>
        <w:tc>
          <w:tcPr/>
          <w:p>
            <w:pPr>
              <w:pStyle w:val="Compact"/>
              <w:jc w:val="left"/>
            </w:pPr>
            <w:r>
              <w:rPr>
                <w:rFonts w:ascii="Calibri" w:hAnsi="Calibri"/>
                <w:sz w:val="20"/>
              </w:rPr>
              <w:t xml:space="preserve">4.2</w:t>
            </w:r>
          </w:p>
        </w:tc>
      </w:tr>
    </w:tbl>
    <w:bookmarkEnd w:id="143"/>
    <w:bookmarkStart w:id="144"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Perímetro principal (D1)</w:t>
            </w:r>
          </w:p>
        </w:tc>
        <w:tc>
          <w:tcPr/>
          <w:p>
            <w:pPr>
              <w:pStyle w:val="Compact"/>
              <w:jc w:val="lef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jc w:val="left"/>
            </w:pPr>
            <w:r>
              <w:rPr>
                <w:rFonts w:ascii="Calibri" w:hAnsi="Calibri"/>
                <w:sz w:val="20"/>
              </w:rPr>
              <w:t xml:space="preserve">Ventana (D2)</w:t>
            </w:r>
          </w:p>
        </w:tc>
        <w:tc>
          <w:tcPr/>
          <w:p>
            <w:pPr>
              <w:pStyle w:val="Compact"/>
              <w:jc w:val="lef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29,5%, contra 27,7%</w:t>
            </w:r>
          </w:p>
        </w:tc>
      </w:tr>
      <w:tr>
        <w:tc>
          <w:tcPr/>
          <w:p>
            <w:pPr>
              <w:pStyle w:val="Compact"/>
              <w:jc w:val="left"/>
            </w:pPr>
            <w:r>
              <w:rPr>
                <w:rFonts w:ascii="Calibri" w:hAnsi="Calibri"/>
                <w:sz w:val="20"/>
              </w:rPr>
              <w:t xml:space="preserve">Rezagos (D3)</w:t>
            </w:r>
          </w:p>
        </w:tc>
        <w:tc>
          <w:tcPr/>
          <w:p>
            <w:pPr>
              <w:pStyle w:val="Compact"/>
              <w:jc w:val="left"/>
            </w:pPr>
            <w:r>
              <w:rPr>
                <w:rFonts w:ascii="Calibri" w:hAnsi="Calibri"/>
                <w:sz w:val="20"/>
              </w:rPr>
              <w:t xml:space="preserve">2, por la regla de Schwarz con la regla de reserva (Portmanteau p = 0,031; autocorrelación leve declarada como limitación)</w:t>
            </w:r>
          </w:p>
        </w:tc>
      </w:tr>
      <w:tr>
        <w:tc>
          <w:tcPr/>
          <w:p>
            <w:pPr>
              <w:pStyle w:val="Compact"/>
              <w:jc w:val="left"/>
            </w:pPr>
            <w:r>
              <w:rPr>
                <w:rFonts w:ascii="Calibri" w:hAnsi="Calibri"/>
                <w:sz w:val="20"/>
              </w:rPr>
              <w:t xml:space="preserve">Resultado primario (D4)</w:t>
            </w:r>
          </w:p>
        </w:tc>
        <w:tc>
          <w:tcPr/>
          <w:p>
            <w:pPr>
              <w:pStyle w:val="Compact"/>
              <w:jc w:val="lef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jc w:val="left"/>
            </w:pPr>
            <w:r>
              <w:rPr>
                <w:rFonts w:ascii="Calibri" w:hAnsi="Calibri"/>
                <w:sz w:val="20"/>
              </w:rPr>
              <w:t xml:space="preserve">Inferencia (D7 y D8)</w:t>
            </w:r>
          </w:p>
        </w:tc>
        <w:tc>
          <w:tcPr/>
          <w:p>
            <w:pPr>
              <w:pStyle w:val="Compact"/>
              <w:jc w:val="left"/>
            </w:pPr>
            <w:r>
              <w:rPr>
                <w:rFonts w:ascii="Calibri" w:hAnsi="Calibri"/>
                <w:sz w:val="20"/>
              </w:rPr>
              <w:t xml:space="preserve">Remuestreo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jc w:val="left"/>
            </w:pPr>
            <w:r>
              <w:rPr>
                <w:rFonts w:ascii="Calibri" w:hAnsi="Calibri"/>
                <w:sz w:val="20"/>
              </w:rPr>
              <w:t xml:space="preserve">H1a (D10)</w:t>
            </w:r>
          </w:p>
        </w:tc>
        <w:tc>
          <w:tcPr/>
          <w:p>
            <w:pPr>
              <w:pStyle w:val="Compact"/>
              <w:jc w:val="left"/>
            </w:pPr>
            <w:r>
              <w:rPr>
                <w:rFonts w:ascii="Calibri" w:hAnsi="Calibri"/>
                <w:sz w:val="20"/>
              </w:rPr>
              <w:t xml:space="preserve">Criterio original (descomposición de la varianza): 96,8 puntos [90,8; 99,8] (77,9 [67,3; 99,4] sin binarias presidenciales); se cumple en las 21 especificaciones. Se agrega un criterio formal de suficiencia del superávit: con el máximo histórico sostenido, la probabilidad de 2031 es 23,0%, mayor que el 1% del FMI</w:t>
            </w:r>
          </w:p>
        </w:tc>
      </w:tr>
      <w:tr>
        <w:tc>
          <w:tcPr/>
          <w:p>
            <w:pPr>
              <w:pStyle w:val="Compact"/>
              <w:jc w:val="left"/>
            </w:pPr>
            <w:r>
              <w:rPr>
                <w:rFonts w:ascii="Calibri" w:hAnsi="Calibri"/>
                <w:sz w:val="20"/>
              </w:rPr>
              <w:t xml:space="preserve">H1b (D11)</w:t>
            </w:r>
          </w:p>
        </w:tc>
        <w:tc>
          <w:tcPr/>
          <w:p>
            <w:pPr>
              <w:pStyle w:val="Compact"/>
              <w:jc w:val="left"/>
            </w:pPr>
            <w:r>
              <w:rPr>
                <w:rFonts w:ascii="Calibri" w:hAnsi="Calibri"/>
                <w:sz w:val="20"/>
              </w:rPr>
              <w:t xml:space="preserve">Mismo perímetro, punto de partida, escenario y métrica que el FMI: 27,7% [20,6; 34,7] en 2031 y 29,0% [25,0; 36,1] en 2035; se cumple en las 21 especificaciones</w:t>
            </w:r>
          </w:p>
        </w:tc>
      </w:tr>
      <w:tr>
        <w:tc>
          <w:tcPr/>
          <w:p>
            <w:pPr>
              <w:pStyle w:val="Compact"/>
              <w:jc w:val="left"/>
            </w:pPr>
            <w:r>
              <w:rPr>
                <w:rFonts w:ascii="Calibri" w:hAnsi="Calibri"/>
                <w:sz w:val="20"/>
              </w:rPr>
              <w:t xml:space="preserve">H2 (D12)</w:t>
            </w:r>
          </w:p>
        </w:tc>
        <w:tc>
          <w:tcPr/>
          <w:p>
            <w:pPr>
              <w:pStyle w:val="Compact"/>
              <w:jc w:val="left"/>
            </w:pPr>
            <w:r>
              <w:rPr>
                <w:rFonts w:ascii="Calibri" w:hAnsi="Calibri"/>
                <w:sz w:val="20"/>
              </w:rPr>
              <w:t xml:space="preserve">Criterio sin cambios, con regla de informe: parcialmente respaldada. Efecto de la senda de 2022-2025 sobre la probabilidad: +18,4 puntos en 2035, robusto a Bonferroni y en 20 de 21 especificaciones. El efecto sobre la deuda esperada (+19,3 [-0,3; 31,3]) no excluye el cero y el del desvío estándar no resiste Bonferroni; el 77% del efecto sobre la deuda es el costo directo de la deuda en dólares</w:t>
            </w:r>
          </w:p>
        </w:tc>
      </w:tr>
      <w:tr>
        <w:tc>
          <w:tcPr/>
          <w:p>
            <w:pPr>
              <w:pStyle w:val="Compact"/>
              <w:jc w:val="left"/>
            </w:pPr>
            <w:r>
              <w:rPr>
                <w:rFonts w:ascii="Calibri" w:hAnsi="Calibri"/>
                <w:sz w:val="20"/>
              </w:rPr>
              <w:t xml:space="preserve">Título (D13)</w:t>
            </w:r>
          </w:p>
        </w:tc>
        <w:tc>
          <w:tcPr/>
          <w:p>
            <w:pPr>
              <w:pStyle w:val="Compact"/>
              <w:jc w:val="left"/>
            </w:pPr>
            <w:r>
              <w:rPr>
                <w:rFonts w:ascii="Calibri" w:hAnsi="Calibri"/>
                <w:sz w:val="20"/>
              </w:rPr>
              <w:t xml:space="preserve">“</w:t>
            </w:r>
            <w:r>
              <w:rPr>
                <w:rFonts w:ascii="Calibri" w:hAnsi="Calibri"/>
                <w:sz w:val="20"/>
              </w:rPr>
              <w:t xml:space="preserve">Probabilidad de no estabilización de la deuda pública argentina, 2026-2035: un modelo SVARX con determinantes macroeconómicos y política monetaria de Estados Unidos</w:t>
            </w:r>
            <w:r>
              <w:rPr>
                <w:rFonts w:ascii="Calibri" w:hAnsi="Calibri"/>
                <w:sz w:val="20"/>
              </w:rPr>
              <w:t xml:space="preserve">”</w:t>
            </w:r>
          </w:p>
        </w:tc>
      </w:tr>
    </w:tbl>
    <w:bookmarkEnd w:id="144"/>
    <w:bookmarkStart w:id="145" w:name="nota-4.-pendientes"/>
    <w:p>
      <w:pPr>
        <w:pStyle w:val="Heading2"/>
      </w:pPr>
      <w:r>
        <w:t xml:space="preserve">Nota 4. Pendientes</w:t>
      </w:r>
    </w:p>
    <w:p>
      <w:pPr>
        <w:numPr>
          <w:ilvl w:val="0"/>
          <w:numId w:val="1013"/>
        </w:numPr>
        <w:pStyle w:val="Compact"/>
      </w:pPr>
      <w:r>
        <w:t xml:space="preserve">Adler y Sosa: la versión anterior les atribuía un VAR global con un índice de precios netos de materias primas, que</w:t>
      </w:r>
      <w:r>
        <w:t xml:space="preserve"> </w:t>
      </w:r>
      <w:r>
        <w:t xml:space="preserve">“</w:t>
      </w:r>
      <w:r>
        <w:t xml:space="preserve">más de la mitad</w:t>
      </w:r>
      <w:r>
        <w:t xml:space="preserve">”</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numPr>
          <w:ilvl w:val="0"/>
          <w:numId w:val="1013"/>
        </w:numPr>
        <w:pStyle w:val="Compact"/>
      </w:pPr>
      <w:r>
        <w:t xml:space="preserve">Klemm et al. (2014) y Adler y Magud (2014) salieron del texto: no se pudo leer el capítulo de Klemm et al., y en Adler y Magud no está definido el índice que se les atribuía.</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22">
    <w:p>
      <w:pPr>
        <w:pStyle w:val="FootnoteText"/>
      </w:pPr>
      <w:r>
        <w:rPr>
          <w:rStyle w:val="FootnoteReference"/>
        </w:rPr>
        <w:footnoteRef/>
      </w:r>
      <w:r>
        <w:t xml:space="preserve"> </w:t>
      </w:r>
      <w:r>
        <w:rPr>
          <w:iCs/>
          <w:i/>
        </w:rPr>
        <w:t xml:space="preserve">Default</w:t>
      </w:r>
      <w:r>
        <w:t xml:space="preserve">: cesación de pagos de la deuda.</w:t>
      </w:r>
    </w:p>
  </w:footnote>
  <w:footnote w:id="23">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7">
    <w:p>
      <w:pPr>
        <w:pStyle w:val="FootnoteText"/>
      </w:pPr>
      <w:r>
        <w:rPr>
          <w:rStyle w:val="FootnoteReference"/>
        </w:rPr>
        <w:footnoteRef/>
      </w:r>
      <w:r>
        <w:t xml:space="preserve"> </w:t>
      </w:r>
      <w:r>
        <w:rPr>
          <w:iCs/>
          <w:i/>
        </w:rPr>
        <w:t xml:space="preserve">Shock</w:t>
      </w:r>
      <w:r>
        <w:t xml:space="preserve">: perturbación inesperada que afecta a una variable del sistema y se transmite a las demás.</w:t>
      </w:r>
    </w:p>
  </w:footnote>
  <w:footnote w:id="30">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36">
    <w:p>
      <w:pPr>
        <w:pStyle w:val="FootnoteText"/>
      </w:pPr>
      <w:r>
        <w:rPr>
          <w:rStyle w:val="FootnoteReference"/>
        </w:rPr>
        <w:footnoteRef/>
      </w:r>
      <w:r>
        <w:t xml:space="preserve"> </w:t>
      </w:r>
      <w:r>
        <w:t xml:space="preserve">Acreedores que rechazan una reestructuración y reclaman judicialmente el pago completo.</w:t>
      </w:r>
    </w:p>
  </w:footnote>
  <w:footnote w:id="40">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Cs/>
          <w:i/>
        </w:rPr>
        <w:t xml:space="preserve">pull</w:t>
      </w:r>
      <w:r>
        <w:t xml:space="preserve">), asociados a condiciones domésticas.</w:t>
      </w:r>
    </w:p>
  </w:footnote>
  <w:footnote w:id="41">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44">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45">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 w:id="48">
    <w:p>
      <w:pPr>
        <w:pStyle w:val="FootnoteText"/>
      </w:pPr>
      <w:r>
        <w:rPr>
          <w:rStyle w:val="FootnoteReference"/>
        </w:rPr>
        <w:footnoteRef/>
      </w:r>
      <w:r>
        <w:t xml:space="preserve"> </w:t>
      </w:r>
      <w:r>
        <w:rPr>
          <w:iCs/>
          <w:i/>
        </w:rPr>
        <w:t xml:space="preserve">Spread</w:t>
      </w:r>
      <w:r>
        <w:t xml:space="preserve">: diferencia de rendimiento entre un bono y otro de referencia; en el caso soberano, entre los bonos del país y los del Tesoro de Estados Unidos.</w:t>
      </w:r>
    </w:p>
  </w:footnote>
  <w:footnote w:id="85">
    <w:p>
      <w:pPr>
        <w:pStyle w:val="FootnoteText"/>
      </w:pPr>
      <w:r>
        <w:rPr>
          <w:rStyle w:val="FootnoteReference"/>
        </w:rPr>
        <w:footnoteRef/>
      </w:r>
      <w:r>
        <w:t xml:space="preserve"> </w:t>
      </w:r>
      <w:r>
        <w:rPr>
          <w:iCs/>
          <w:i/>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image" Target="media/rId73.png"/><Relationship Id="rId78" Type="http://schemas.openxmlformats.org/officeDocument/2006/relationships/image" Target="media/rId78.png"/><Relationship Id="rId81" Type="http://schemas.openxmlformats.org/officeDocument/2006/relationships/image" Target="media/rId81.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6" Type="http://schemas.openxmlformats.org/officeDocument/2006/relationships/image" Target="media/rId106.png"/><Relationship Id="rId100" Type="http://schemas.openxmlformats.org/officeDocument/2006/relationships/image" Target="media/rId100.png"/><Relationship Id="rId112" Type="http://schemas.openxmlformats.org/officeDocument/2006/relationships/image" Target="media/rId112.png"/><Relationship Id="rId115" Type="http://schemas.openxmlformats.org/officeDocument/2006/relationships/image" Target="media/rId115.png"/><Relationship Id="rId126" Type="http://schemas.openxmlformats.org/officeDocument/2006/relationships/image" Target="media/rId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2026-10-20T12:39:11Z</dcterms:created>
  <dcterms:modified xsi:type="dcterms:W3CDTF">2026-10-20T12:39:11Z</dcterms:modified>
</cp:coreProperties>
</file>

<file path=docProps/custom.xml><?xml version="1.0" encoding="utf-8"?>
<Properties xmlns="http://schemas.openxmlformats.org/officeDocument/2006/custom-properties" xmlns:vt="http://schemas.openxmlformats.org/officeDocument/2006/docPropsVTypes"/>
</file>