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958f4139c88d135c1914e712ab5183ae9fd9102"/>
    <w:p>
      <w:pPr>
        <w:pStyle w:val="Heading1"/>
      </w:pPr>
      <w:r>
        <w:t xml:space="preserve">Seguimiento de tareas de la tesis (documento interno del grupo)</w:t>
      </w:r>
    </w:p>
    <w:p>
      <w:pPr>
        <w:pStyle w:val="FirstParagraph"/>
      </w:pPr>
      <w:r>
        <w:t xml:space="preserve">Documento de trabajo del grupo. Última actualización: 12 de octubre de 2026.</w:t>
      </w:r>
    </w:p>
    <w:bookmarkStart w:id="9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para que todos trabajemos sobre la misma base. Cada decisión tiene su justificación en el documento de decisiones finales (D1 a D14). Cada número viene de la hoja de números (</w:t>
      </w:r>
      <w:r>
        <w:rPr>
          <w:rStyle w:val="VerbatimChar"/>
        </w:rPr>
        <w:t xml:space="preserve">codigo/modelos/hoja_de_numeros.py</w:t>
      </w:r>
      <w:r>
        <w:t xml:space="preserve">) o del Apéndice (</w:t>
      </w:r>
      <w:r>
        <w:rPr>
          <w:rStyle w:val="VerbatimChar"/>
        </w:rPr>
        <w:t xml:space="preserve">codigo/modelos/apendice_tablas.py</w:t>
      </w:r>
      <w:r>
        <w:t xml:space="preserve">). Lo que todavía no está hecho aparece como pendiente.</w:t>
      </w:r>
    </w:p>
    <w:bookmarkEnd w:id="9"/>
    <w:bookmarkStart w:id="11" w:name="estado-al-12-de-octubre-de-2026"/>
    <w:p>
      <w:pPr>
        <w:pStyle w:val="Heading2"/>
      </w:pPr>
      <w:r>
        <w:t xml:space="preserve">2. Estado al 12 de octubre de 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Modelo rehecho</w:t>
      </w:r>
      <w:r>
        <w:t xml:space="preserve"> </w:t>
      </w:r>
      <w:r>
        <w:t xml:space="preserve">según las decisiones D1 a D12, después de la revisión adversarial del 11/10/2026.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reescrito</w:t>
      </w:r>
      <w:r>
        <w:t xml:space="preserve">: los capítulos, el Apéndice y los documentos del grupo (plan de labor, propuesta metodológica, guía de defensa y revisión crítica) usan los números nuevos.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Pendiente</w:t>
      </w:r>
      <w:r>
        <w:t xml:space="preserve">: la validación del grupo, los informes del FGS y el control final de la extensión (sección 5).</w:t>
      </w:r>
    </w:p>
    <w:bookmarkStart w:id="10" w:name="scripts-que-generan-los-resultados"/>
    <w:p>
      <w:pPr>
        <w:pStyle w:val="Heading3"/>
      </w:pPr>
      <w:r>
        <w:t xml:space="preserve">Scripts que generan los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Propiedades de las series (ADF, KPSS, Zivot-Andrews, Bai-Perron, Johansen)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codigo/modelos/fase24b_propiedades_series.py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Estimación del SVARX, selección de rezagos, diagnósticos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codigo/modelos/fase24_svarx_1996_2025.py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Simulación de Monte Carlo con el escenario del FMI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codigo/modelos/fase25_simulacion_dsa_svarx.py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i/>
                <w:iCs/>
                <w:sz w:val="20"/>
              </w:rPr>
              <w:t xml:space="preserve">Shocks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 la manera del FMI y su diagnóstico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codigo/modelos/fase25b_diagnostico_abanico_fmi.py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Hoja de números y tablas del Apéndice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codigo/modelos/hoja_de_numeros.py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codigo/modelos/apendice_tablas.py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Figuras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codigo/modelos/figuras_tesis.py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codigo/modelos/fig_abanico_deuda.py</w:t>
            </w:r>
          </w:p>
        </w:tc>
      </w:tr>
    </w:tbl>
    <w:bookmarkEnd w:id="10"/>
    <w:bookmarkEnd w:id="11"/>
    <w:bookmarkStart w:id="12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Especificación principal: deuda bruta del gobierno federal, con 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del FMI a fines de 2025 (80,3% del PIB) como punto de partida. Extensión: deuda consolidada con el BCRA (52,1% del PIB en la definición del FMI).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única forma de comparar con la probabilidad del FMI con el mismo perímetro, punto de partida, escenario y métrica.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Datos desde 1999T1; muestra efectiva común 2000T3-2025T4 (102 trimestres).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Desde 1999 todas las series tienen fuente publicada y verificable (EMBI+ de la serie diaria de Ámbito Financiero). Todos los órdenes de rezago se comparan sobre la misma muestra (Lütkepohl, 2005, sec. 4.3).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Rezagos: Schwarz entre los órdenes estables y, si sus residuos están autocorrelacionados, el menor orden mayor que no lo esté. Resultado: 2 rezagos.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Ivanov y Kilian (2005) recomiendan Schwarz para datos trimestrales con menos de 120 observaciones; adecuación de residuos según Lütkepohl (2005, sec. 4.4).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Resultado primario con rentas de la propiedad para la deuda federal y sin rentas para la consolidada.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Coherencia con cada perímetro; con rentas es la definición del FMI para el gobierno federal.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Tasa de la FED con la tasa sombra de Wu y Xia (2016) en el límite cero; en 2022T1 la variación se calcula con la tasa efectiva.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confundir el cambio de serie con un cambio de política.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VIX y nivel de la tasa de la FED simulados con procesos AR(1).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incertidumbre externa forma parte del abanico.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Remuestreo de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shocks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en bloques de ocho trimestres.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Como los bloques de dos años del abanico del FMI (FMI, 2021, anexo VI).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Estimación central con MCO; intervalos con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bloques y percentiles de Hall; números aleatorios comunes; Kilian (1998) como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Brüggemann et al. (2016); Hall (1992).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Ajuste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-flujo e inflación relativa escalados por moneda; métrica con el ajuste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-flujo; proporción en pesos fija; retroalimentación anual.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Definición del FMI (2021, párr. 53 y anexo VI).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D10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H1a con su criterio original; la suficiencia como complemento descriptivo.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elimina el cambio de criterio de la versión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D11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con el mismo perímetro, punto de partida, escenario, horizonte y métrica del FMI; Bonferroni por los dos horizontes.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Comparación de lo mismo con lo mismo.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D12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H2 contrastada en 2035; 2031 se informa.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efecto de una tasa más alta se acumula.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D13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Título: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“Probabilidad de no estabilización de la deuda pública argentina, 2026-2035: un modelo SVARX con determinantes macroeconómicos y política monetaria de Estados Unidos”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título anterior prometía más de lo que se mide.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Tabla completa de robustez al Apéndice (A.8); ejes 2, 3 y 8 de Antecedentes reducidos.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Extensión.</w:t>
            </w:r>
          </w:p>
        </w:tc>
      </w:tr>
    </w:tbl>
    <w:p>
      <w:pPr>
        <w:pStyle w:val="BodyText"/>
      </w:pPr>
      <w:r>
        <w:t xml:space="preserve">Las decisiones anteriores al 12/10 que siguen vigentes: la Introducción del 7/10 como base; el umbral de 100% del PIB fuera de las hipótesis; el canal cuasifiscal de la FED redactado en pasado; el módulo de balanza de pagos como línea futura; todo umbral, corte o tamaño de</w:t>
      </w:r>
      <w:r>
        <w:t xml:space="preserve"> </w:t>
      </w:r>
      <w:r>
        <w:rPr>
          <w:i/>
          <w:iCs/>
        </w:rPr>
        <w:t xml:space="preserve">shock</w:t>
      </w:r>
      <w:r>
        <w:t xml:space="preserve"> </w:t>
      </w:r>
      <w:r>
        <w:t xml:space="preserve">con justificación escrita; la identificación de Blanchard y Perotti como principal y Cholesky como robustez.</w:t>
      </w:r>
    </w:p>
    <w:bookmarkEnd w:id="12"/>
    <w:bookmarkStart w:id="19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/>
          <w:bCs/>
        </w:rPr>
        <w:t xml:space="preserve">hecho</w:t>
      </w:r>
      <w:r>
        <w:t xml:space="preserve">,</w:t>
      </w:r>
      <w:r>
        <w:t xml:space="preserve"> </w:t>
      </w:r>
      <w:r>
        <w:rPr>
          <w:b/>
          <w:bCs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pendiente</w:t>
      </w:r>
      <w:r>
        <w:t xml:space="preserve">.</w:t>
      </w:r>
    </w:p>
    <w:bookmarkStart w:id="13" w:name="X653ab6a61b7e61932b5bff6648930e6bd06af6a"/>
    <w:p>
      <w:pPr>
        <w:pStyle w:val="Heading3"/>
      </w:pPr>
      <w:r>
        <w:t xml:space="preserve">Etapa 1. Introducción y Antecedentes (hecha)</w:t>
      </w:r>
    </w:p>
    <w:p>
      <w:pPr>
        <w:pStyle w:val="Compact"/>
        <w:numPr>
          <w:ilvl w:val="0"/>
          <w:numId w:val="1002"/>
        </w:numPr>
      </w:pPr>
      <w:r>
        <w:t xml:space="preserve">Introducción reescrita con el perímetro de D1 y los criterios de D10 a D12. Antecedentes con los ejes 2, 3 y 8 reducidos (D14).</w:t>
      </w:r>
    </w:p>
    <w:bookmarkEnd w:id="13"/>
    <w:bookmarkStart w:id="14" w:name="etapa-2.-datos-hecha"/>
    <w:p>
      <w:pPr>
        <w:pStyle w:val="Heading3"/>
      </w:pPr>
      <w:r>
        <w:t xml:space="preserve">Etapa 2. Datos (hecha)</w:t>
      </w:r>
    </w:p>
    <w:p>
      <w:pPr>
        <w:pStyle w:val="Compact"/>
        <w:numPr>
          <w:ilvl w:val="0"/>
          <w:numId w:val="1003"/>
        </w:numPr>
      </w:pPr>
      <w:r>
        <w:t xml:space="preserve">Series desde 1999T1 con fuentes publicadas (MECON, BCRA, INDEC, FRED, Ámbito Financiero para el EMBI+). Deuda federal bruta y deuda consolidada con el BCRA. Resultado primario por perímetro (D4).</w:t>
      </w:r>
    </w:p>
    <w:bookmarkEnd w:id="14"/>
    <w:bookmarkStart w:id="15" w:name="etapa-3.-metodología-y-estimación-hecha"/>
    <w:p>
      <w:pPr>
        <w:pStyle w:val="Heading3"/>
      </w:pPr>
      <w:r>
        <w:t xml:space="preserve">Etapa 3. Metodología y estimación (hecha)</w:t>
      </w:r>
    </w:p>
    <w:p>
      <w:pPr>
        <w:pStyle w:val="Compact"/>
        <w:numPr>
          <w:ilvl w:val="0"/>
          <w:numId w:val="1004"/>
        </w:numPr>
      </w:pPr>
      <w:r>
        <w:t xml:space="preserve">SVARX con 2 rezagos sobre 2000T3-2025T4, autovalor máximo 0,849. Reacción fiscal de impacto 0,0495 [0,0099; 0,0799] y de largo plazo 0,167 [0,057; 0,296]. Residuos sin autocorrelación (Portmanteau p = 0,296).</w:t>
      </w:r>
    </w:p>
    <w:bookmarkEnd w:id="15"/>
    <w:bookmarkStart w:id="16" w:name="etapa-4.-simulación-y-contrastes-hecha"/>
    <w:p>
      <w:pPr>
        <w:pStyle w:val="Heading3"/>
      </w:pPr>
      <w:r>
        <w:t xml:space="preserve">Etapa 4. Simulación y contrastes (hecha)</w:t>
      </w:r>
    </w:p>
    <w:p>
      <w:pPr>
        <w:pStyle w:val="Compact"/>
        <w:numPr>
          <w:ilvl w:val="0"/>
          <w:numId w:val="1005"/>
        </w:numPr>
      </w:pPr>
      <w:r>
        <w:t xml:space="preserve">H1a respaldada con su criterio original: 82,6 puntos [65,8; 92,4], en las 19 especificaciones.</w:t>
      </w:r>
    </w:p>
    <w:p>
      <w:pPr>
        <w:pStyle w:val="Compact"/>
        <w:numPr>
          <w:ilvl w:val="0"/>
          <w:numId w:val="1005"/>
        </w:numPr>
      </w:pPr>
      <w:r>
        <w:t xml:space="preserve">H1b respaldada: 32,8% [26,8; 37,9] en 2031 y 31,3% [27,0; 35,3] en 2035, contra 1% y menos de 3% del FMI, en las 19 especificaciones.</w:t>
      </w:r>
    </w:p>
    <w:p>
      <w:pPr>
        <w:pStyle w:val="Compact"/>
        <w:numPr>
          <w:ilvl w:val="0"/>
          <w:numId w:val="1005"/>
        </w:numPr>
      </w:pPr>
      <w:r>
        <w:t xml:space="preserve">H2 respaldada en su efecto sobre la probabilidad (senda 2022-2025: +11,3 puntos en 2035 [4,4; 17,9]), no en su mecanismo.</w:t>
      </w:r>
    </w:p>
    <w:bookmarkEnd w:id="16"/>
    <w:bookmarkStart w:id="17" w:name="etapa-5.-redacción-hecha"/>
    <w:p>
      <w:pPr>
        <w:pStyle w:val="Heading3"/>
      </w:pPr>
      <w:r>
        <w:t xml:space="preserve">Etapa 5. Redacción (hecha)</w:t>
      </w:r>
    </w:p>
    <w:p>
      <w:pPr>
        <w:pStyle w:val="Compact"/>
        <w:numPr>
          <w:ilvl w:val="0"/>
          <w:numId w:val="1006"/>
        </w:numPr>
      </w:pPr>
      <w:r>
        <w:t xml:space="preserve">Capítulos, Apéndice y documentos del grupo reescritos con los números nuevos.</w:t>
      </w:r>
    </w:p>
    <w:bookmarkEnd w:id="17"/>
    <w:bookmarkStart w:id="18" w:name="etapa-6.-validación-y-entrega-en-curso"/>
    <w:p>
      <w:pPr>
        <w:pStyle w:val="Heading3"/>
      </w:pPr>
      <w:r>
        <w:t xml:space="preserve">Etapa 6. Validación y entrega (en curso)</w:t>
      </w:r>
    </w:p>
    <w:p>
      <w:pPr>
        <w:pStyle w:val="Compact"/>
        <w:numPr>
          <w:ilvl w:val="0"/>
          <w:numId w:val="1007"/>
        </w:numPr>
      </w:pPr>
      <w:r>
        <w:t xml:space="preserve">Validación del grupo y del director, control de extensión y pasaje al formato final.</w:t>
      </w:r>
    </w:p>
    <w:bookmarkEnd w:id="18"/>
    <w:bookmarkEnd w:id="19"/>
    <w:bookmarkStart w:id="24" w:name="qué-falta-actualizado-el-12102026"/>
    <w:p>
      <w:pPr>
        <w:pStyle w:val="Heading2"/>
      </w:pPr>
      <w:r>
        <w:t xml:space="preserve">5. Qué falta (actualizado el 12/10/2026)</w:t>
      </w:r>
    </w:p>
    <w:bookmarkStart w:id="20" w:name="validación-del-grupo"/>
    <w:p>
      <w:pPr>
        <w:pStyle w:val="Heading3"/>
      </w:pPr>
      <w:r>
        <w:t xml:space="preserve">5.1 Validación del grupo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D1: deuda federal bruta como especificación principal y consolidada como extensión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D2: datos desde 1999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D13: título nuevo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</w:tbl>
    <w:bookmarkEnd w:id="20"/>
    <w:bookmarkStart w:id="21" w:name="informes-del-fgs"/>
    <w:p>
      <w:pPr>
        <w:pStyle w:val="Heading3"/>
      </w:pPr>
      <w:r>
        <w:t xml:space="preserve">5.2 Informes del FGS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Por qué importa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Cómo se resuelve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Títulos públicos en cartera del FGS (ANSES), 2008-2025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serie histórica de deuda consolidada no descuenta la deuda del Tesoro en manos del FGS. La especificación principal no se ve afectada, y la simulación de la extensión parte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del FMI, que sí lo descuenta.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ANSES bloquea la descarga automática (protección anti-bots); hay que bajar los PDF a mano desde el navegador y guardarlos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 Archivos: Informe Estadístico Mensual de enero de 2026 (https://www.anses.gob.ar/sites/default/files/archivo/2026-03/IEM-FGS-2026-01.pdf), Anuario 2024 (https://www.anses.gob.ar/sites/default/files/inline-files/Anuario%202024.pdf), Consejo del FGS de diciembre de 2025 (https://www.anses.gob.ar/sites/default/files/archivo/2026-02/Consejo%20FGS-Diciembre-2025.pdf) y, para años anteriores, los anuarios e informes de la página del FGS (https://www.anses.gob.ar/fgs-fondo-de-garantia-de-sustentabilidad). De cada uno se toma la fila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“Títulos Públicos Nacionales”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al cierre de cada año o trimestre. El script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codigo/ingesta_datos/construir_tenencias_fgs.py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ya está listo para leerlos.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Pendiente: bajar a mano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Deuda en manos de Agencias del Sector Público (Secretaría de Finanzas)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Dato descriptivo de la deuda intra sector público. No se usa para restar, porque incluye otras entidades y duplicaría parte de lo que ya se consolida.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Está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datos/procesados/tenencias_fgs_1996_2025.csv</w:t>
            </w:r>
            <w:r>
              <w:rPr>
                <w:rFonts w:ascii="Calibri" w:hAnsi="Calibri"/>
                <w:sz w:val="20"/>
              </w:rPr>
              <w:t xml:space="preserve">, con los PDF de Finanzas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Hecho</w:t>
            </w:r>
          </w:p>
        </w:tc>
      </w:tr>
    </w:tbl>
    <w:bookmarkEnd w:id="21"/>
    <w:bookmarkStart w:id="22" w:name="control-final-de-extensión"/>
    <w:p>
      <w:pPr>
        <w:pStyle w:val="Heading3"/>
      </w:pPr>
      <w:r>
        <w:t xml:space="preserve">5.3 Control final de extensión</w:t>
      </w:r>
    </w:p>
    <w:p>
      <w:pPr>
        <w:pStyle w:val="Compact"/>
        <w:numPr>
          <w:ilvl w:val="0"/>
          <w:numId w:val="1008"/>
        </w:numPr>
      </w:pPr>
      <w:r>
        <w:t xml:space="preserve">Contar las páginas del texto reescrito. Si supera unas 60, acordar en el grupo qué se recorta. La tabla completa de robustez ya pasó al Apéndice y los ejes 2, 3 y 8 de Antecedentes ya se redujeron (D14).</w:t>
      </w:r>
    </w:p>
    <w:bookmarkEnd w:id="22"/>
    <w:bookmarkStart w:id="23" w:name="Xf62d34386df59d6e7b83021b167ba9e7ac6ef10"/>
    <w:p>
      <w:pPr>
        <w:pStyle w:val="Heading3"/>
      </w:pPr>
      <w:r>
        <w:t xml:space="preserve">5.4 Registro de verificaciones de citas (sin cambios desde el 11/10)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Braun y Joy (1968), restricción externa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copia abierta (Oxford y JSTOR). Si alguien tiene acceso por la facultad, se verifica contra el original.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Adler, Djigbenou y Sosa (2016)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Verificada sobre el documento de trabajo del FMI (WP/14/60), no sobre la versión de la revista.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Brüggemann, Jentsch y Trenkler (2016) y Hall (1992)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agregan a las referencias por D8.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Las otras citas del marco teórico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Verificadas contra el texto completo, con página (ver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verificacion_citas_marco.md</w:t>
            </w:r>
            <w:r>
              <w:rPr>
                <w:rFonts w:ascii="Calibri" w:hAnsi="Calibri"/>
                <w:sz w:val="20"/>
              </w:rPr>
              <w:t xml:space="preserve">).</w:t>
            </w:r>
          </w:p>
        </w:tc>
      </w:tr>
    </w:tbl>
    <w:bookmarkEnd w:id="23"/>
    <w:bookmarkEnd w:id="24"/>
    <w:bookmarkStart w:id="25" w:name="referencias-de-este-documento"/>
    <w:p>
      <w:pPr>
        <w:pStyle w:val="Heading2"/>
      </w:pPr>
      <w:r>
        <w:t xml:space="preserve">Referencias de este documento</w:t>
      </w:r>
    </w:p>
    <w:p>
      <w:pPr>
        <w:pStyle w:val="Compact"/>
        <w:numPr>
          <w:ilvl w:val="0"/>
          <w:numId w:val="1009"/>
        </w:numPr>
      </w:pPr>
      <w:r>
        <w:t xml:space="preserve">Brüggemann, R., Jentsch, C., y Trenkler, C. (2016). Inference in VARs with conditional heteroskedasticity of unknown form.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</w:t>
      </w:r>
      <w:r>
        <w:t xml:space="preserve"> </w:t>
      </w:r>
      <w:r>
        <w:rPr>
          <w:i/>
          <w:iCs/>
        </w:rPr>
        <w:t xml:space="preserve">191</w:t>
      </w:r>
      <w:r>
        <w:t xml:space="preserve">(1), 69-85. https://doi.org/10.1016/j.jeconom.2015.10.004</w:t>
      </w:r>
    </w:p>
    <w:p>
      <w:pPr>
        <w:pStyle w:val="Compact"/>
        <w:numPr>
          <w:ilvl w:val="0"/>
          <w:numId w:val="1009"/>
        </w:numPr>
      </w:pPr>
      <w:r>
        <w:t xml:space="preserve">Fondo Monetario Internacional [FMI]. (2021).</w:t>
      </w:r>
      <w:r>
        <w:t xml:space="preserve"> </w:t>
      </w:r>
      <w:r>
        <w:rPr>
          <w:i/>
          <w:iCs/>
        </w:rPr>
        <w:t xml:space="preserve">Review of the debt sustainability framework for market access countries</w:t>
      </w:r>
      <w:r>
        <w:t xml:space="preserve"> </w:t>
      </w:r>
      <w:r>
        <w:t xml:space="preserve">(IMF Policy Paper).</w:t>
      </w:r>
    </w:p>
    <w:p>
      <w:pPr>
        <w:pStyle w:val="Compact"/>
        <w:numPr>
          <w:ilvl w:val="0"/>
          <w:numId w:val="1009"/>
        </w:numPr>
      </w:pPr>
      <w:r>
        <w:t xml:space="preserve">Hall, P. (1992).</w:t>
      </w:r>
      <w:r>
        <w:t xml:space="preserve"> </w:t>
      </w:r>
      <w:r>
        <w:rPr>
          <w:i/>
          <w:iCs/>
        </w:rPr>
        <w:t xml:space="preserve">The bootstrap and Edgeworth expansion</w:t>
      </w:r>
      <w:r>
        <w:t xml:space="preserve">. Springer. https://doi.org/10.1007/978-1-4612-4384-7</w:t>
      </w:r>
    </w:p>
    <w:p>
      <w:pPr>
        <w:pStyle w:val="Compact"/>
        <w:numPr>
          <w:ilvl w:val="0"/>
          <w:numId w:val="1009"/>
        </w:numPr>
      </w:pPr>
      <w:r>
        <w:t xml:space="preserve">Ivanov, V., y Kilian, L. (2005). A practitioner’s guide to lag order selection for VAR impulse response analysis.</w:t>
      </w:r>
      <w:r>
        <w:t xml:space="preserve"> </w:t>
      </w:r>
      <w:r>
        <w:rPr>
          <w:i/>
          <w:iCs/>
        </w:rPr>
        <w:t xml:space="preserve">Studies in Nonlinear Dynamics and Econometrics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(1), artículo 2. https://doi.org/10.2202/1558-3708.1219</w:t>
      </w:r>
    </w:p>
    <w:p>
      <w:pPr>
        <w:pStyle w:val="Compact"/>
        <w:numPr>
          <w:ilvl w:val="0"/>
          <w:numId w:val="1009"/>
        </w:numPr>
      </w:pPr>
      <w:r>
        <w:t xml:space="preserve">Kilian, L. (1998). Small-sample confidence intervals for impulse response functions.</w:t>
      </w:r>
      <w:r>
        <w:t xml:space="preserve"> </w:t>
      </w:r>
      <w:r>
        <w:rPr>
          <w:i/>
          <w:iCs/>
        </w:rPr>
        <w:t xml:space="preserve">Review of Economics and Statistics</w:t>
      </w:r>
      <w:r>
        <w:t xml:space="preserve">,</w:t>
      </w:r>
      <w:r>
        <w:t xml:space="preserve"> </w:t>
      </w:r>
      <w:r>
        <w:rPr>
          <w:i/>
          <w:iCs/>
        </w:rPr>
        <w:t xml:space="preserve">80</w:t>
      </w:r>
      <w:r>
        <w:t xml:space="preserve">(2), 218-230. https://doi.org/10.1162/003465398557465</w:t>
      </w:r>
    </w:p>
    <w:p>
      <w:pPr>
        <w:pStyle w:val="Compact"/>
        <w:numPr>
          <w:ilvl w:val="0"/>
          <w:numId w:val="1009"/>
        </w:numPr>
      </w:pPr>
      <w:r>
        <w:t xml:space="preserve">Lütkepohl, H. (2005).</w:t>
      </w:r>
      <w:r>
        <w:t xml:space="preserve"> </w:t>
      </w:r>
      <w:r>
        <w:rPr>
          <w:i/>
          <w:iCs/>
        </w:rPr>
        <w:t xml:space="preserve">New introduction to multiple time series analysis</w:t>
      </w:r>
      <w:r>
        <w:t xml:space="preserve">. Springer.</w:t>
      </w:r>
    </w:p>
    <w:p>
      <w:pPr>
        <w:pStyle w:val="Compact"/>
        <w:numPr>
          <w:ilvl w:val="0"/>
          <w:numId w:val="1009"/>
        </w:numPr>
      </w:pPr>
      <w:r>
        <w:t xml:space="preserve">Wu, J. C., y Xia, F. D. (2016). Measuring the macroeconomic impact of monetary policy at the zero lower bound.</w:t>
      </w:r>
      <w:r>
        <w:t xml:space="preserve"> </w:t>
      </w:r>
      <w:r>
        <w:rPr>
          <w:i/>
          <w:iCs/>
        </w:rPr>
        <w:t xml:space="preserve">Journal of Money, Credit and Banking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(2-3), 253-291. https://doi.org/10.1111/jmcb.12300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2026-10-13T00:51:31Z</dcterms:created>
  <dcterms:modified xsi:type="dcterms:W3CDTF">2026-10-13T00:51:31Z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