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
          <w:bCs/>
        </w:rPr>
        <w:t xml:space="preserve">Metodología.</w:t>
      </w:r>
      <w:r>
        <w:t xml:space="preserve"> </w:t>
      </w:r>
      <w:r>
        <w:t xml:space="preserve">Se estima un modelo de vectores autorregresivos estructural con variables exógenas (SVARX) con datos trimestrales de 1999-2025 sobre la deuda federal bruta, el perímetro del análisis de sostenibilidad del Fondo Monetario Internacional (FMI), con la tasa de la Reserva Federal y la volatilidad financiera global como exógenas. La deuda se simula alrededor del escenario base del FMI de 2026, desde su punto de partida y con su métrica de no estabilización. La deuda consolidada con el Banco Central es una extensión.</w:t>
      </w:r>
    </w:p>
    <w:p>
      <w:pPr>
        <w:pStyle w:val="BodyText"/>
      </w:pPr>
      <w:r>
        <w:rPr>
          <w:b/>
          <w:bCs/>
        </w:rPr>
        <w:t xml:space="preserve">Resultados.</w:t>
      </w:r>
      <w:r>
        <w:t xml:space="preserve"> </w:t>
      </w:r>
      <w:r>
        <w:t xml:space="preserve">La probabilidad de no estabilización es de 32,8% en 2031 (intervalo de 90%: 26,8% a 37,9%) y de 31,3% en 2035 (27,0% a 35,3%), frente a alrededor de 1% y menos de 3% en el análisis del FMI, y supera esas cifras en las 19 especificaciones. Los</w:t>
      </w:r>
      <w:r>
        <w:t xml:space="preserve"> </w:t>
      </w:r>
      <w:r>
        <w:rPr>
          <w:i/>
          <w:iCs/>
        </w:rPr>
        <w:t xml:space="preserve">shocks</w:t>
      </w:r>
      <w:r>
        <w:t xml:space="preserve"> </w:t>
      </w:r>
      <w:r>
        <w:t xml:space="preserve">no fiscales aportan a la varianza de la deuda de 2035 82,6 puntos más que el fiscal. Repetir la senda de la tasa de la Reserva Federal de 2022-2025 eleva la probabilidad de 2035 en 11,3 puntos; el efecto sobre la deuda esperada no es robusto y proviene sobre todo del costo directo de la deuda en dólares. Con la deuda consolidada, la probabilidad es de 26,8% en 2031.</w:t>
      </w:r>
    </w:p>
    <w:p>
      <w:pPr>
        <w:pStyle w:val="BodyText"/>
      </w:pPr>
      <w:r>
        <w:rPr>
          <w:b/>
          <w:bCs/>
        </w:rPr>
        <w:t xml:space="preserve">Conclusión.</w:t>
      </w:r>
      <w:r>
        <w:t xml:space="preserve"> </w:t>
      </w:r>
      <w:r>
        <w:t xml:space="preserve">Con la dinámica histórica estimada, la probabilidad de que la deuda no se estabilice es mucho mayor que la que informa el FMI, y la mayor parte de la incertidumbre proviene de</w:t>
      </w:r>
      <w:r>
        <w:t xml:space="preserve"> </w:t>
      </w:r>
      <w:r>
        <w:rPr>
          <w:i/>
          <w:iCs/>
        </w:rPr>
        <w:t xml:space="preserve">shocks</w:t>
      </w:r>
      <w:r>
        <w:t xml:space="preserve"> </w:t>
      </w:r>
      <w:r>
        <w:t xml:space="preserve">externos, cambiarios y de riesgo.</w:t>
      </w:r>
    </w:p>
    <w:p>
      <w:pPr>
        <w:pStyle w:val="BodyText"/>
      </w:pPr>
      <w:r>
        <w:rPr>
          <w:b/>
          <w:bCs/>
        </w:rPr>
        <w:t xml:space="preserve">Palabras clave:</w:t>
      </w:r>
      <w:r>
        <w:t xml:space="preserve"> </w:t>
      </w:r>
      <w:r>
        <w:t xml:space="preserve">deuda pública, sostenibilidad fiscal, SVARX, gráfico de abanico, riesgo soberano, Argentina.</w:t>
      </w:r>
    </w:p>
    <w:p>
      <w:pPr>
        <w:pStyle w:val="BodyText"/>
      </w:pPr>
      <w:r>
        <w:rPr>
          <w:b/>
          <w:bCs/>
        </w:rPr>
        <w:t xml:space="preserve">Clasificación JEL:</w:t>
      </w:r>
      <w:r>
        <w:t xml:space="preserve"> </w:t>
      </w:r>
      <w:r>
        <w:t xml:space="preserve">C32, E62, F34, H63, H68.</w:t>
      </w:r>
    </w:p>
    <w:bookmarkEnd w:id="9"/>
    <w:bookmarkStart w:id="23" w:name="introducción"/>
    <w:p>
      <w:pPr>
        <w:pStyle w:val="Heading1"/>
      </w:pPr>
      <w:r>
        <w:t xml:space="preserve">1. Introducción</w:t>
      </w:r>
    </w:p>
    <w:bookmarkStart w:id="13"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
          <w:iCs/>
        </w:rPr>
        <w:t xml:space="preserve">default</w:t>
      </w:r>
      <w:r>
        <w:rPr>
          <w:rStyle w:val="FootnoteReference"/>
        </w:rPr>
        <w:footnoteReference w:id="11"/>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
          <w:iCs/>
        </w:rPr>
        <w:t xml:space="preserve">stock</w:t>
      </w:r>
      <w:r>
        <w:rPr>
          <w:rStyle w:val="FootnoteReference"/>
        </w:rPr>
        <w:footnoteReference w:id="12"/>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3"/>
    <w:bookmarkStart w:id="14"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
          <w:iCs/>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14"/>
    <w:bookmarkStart w:id="15"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(1999-2025)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en pesos del BCRA, que sumaban 14,9% del producto interno bruto (PIB) a fines de 2023 y 0,1% a fines de 2025, después de que la esterilización monetaria pasara al Tesoro (FMI, 2026, anexo II, cuadro 2).</w:t>
      </w:r>
    </w:p>
    <w:bookmarkEnd w:id="15"/>
    <w:bookmarkStart w:id="17"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(1999-2025), para proyectarla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series trimestrales de la deuda federal bruta y de la deuda consolidada con el BCRA (deuda del Tesoro nacional neta de la que está en poder del BCRA, más los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pública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los bloques de</w:t>
      </w:r>
      <w:r>
        <w:t xml:space="preserve"> </w:t>
      </w:r>
      <w:r>
        <w:rPr>
          <w:i/>
          <w:iCs/>
        </w:rPr>
        <w:t xml:space="preserve">shocks</w:t>
      </w:r>
      <w:r>
        <w:rPr>
          <w:rStyle w:val="FootnoteReference"/>
        </w:rPr>
        <w:footnoteReference w:id="16"/>
      </w:r>
      <w:r>
        <w:t xml:space="preserve"> </w:t>
      </w:r>
      <w:r>
        <w:t xml:space="preserve">fiscal, de actividad, cambiario y de riesgo, y externo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federal bruta en 2026-2035 bajo el escenario base del FMI, y repetir la simulación con la deuda consolidada con el BCRA.</w:t>
      </w:r>
    </w:p>
    <w:p>
      <w:pPr>
        <w:pStyle w:val="Compact"/>
        <w:numPr>
          <w:ilvl w:val="0"/>
          <w:numId w:val="1001"/>
        </w:numPr>
      </w:pPr>
      <w:r>
        <w:t xml:space="preserve">Estimar el impacto de un endurecimiento de la política monetaria de la FED sobre esa distribución.</w:t>
      </w:r>
    </w:p>
    <w:bookmarkEnd w:id="17"/>
    <w:bookmarkStart w:id="18" w:name="hipótesis"/>
    <w:p>
      <w:pPr>
        <w:pStyle w:val="Heading2"/>
      </w:pPr>
      <w:r>
        <w:t xml:space="preserve">1.5 Hipótesis</w:t>
      </w:r>
    </w:p>
    <w:p>
      <w:pPr>
        <w:pStyle w:val="FirstParagraph"/>
      </w:pPr>
      <w:r>
        <w:t xml:space="preserve">H1a. Los determinantes macroeconómicos históricos de Argentina en 1999-2025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el mismo escenario base y la misma métrica.</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a través del riesgo soberano, el tipo de cambio real y el crecimiento. El</w:t>
      </w:r>
      <w:r>
        <w:t xml:space="preserve"> </w:t>
      </w:r>
      <w:r>
        <w:rPr>
          <w:i/>
          <w:iCs/>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18"/>
    <w:bookmarkStart w:id="20" w:name="estrategia-metodológica"/>
    <w:p>
      <w:pPr>
        <w:pStyle w:val="Heading2"/>
      </w:pPr>
      <w:r>
        <w:t xml:space="preserve">1.6 Estrategia metodológica</w:t>
      </w:r>
    </w:p>
    <w:p>
      <w:pPr>
        <w:pStyle w:val="FirstParagraph"/>
      </w:pPr>
      <w:r>
        <w:t xml:space="preserve">Para contrastar estas hipótesis se estima un SVARX con datos trimestrales de Argentina desde 1999; la muestra de estimación cubre 2000-2025. La deuda federal bruta entra rezagada en todas las ecuaciones del sistema y se acumula con la identidad contable, de modo que los</w:t>
      </w:r>
      <w:r>
        <w:t xml:space="preserve"> </w:t>
      </w:r>
      <w:r>
        <w:rPr>
          <w:i/>
          <w:iCs/>
        </w:rPr>
        <w:t xml:space="preserve">shocks</w:t>
      </w:r>
      <w:r>
        <w:t xml:space="preserve"> </w:t>
      </w:r>
      <w:r>
        <w:t xml:space="preserve">se transmiten en ambos sentidos: la deuda responde al riesgo país, al tipo de cambio y al resultado fiscal, y a la vez los afecta en los trimestres siguientes.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
          <w:iCs/>
        </w:rPr>
        <w:t xml:space="preserve">fan charts</w:t>
      </w:r>
      <w:r>
        <w:t xml:space="preserve">)</w:t>
      </w:r>
      <w:r>
        <w:rPr>
          <w:rStyle w:val="FootnoteReference"/>
        </w:rPr>
        <w:footnoteReference w:id="19"/>
      </w:r>
      <w:r>
        <w:t xml:space="preserve"> </w:t>
      </w:r>
      <w:r>
        <w:t xml:space="preserve">y en la métrica de no estabilización que utiliza el FMI. El mismo ejercicio se repite con la deuda consolidada con el BCRA.</w:t>
      </w:r>
    </w:p>
    <w:bookmarkEnd w:id="20"/>
    <w:bookmarkStart w:id="21" w:name="justificación"/>
    <w:p>
      <w:pPr>
        <w:pStyle w:val="Heading2"/>
      </w:pPr>
      <w:r>
        <w:t xml:space="preserve">1.7 Justificación</w:t>
      </w:r>
    </w:p>
    <w:p>
      <w:pPr>
        <w:pStyle w:val="FirstParagraph"/>
      </w:pPr>
      <w:r>
        <w:t xml:space="preserve">La Ley 27.612 de Fortalecimiento de la Sostenibilidad de la Deuda Pública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
          <w:iCs/>
        </w:rPr>
        <w:t xml:space="preserve">shocks</w:t>
      </w:r>
      <w:r>
        <w:t xml:space="preserve"> </w:t>
      </w:r>
      <w:r>
        <w:t xml:space="preserve">identificados cuyo resultado se exprese en la métrica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
          <w:iCs/>
        </w:rPr>
        <w:t xml:space="preserve">shock</w:t>
      </w:r>
      <w:r>
        <w:t xml:space="preserve"> </w:t>
      </w:r>
      <w:r>
        <w:t xml:space="preserve">externo de origen identificable, la política monetaria de la FED. Como la simulación usa el perímetro, el punto de partida, el escenario y la métrica del FMI,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21"/>
    <w:bookmarkStart w:id="22"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
          <w:iCs/>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22"/>
    <w:bookmarkEnd w:id="23"/>
    <w:bookmarkStart w:id="39"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
          <w:iCs/>
        </w:rPr>
        <w:t xml:space="preserve">default</w:t>
      </w:r>
      <w:r>
        <w:t xml:space="preserve">. La sección 2.9 delimita el área de vacancia.</w:t>
      </w:r>
    </w:p>
    <w:bookmarkStart w:id="24"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“efectos sobre la deuda pública”</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24"/>
    <w:bookmarkStart w:id="26"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
          <w:iCs/>
        </w:rPr>
        <w:t xml:space="preserve">holdouts</w:t>
      </w:r>
      <w:r>
        <w:t xml:space="preserve">)</w:t>
      </w:r>
      <w:r>
        <w:rPr>
          <w:rStyle w:val="FootnoteReference"/>
        </w:rPr>
        <w:footnoteReference w:id="25"/>
      </w:r>
      <w:r>
        <w:t xml:space="preserve">. Ambos trabajos ubican el origen de la última reestructuración en el tramo de la deuda en moneda extranjera, que la identidad de acumulación del Capítulo 3 separa del tramo en pesos.</w:t>
      </w:r>
    </w:p>
    <w:bookmarkEnd w:id="26"/>
    <w:bookmarkStart w:id="27"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27"/>
    <w:bookmarkStart w:id="28"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OCDE (1970-2014)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28"/>
    <w:bookmarkStart w:id="31"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que aplicó a Argentina en sus revisiones del programa (FMI, 2024, 2025).</w:t>
      </w:r>
    </w:p>
    <w:p>
      <w:pPr>
        <w:pStyle w:val="BodyText"/>
      </w:pPr>
      <w:r>
        <w:t xml:space="preserve">Un segundo cuerpo de literatura llevó el problema a economías emergentes expuestas a</w:t>
      </w:r>
      <w:r>
        <w:t xml:space="preserve"> </w:t>
      </w:r>
      <w:r>
        <w:rPr>
          <w:i/>
          <w:iCs/>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
          <w:iCs/>
        </w:rPr>
        <w:t xml:space="preserve">push</w:t>
      </w:r>
      <w:r>
        <w:t xml:space="preserve">)</w:t>
      </w:r>
      <w:r>
        <w:rPr>
          <w:rStyle w:val="FootnoteReference"/>
        </w:rPr>
        <w:footnoteReference w:id="29"/>
      </w:r>
      <w:r>
        <w:t xml:space="preserve">. Adler et al. (2016), con un VAR de panel de los flujos brutos de capital de 38 economías emergentes entre 1990 y 2012, encontraron que ante los</w:t>
      </w:r>
      <w:r>
        <w:t xml:space="preserve"> </w:t>
      </w:r>
      <w:r>
        <w:rPr>
          <w:i/>
          <w:iCs/>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
          <w:iCs/>
        </w:rPr>
        <w:t xml:space="preserve">early warning systems</w:t>
      </w:r>
      <w:r>
        <w:t xml:space="preserve">)</w:t>
      </w:r>
      <w:r>
        <w:rPr>
          <w:rStyle w:val="FootnoteReference"/>
        </w:rPr>
        <w:footnoteReference w:id="30"/>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31"/>
    <w:bookmarkStart w:id="32"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
          <w:iCs/>
        </w:rPr>
        <w:t xml:space="preserve">stock</w:t>
      </w:r>
      <w:r>
        <w:t xml:space="preserve">; ambos coinciden en que el diagnóstico fiscal de corto plazo no bastaba para juzgar la sostenibilidad.</w:t>
      </w:r>
    </w:p>
    <w:bookmarkEnd w:id="32"/>
    <w:bookmarkStart w:id="35"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33"/>
      </w:r>
      <w:r>
        <w:t xml:space="preserve">. En el marco del FMI, ese salto ensanchó el abanico hasta 122,7 puntos y llevó la señal mecánica de riesgo a</w:t>
      </w:r>
      <w:r>
        <w:t xml:space="preserve"> </w:t>
      </w:r>
      <w:r>
        <w:t xml:space="preserve">“alto”</w:t>
      </w:r>
      <w:r>
        <w:t xml:space="preserve">, que el personal técnico descartó por no reflejar el riesgo de mediano plazo (FMI, 2024); disipado el efecto, el ancho bajó a 74,2 puntos y la señal volvió a</w:t>
      </w:r>
      <w:r>
        <w:t xml:space="preserve"> </w:t>
      </w:r>
      <w:r>
        <w:t xml:space="preserve">“moderado”</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
          <w:iCs/>
        </w:rPr>
        <w:t xml:space="preserve">bootstrap</w:t>
      </w:r>
      <w:r>
        <w:rPr>
          <w:rStyle w:val="FootnoteReference"/>
        </w:rPr>
        <w:footnoteReference w:id="34"/>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35"/>
    <w:bookmarkStart w:id="36" w:name="octavo-eje-el-costo-real-del-default"/>
    <w:p>
      <w:pPr>
        <w:pStyle w:val="Heading2"/>
      </w:pPr>
      <w:r>
        <w:t xml:space="preserve">2.8 Octavo eje: el costo real del</w:t>
      </w:r>
      <w:r>
        <w:t xml:space="preserve"> </w:t>
      </w:r>
      <w:r>
        <w:rPr>
          <w:i/>
          <w:iCs/>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
          <w:iCs/>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
          <w:iCs/>
        </w:rPr>
        <w:t xml:space="preserve">default</w:t>
      </w:r>
      <w:r>
        <w:t xml:space="preserve">.</w:t>
      </w:r>
    </w:p>
    <w:bookmarkEnd w:id="36"/>
    <w:bookmarkStart w:id="38"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
          <w:iCs/>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
          <w:iCs/>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
          <w:iCs/>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
          <w:iCs/>
        </w:rPr>
        <w:t xml:space="preserve">shocks</w:t>
      </w:r>
      <w:r>
        <w:t xml:space="preserve"> </w:t>
      </w:r>
      <w:r>
        <w:t xml:space="preserve">identificados, cuyo resultado sea la métrica de no estabilización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frecuencia trimestral, que da 102 observaciones en la muestra de estimación (2000T3-2025T4), y con variables binarias para los quiebres estructurales; la longitud y la inestabilidad de las series siguen siendo una limitación del diseño (sección 7.6). El abanico del FMI aplica al escenario base</w:t>
      </w:r>
      <w:r>
        <w:t xml:space="preserve"> </w:t>
      </w:r>
      <w:r>
        <w:rPr>
          <w:i/>
          <w:iCs/>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
          <w:bCs/>
        </w:rPr>
        <w:t xml:space="preserve">Un</w:t>
      </w:r>
      <w:r>
        <w:rPr>
          <w:b/>
          <w:bCs/>
        </w:rPr>
        <w:t xml:space="preserve"> </w:t>
      </w:r>
      <w:r>
        <w:rPr>
          <w:b/>
          <w:bCs/>
          <w:i/>
          <w:iCs/>
        </w:rPr>
        <w:t xml:space="preserve">shock</w:t>
      </w:r>
      <w:r>
        <w:rPr>
          <w:b/>
          <w:bCs/>
        </w:rPr>
        <w:t xml:space="preserve"> </w:t>
      </w:r>
      <w:r>
        <w:rPr>
          <w:b/>
          <w:bCs/>
        </w:rPr>
        <w:t xml:space="preserve">externo identificado.</w:t>
      </w:r>
      <w:r>
        <w:t xml:space="preserve"> </w:t>
      </w:r>
      <w:r>
        <w:t xml:space="preserve">Los efectos de la política monetaria de Estados Unidos sobre las economías emergentes se estudiaron sobre los</w:t>
      </w:r>
      <w:r>
        <w:t xml:space="preserve"> </w:t>
      </w:r>
      <w:r>
        <w:rPr>
          <w:i/>
          <w:iCs/>
        </w:rPr>
        <w:t xml:space="preserve">spreads</w:t>
      </w:r>
      <w:r>
        <w:rPr>
          <w:rStyle w:val="FootnoteReference"/>
        </w:rPr>
        <w:footnoteReference w:id="37"/>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
          <w:iCs/>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
          <w:iCs/>
        </w:rPr>
        <w:t xml:space="preserve">stock</w:t>
      </w:r>
      <w:r>
        <w:t xml:space="preserve"> </w:t>
      </w:r>
      <w:r>
        <w:t xml:space="preserve">haya respondido a los mismos</w:t>
      </w:r>
      <w:r>
        <w:t xml:space="preserve"> </w:t>
      </w:r>
      <w:r>
        <w:rPr>
          <w:i/>
          <w:iCs/>
        </w:rPr>
        <w:t xml:space="preserve">shocks</w:t>
      </w:r>
      <w:r>
        <w:t xml:space="preserve"> </w:t>
      </w:r>
      <w:r>
        <w:t xml:space="preserve">cambiarios y de riesgo que la deuda del Tesoro, y la tesis lo trata como una hipótesis al estimar, como extensión, la dinámica de la deuda consolidada. Desde 2024 esos pasivos se redujeron a niveles mínimos: los pases pasivos se suspendieron en julio de 2024 y su</w:t>
      </w:r>
      <w:r>
        <w:t xml:space="preserve"> </w:t>
      </w:r>
      <w:r>
        <w:rPr>
          <w:i/>
          <w:iCs/>
        </w:rPr>
        <w:t xml:space="preserve">stock</w:t>
      </w:r>
      <w:r>
        <w:t xml:space="preserve"> </w:t>
      </w:r>
      <w:r>
        <w:t xml:space="preserve">pasó al Tesoro como Letras Fiscales de Liquidez (LEFI), que el BCRA dejó de ofrecer en julio de 2025 (BCRA, 2025), y a fin de 2025 el</w:t>
      </w:r>
      <w:r>
        <w:t xml:space="preserve"> </w:t>
      </w:r>
      <w:r>
        <w:rPr>
          <w:i/>
          <w:iCs/>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1999-2025, identificación estructural de los canales y la tasa de la FED como variable exógena, estimado sobre la deuda federal bruta y, como extensión, sobre la deuda consolidada con el BCRA. La metodología se elige porque reproduce la arquitectura que el FMI usa para evaluar la sostenibilidad, la de Celasun et al. (2006): un VAR que genera los</w:t>
      </w:r>
      <w:r>
        <w:t xml:space="preserve"> </w:t>
      </w:r>
      <w:r>
        <w:rPr>
          <w:i/>
          <w:iCs/>
        </w:rPr>
        <w:t xml:space="preserve">shocks</w:t>
      </w:r>
      <w:r>
        <w:t xml:space="preserve"> </w:t>
      </w:r>
      <w:r>
        <w:t xml:space="preserve">y una función de reacción fiscal que responde a la deuda. Esa arquitectura no se había aplicado a Argentina como caso único con</w:t>
      </w:r>
      <w:r>
        <w:t xml:space="preserve"> </w:t>
      </w:r>
      <w:r>
        <w:rPr>
          <w:i/>
          <w:iCs/>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métrica del FMI, el resultado de la tesis es comparable con esa probabilidad, y la diferencia no puede provenir de esos elementos.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
          <w:iCs/>
        </w:rPr>
        <w:t xml:space="preserve">shock</w:t>
      </w:r>
      <w:r>
        <w:t xml:space="preserve"> </w:t>
      </w:r>
      <w:r>
        <w:t xml:space="preserve">externo que la literatura revisada vincula con esos canales.</w:t>
      </w:r>
    </w:p>
    <w:bookmarkEnd w:id="38"/>
    <w:bookmarkEnd w:id="39"/>
    <w:bookmarkStart w:id="52"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40"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40"/>
    <w:bookmarkStart w:id="46" w:name="X2ea9139ef2de522cd93682806adc2a5819e35a2"/>
    <w:p>
      <w:pPr>
        <w:pStyle w:val="Heading2"/>
      </w:pPr>
      <w:r>
        <w:t xml:space="preserve">3.2 Solvencia, la regla de Bohn y la identidad de la deuda</w:t>
      </w:r>
    </w:p>
    <w:bookmarkStart w:id="41"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41"/>
    <w:bookmarkStart w:id="42"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
          <w:iCs/>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42"/>
    <w:bookmarkStart w:id="43"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en pesos, de 16,4%, frente a una porción en moneda extranjera de 68,5% de la deuda consolidada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
          <w:iCs/>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43"/>
    <w:bookmarkStart w:id="44"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
          <w:iCs/>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44"/>
    <w:bookmarkStart w:id="45"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la regla estabiliza la deuda solo si (r-g)/(1+g) queda por debajo de unos cinco puntos, y en una economía con deuda en moneda extranjera r incluye la depreciación real y el</w:t>
      </w:r>
      <w:r>
        <w:t xml:space="preserve"> </w:t>
      </w:r>
      <w:r>
        <w:rPr>
          <w:i/>
          <w:iCs/>
        </w:rPr>
        <w:t xml:space="preserve">spread</w:t>
      </w:r>
      <w:r>
        <w:t xml:space="preserve"> </w:t>
      </w:r>
      <w:r>
        <w:t xml:space="preserve">soberano, variables con</w:t>
      </w:r>
      <w:r>
        <w:t xml:space="preserve"> </w:t>
      </w:r>
      <w:r>
        <w:rPr>
          <w:i/>
          <w:iCs/>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
          <w:iCs/>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45"/>
    <w:bookmarkEnd w:id="46"/>
    <w:bookmarkStart w:id="47"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47"/>
    <w:bookmarkStart w:id="48"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de la Reserva Federal (FED). La literatura identifica cuatro canales, de los cuales el modelo incluye los tres primeros.</w:t>
      </w:r>
    </w:p>
    <w:p>
      <w:pPr>
        <w:pStyle w:val="BodyText"/>
      </w:pPr>
      <w:r>
        <w:rPr>
          <w:i/>
          <w:iCs/>
        </w:rPr>
        <w:t xml:space="preserve">Riesgo soberano.</w:t>
      </w:r>
      <w:r>
        <w:t xml:space="preserve"> </w:t>
      </w:r>
      <w:r>
        <w:t xml:space="preserve">Uribe y Yue (2006) estiman que los</w:t>
      </w:r>
      <w:r>
        <w:t xml:space="preserve"> </w:t>
      </w:r>
      <w:r>
        <w:rPr>
          <w:i/>
          <w:iCs/>
        </w:rPr>
        <w:t xml:space="preserve">shocks</w:t>
      </w:r>
      <w:r>
        <w:t xml:space="preserve"> </w:t>
      </w:r>
      <w:r>
        <w:t xml:space="preserve">de la tasa de Estados Unidos explican alrededor de 20% de los movimientos de la actividad en las economías emergentes en frecuencias de ciclo, sobre todo a través del</w:t>
      </w:r>
      <w:r>
        <w:t xml:space="preserve"> </w:t>
      </w:r>
      <w:r>
        <w:rPr>
          <w:i/>
          <w:iCs/>
        </w:rPr>
        <w:t xml:space="preserve">spread</w:t>
      </w:r>
      <w:r>
        <w:t xml:space="preserve"> </w:t>
      </w:r>
      <w:r>
        <w:t xml:space="preserve">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EMBI+ es endógeno, la tasa en dólares se construye como tasa de la FED más EMBI+ y el VIX entra como variable exógena de condiciones financieras globales, como en Adler y Sosa (2013).</w:t>
      </w:r>
    </w:p>
    <w:p>
      <w:pPr>
        <w:pStyle w:val="BodyText"/>
      </w:pPr>
      <w:r>
        <w:rPr>
          <w:i/>
          <w:iCs/>
        </w:rPr>
        <w:t xml:space="preserve">Tipo de cambio real y valuación.</w:t>
      </w:r>
      <w:r>
        <w:t xml:space="preserve"> </w:t>
      </w:r>
      <w:r>
        <w:t xml:space="preserve">Los</w:t>
      </w:r>
      <w:r>
        <w:t xml:space="preserve"> </w:t>
      </w:r>
      <w:r>
        <w:rPr>
          <w:i/>
          <w:iCs/>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
          <w:iCs/>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el</w:t>
      </w:r>
      <w:r>
        <w:t xml:space="preserve"> </w:t>
      </w:r>
      <w:r>
        <w:rPr>
          <w:i/>
          <w:iCs/>
        </w:rPr>
        <w:t xml:space="preserve">spread</w:t>
      </w:r>
      <w:r>
        <w:t xml:space="preserve">, y el crecimiento endógeno hace que el diferencial r-g se mueva por el numerador y el denominador.</w:t>
      </w:r>
    </w:p>
    <w:p>
      <w:pPr>
        <w:pStyle w:val="BodyText"/>
      </w:pPr>
      <w:r>
        <w:rPr>
          <w:i/>
          <w:iCs/>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
          <w:iCs/>
        </w:rPr>
        <w:t xml:space="preserve">shocks</w:t>
      </w:r>
      <w:r>
        <w:t xml:space="preserve"> </w:t>
      </w:r>
      <w:r>
        <w:t xml:space="preserve">de Estados Unidos respecto de los países latinoamericanos.</w:t>
      </w:r>
    </w:p>
    <w:bookmarkEnd w:id="48"/>
    <w:bookmarkStart w:id="49"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
          <w:iCs/>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
          <w:iCs/>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Con la notación de la sección 3.2, ese resultado primario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deuda no se estabiliza en T cuando pb_T &lt; pb^*_T. Para Argentina, el FMI (2026) estima una probabilidad de estabilización de alrededor de 99% a mediano plazo y superior a 97% en el abanico de diez años que termina en 2035. Esas cifras son los umbrales de H1b.</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49"/>
    <w:bookmarkStart w:id="50"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 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bookmarkEnd w:id="50"/>
    <w:bookmarkStart w:id="51"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51"/>
    <w:bookmarkEnd w:id="52"/>
    <w:bookmarkStart w:id="60"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w:t>
      </w:r>
    </w:p>
    <w:bookmarkStart w:id="53"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
          <w:iCs/>
        </w:rPr>
        <w:t xml:space="preserve">shocks</w:t>
      </w:r>
      <w:r>
        <w:t xml:space="preserve"> </w:t>
      </w:r>
      <w:r>
        <w:t xml:space="preserve">tomados de la historia. Esta tesis agrega dos elementos que justifica la vacancia: los</w:t>
      </w:r>
      <w:r>
        <w:t xml:space="preserve"> </w:t>
      </w:r>
      <w:r>
        <w:rPr>
          <w:i/>
          <w:iCs/>
        </w:rPr>
        <w:t xml:space="preserve">shocks</w:t>
      </w:r>
      <w:r>
        <w:t xml:space="preserve"> </w:t>
      </w:r>
      <w:r>
        <w:t xml:space="preserve">domésticos se identifican estructuralmente y la tasa de la FED entra como un</w:t>
      </w:r>
      <w:r>
        <w:t xml:space="preserve"> </w:t>
      </w:r>
      <w:r>
        <w:rPr>
          <w:i/>
          <w:iCs/>
        </w:rPr>
        <w:t xml:space="preserve">shock</w:t>
      </w:r>
      <w:r>
        <w:t xml:space="preserve"> </w:t>
      </w:r>
      <w:r>
        <w:t xml:space="preserve">externo con nombre propio.</w:t>
      </w:r>
    </w:p>
    <w:p>
      <w:pPr>
        <w:pStyle w:val="BodyText"/>
      </w:pPr>
      <w:r>
        <w:rPr>
          <w:b/>
          <w:bCs/>
        </w:rPr>
        <w:t xml:space="preserve">Perímetro.</w:t>
      </w:r>
      <w:r>
        <w:t xml:space="preserve"> </w:t>
      </w:r>
      <w:r>
        <w:t xml:space="preserve">La especificación principal mide la deuda bruta del gobierno federal, el perímetro del análisis de sostenibilidad del FMI (2026, anexo II). Así el punto de partida, el escenario, el horizonte y la métrica son los del FMI, y H1b compara magnitudes equivalentes. La simulación parte del</w:t>
      </w:r>
      <w:r>
        <w:t xml:space="preserve"> </w:t>
      </w:r>
      <w:r>
        <w:rPr>
          <w:i/>
          <w:iCs/>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del sector público consolidado con el BCRA en la definición del FMI (cuadro 2, línea 5), que parte de 52,1% del PIB con 68,5% en moneda extranjera. Su dinámica se estima con la serie propia de deuda consolidada (Tesoro más BCRA, Letras Intransferibles a valor nominal).</w:t>
      </w:r>
    </w:p>
    <w:bookmarkEnd w:id="53"/>
    <w:bookmarkStart w:id="54" w:name="variables-del-sistema"/>
    <w:p>
      <w:pPr>
        <w:pStyle w:val="Heading2"/>
      </w:pPr>
      <w:r>
        <w:t xml:space="preserve">4.2 Variables del sistema</w:t>
      </w:r>
    </w:p>
    <w:p>
      <w:pPr>
        <w:pStyle w:val="FirstParagraph"/>
      </w:pPr>
      <w:r>
        <w:rPr>
          <w:b/>
          <w:bCs/>
        </w:rPr>
        <w:t xml:space="preserve">Tabla 4.1. Variables del SVARX</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Entra en la identidad (Celasun et al., 2006). Serie original; la estacionalidad la absorben variables binarias trimestrales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Entra en la identidad; el coeficiente de la deuda rezagada es la reacción fiscal de Bohn (1998).</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parte de la tasa en dólares.</w:t>
            </w:r>
          </w:p>
        </w:tc>
      </w:tr>
      <w:tr>
        <w:tc>
          <w:tcPr/>
          <w:p>
            <w:pPr>
              <w:pStyle w:val="Compact"/>
            </w:pPr>
            <w:r>
              <w:rPr>
                <w:rFonts w:ascii="Calibri" w:hAnsi="Calibri"/>
                <w:sz w:val="20"/>
              </w:rPr>
              <w:t xml:space="preserve">Tipo de cambio real multilateral (TCRM)</w:t>
            </w:r>
          </w:p>
        </w:tc>
        <w:tc>
          <w:tcPr/>
          <w:p>
            <w:pPr>
              <w:pStyle w:val="Compact"/>
            </w:pPr>
            <w:r>
              <w:rPr>
                <w:rFonts w:ascii="Calibri" w:hAnsi="Calibri"/>
                <w:sz w:val="20"/>
              </w:rPr>
              <w:t xml:space="preserve">Endógena</w:t>
            </w:r>
          </w:p>
        </w:tc>
        <w:tc>
          <w:tcPr/>
          <w:p>
            <w:pPr>
              <w:pStyle w:val="Compact"/>
            </w:pPr>
            <w:r>
              <w:rPr>
                <w:rFonts w:ascii="Calibri" w:hAnsi="Calibri"/>
                <w:sz w:val="20"/>
              </w:rPr>
              <w:t xml:space="preserve">Valuación de la deuda en moneda extranjera (Calvo et al., 2003); es el índice que usa el FMI (2026, cuadro 6, nota 1).</w:t>
            </w:r>
          </w:p>
        </w:tc>
      </w:tr>
      <w:tr>
        <w:tc>
          <w:tcPr/>
          <w:p>
            <w:pPr>
              <w:pStyle w:val="Compact"/>
            </w:pPr>
            <w:r>
              <w:rPr>
                <w:rFonts w:ascii="Calibri" w:hAnsi="Calibri"/>
                <w:sz w:val="20"/>
              </w:rPr>
              <w:t xml:space="preserve">Deuda federal bruta (% del PIB)</w:t>
            </w:r>
          </w:p>
        </w:tc>
        <w:tc>
          <w:tcPr/>
          <w:p>
            <w:pPr>
              <w:pStyle w:val="Compact"/>
            </w:pPr>
            <w:r>
              <w:rPr>
                <w:rFonts w:ascii="Calibri" w:hAnsi="Calibri"/>
                <w:sz w:val="20"/>
              </w:rPr>
              <w:t xml:space="preserve">Predeterminada: entra rezagada y evoluciona por la identidad</w:t>
            </w:r>
          </w:p>
        </w:tc>
        <w:tc>
          <w:tcPr/>
          <w:p>
            <w:pPr>
              <w:pStyle w:val="Compact"/>
            </w:pPr>
            <w:r>
              <w:rPr>
                <w:rFonts w:ascii="Calibri" w:hAnsi="Calibri"/>
                <w:sz w:val="20"/>
              </w:rPr>
              <w:t xml:space="preserve">Retroalimentación de la deuda (Favero y Giavazzi, 2007). En la extensión la reemplaza la deuda consolidada.</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 con dos rezagos</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la única variable global con efectos robustos en Adler y Sosa (2013).</w:t>
            </w:r>
          </w:p>
        </w:tc>
      </w:tr>
      <w:tr>
        <w:tc>
          <w:tcPr/>
          <w:p>
            <w:pPr>
              <w:pStyle w:val="Compact"/>
            </w:pPr>
            <w:r>
              <w:rPr>
                <w:rFonts w:ascii="Calibri" w:hAnsi="Calibri"/>
                <w:sz w:val="20"/>
              </w:rPr>
              <w:t xml:space="preserve">Variables binarias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 y Perron (2003) en la serie de deuda.</w:t>
            </w:r>
          </w:p>
        </w:tc>
      </w:tr>
    </w:tbl>
    <w:p>
      <w:pPr>
        <w:pStyle w:val="BodyText"/>
      </w:pPr>
      <w:r>
        <w:t xml:space="preserve">Fuente: elaboración propia.</w:t>
      </w:r>
    </w:p>
    <w:p>
      <w:pPr>
        <w:pStyle w:val="BodyText"/>
      </w:pPr>
      <w:r>
        <w:rPr>
          <w:b/>
          <w:bCs/>
        </w:rPr>
        <w:t xml:space="preserve">Resultado primario según el perímetro.</w:t>
      </w:r>
      <w:r>
        <w:t xml:space="preserve"> </w:t>
      </w:r>
      <w:r>
        <w:t xml:space="preserve">Para la deuda federal se usa el resultado con rentas de la propiedad, que es la definición del FMI para el gobierno federal: las utilidades que el BCRA transfiere al Tesoro son un ingreso del Tesoro. Para la deuda consolidada se usa el resultado sin rentas de la propiedad, porque en ese perímetro esas utilidades son un flujo interno. La otra definición se informa como robustez.</w:t>
      </w:r>
    </w:p>
    <w:p>
      <w:pPr>
        <w:pStyle w:val="BodyText"/>
      </w:pPr>
      <w:r>
        <w:rPr>
          <w:b/>
          <w:bCs/>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54"/>
    <w:bookmarkStart w:id="55"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ordenen las variables argentinas.</w:t>
      </w:r>
    </w:p>
    <w:p>
      <w:pPr>
        <w:pStyle w:val="BodyText"/>
      </w:pPr>
      <w:r>
        <w:t xml:space="preserve">La serie es la tasa de fondos federales, con la tasa sombra de Wu y Xia (2016) en el piso de cero. En 2022T1, cuando se pasa de una a otra, la variación se calcula con la tasa efectiva en los dos trimestres, para no confundir el cambio de serie con un cambio de política.</w:t>
      </w:r>
    </w:p>
    <w:p>
      <w:pPr>
        <w:pStyle w:val="BodyText"/>
      </w:pPr>
      <w:r>
        <w:rPr>
          <w:b/>
          <w:bCs/>
        </w:rPr>
        <w:t xml:space="preserve">Tabla 4.2. Canales por los que opera el</w:t>
      </w:r>
      <w:r>
        <w:rPr>
          <w:b/>
          <w:bCs/>
        </w:rPr>
        <w:t xml:space="preserve"> </w:t>
      </w:r>
      <w:r>
        <w:rPr>
          <w:b/>
          <w:bCs/>
          <w:i/>
          <w:iCs/>
        </w:rPr>
        <w:t xml:space="preserve">shock</w:t>
      </w:r>
      <w:r>
        <w:rPr>
          <w:b/>
          <w:bCs/>
        </w:rPr>
        <w:t xml:space="preserve"> </w:t>
      </w:r>
      <w:r>
        <w:rPr>
          <w:b/>
          <w:bCs/>
        </w:rPr>
        <w:t xml:space="preserve">de la FED</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Efecto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w:t>
            </w:r>
          </w:p>
        </w:tc>
      </w:tr>
      <w:tr>
        <w:tc>
          <w:tcPr/>
          <w:p>
            <w:pPr>
              <w:pStyle w:val="Compact"/>
            </w:pPr>
            <w:r>
              <w:rPr>
                <w:rFonts w:ascii="Calibri" w:hAnsi="Calibri"/>
                <w:sz w:val="20"/>
              </w:rPr>
              <w:t xml:space="preserve">Depreciación real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la deuda en moneda extranjera.</w:t>
            </w:r>
          </w:p>
        </w:tc>
      </w:tr>
      <w:tr>
        <w:tc>
          <w:tcPr/>
          <w:p>
            <w:pPr>
              <w:pStyle w:val="Compact"/>
            </w:pPr>
            <w:r>
              <w:rPr>
                <w:rFonts w:ascii="Calibri" w:hAnsi="Calibri"/>
                <w:sz w:val="20"/>
              </w:rPr>
              <w:t xml:space="preserve">Menor 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Empeora el diferencial entre tasa y crecimiento.</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w:t>
            </w:r>
          </w:p>
        </w:tc>
        <w:tc>
          <w:tcPr/>
          <w:p>
            <w:pPr>
              <w:pStyle w:val="Compac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bookmarkEnd w:id="55"/>
    <w:bookmarkStart w:id="56" w:name="identificación-de-los-shocks-domésticos"/>
    <w:p>
      <w:pPr>
        <w:pStyle w:val="Heading2"/>
      </w:pPr>
      <w:r>
        <w:t xml:space="preserve">4.4 Identificación de los</w:t>
      </w:r>
      <w:r>
        <w:t xml:space="preserve"> </w:t>
      </w:r>
      <w:r>
        <w:rPr>
          <w:i/>
          <w:iCs/>
        </w:rPr>
        <w:t xml:space="preserve">shocks</w:t>
      </w:r>
      <w:r>
        <w:t xml:space="preserve"> </w:t>
      </w:r>
      <w:r>
        <w:t xml:space="preserve">domésticos</w:t>
      </w:r>
    </w:p>
    <w:p>
      <w:pPr>
        <w:pStyle w:val="FirstParagraph"/>
      </w:pPr>
      <w:r>
        <w:t xml:space="preserve">Los residuos del VAR, u, se relacionan con cuatro</w:t>
      </w:r>
      <w:r>
        <w:t xml:space="preserve"> </w:t>
      </w:r>
      <w:r>
        <w:rPr>
          <w:i/>
          <w:iCs/>
        </w:rPr>
        <w:t xml:space="preserve">shocks</w:t>
      </w:r>
      <w:r>
        <w:t xml:space="preserve"> </w:t>
      </w:r>
      <w:r>
        <w:t xml:space="preserve">estructurales, ε, mediante u = S ε. La matriz S impone restricciones en el trimestre del impacto (Tabla 4.3):</w:t>
      </w:r>
    </w:p>
    <w:p>
      <w:pPr>
        <w:pStyle w:val="Compact"/>
        <w:numPr>
          <w:ilvl w:val="0"/>
          <w:numId w:val="1002"/>
        </w:numPr>
      </w:pPr>
      <w:r>
        <w:rPr>
          <w:b/>
          <w:bCs/>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
          <w:iCs/>
        </w:rPr>
        <w:t xml:space="preserve">shock</w:t>
      </w:r>
      <w:r>
        <w:t xml:space="preserve"> </w:t>
      </w:r>
      <w:r>
        <w:t xml:space="preserve">discrecional, que tarda más de un trimestre en reaccionar a la actividad.</w:t>
      </w:r>
    </w:p>
    <w:p>
      <w:pPr>
        <w:pStyle w:val="Compact"/>
        <w:numPr>
          <w:ilvl w:val="0"/>
          <w:numId w:val="1002"/>
        </w:numPr>
      </w:pPr>
      <w:r>
        <w:rPr>
          <w:b/>
          <w:bCs/>
        </w:rPr>
        <w:t xml:space="preserve">Actividad.</w:t>
      </w:r>
      <w:r>
        <w:t xml:space="preserve"> </w:t>
      </w:r>
      <w:r>
        <w:t xml:space="preserve">El crecimiento puede responder al</w:t>
      </w:r>
      <w:r>
        <w:t xml:space="preserve"> </w:t>
      </w:r>
      <w:r>
        <w:rPr>
          <w:i/>
          <w:iCs/>
        </w:rPr>
        <w:t xml:space="preserve">shock</w:t>
      </w:r>
      <w:r>
        <w:t xml:space="preserve"> </w:t>
      </w:r>
      <w:r>
        <w:t xml:space="preserve">fiscal en el trimestre; su</w:t>
      </w:r>
      <w:r>
        <w:t xml:space="preserve"> </w:t>
      </w:r>
      <w:r>
        <w:rPr>
          <w:i/>
          <w:iCs/>
        </w:rPr>
        <w:t xml:space="preserve">shock</w:t>
      </w:r>
      <w:r>
        <w:t xml:space="preserve"> </w:t>
      </w:r>
      <w:r>
        <w:t xml:space="preserve">es la parte del residuo que el fiscal no explica.</w:t>
      </w:r>
    </w:p>
    <w:p>
      <w:pPr>
        <w:pStyle w:val="Compact"/>
        <w:numPr>
          <w:ilvl w:val="0"/>
          <w:numId w:val="1002"/>
        </w:numPr>
      </w:pPr>
      <w:r>
        <w:rPr>
          <w:b/>
          <w:bCs/>
        </w:rPr>
        <w:t xml:space="preserve">Cambiario y de riesgo.</w:t>
      </w:r>
      <w:r>
        <w:t xml:space="preserve"> </w:t>
      </w:r>
      <w:r>
        <w:t xml:space="preserve">El EMBI+ y el TCRM responden en el trimestre a los otros dos</w:t>
      </w:r>
      <w:r>
        <w:t xml:space="preserve"> </w:t>
      </w:r>
      <w:r>
        <w:rPr>
          <w:i/>
          <w:iCs/>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Dentro del bloque se usa una ortonormalización arbitraria y solo se informa la contribución conjunta, que no depende de ella.</w:t>
      </w:r>
    </w:p>
    <w:p>
      <w:pPr>
        <w:pStyle w:val="FirstParagraph"/>
      </w:pPr>
      <w:r>
        <w:rPr>
          <w:b/>
          <w:bCs/>
        </w:rPr>
        <w:t xml:space="preserve">Tabla 4.3. Restricciones de impacto (S)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sz w:val="20"/>
              </w:rPr>
              <w:t xml:space="preserve">Bloque cambiario y de riesgo</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libre</w:t>
            </w:r>
          </w:p>
        </w:tc>
        <w:tc>
          <w:tcPr/>
          <w:p>
            <w:pPr>
              <w:pStyle w:val="Compact"/>
            </w:pPr>
            <w:r>
              <w:rPr>
                <w:rFonts w:ascii="Calibri" w:hAnsi="Calibri"/>
                <w:sz w:val="20"/>
              </w:rPr>
              <w:t xml:space="preserve">0,25 × respuesta del crecimiento</w:t>
            </w:r>
          </w:p>
        </w:tc>
        <w:tc>
          <w:tcPr/>
          <w:p>
            <w:pPr>
              <w:pStyle w:val="Compact"/>
            </w:pPr>
            <w:r>
              <w:rPr>
                <w:rFonts w:ascii="Calibri" w:hAnsi="Calibri"/>
                <w:sz w:val="20"/>
              </w:rPr>
              <w:t xml:space="preserve">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c>
          <w:tcPr/>
          <w:p>
            <w:pPr>
              <w:pStyle w:val="Compac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la simulación se repite con 0 y 0,5, y con dos ordenamientos de Cholesky (resultado primario primero y último), porque en Argentina los derechos de exportación dependen del tipo de cambio. Las variables externas no requieren identificación: forman un cuarto bloque, externo, medido con las innovaciones históricas de la FED y del VIX (sección 4.6).</w:t>
      </w:r>
    </w:p>
    <w:bookmarkEnd w:id="56"/>
    <w:bookmarkStart w:id="57"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
          <w:iCs/>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A.2).</w:t>
      </w:r>
    </w:p>
    <w:p>
      <w:pPr>
        <w:pStyle w:val="Compact"/>
        <w:numPr>
          <w:ilvl w:val="0"/>
          <w:numId w:val="1003"/>
        </w:numPr>
      </w:pPr>
      <w:r>
        <w:rPr>
          <w:b/>
          <w:bCs/>
        </w:rPr>
        <w:t xml:space="preserve">Muestra.</w:t>
      </w:r>
      <w:r>
        <w:t xml:space="preserve"> </w:t>
      </w:r>
      <w:r>
        <w:t xml:space="preserve">Los datos empiezan en 1999T1, cuando todas las series tienen una fuente publicada y verificable (Capítulo 5). La muestra efectiva es 2000T3-2025T4 (102 trimestres) en todas las especificaciones; los primeros trimestres son condiciones iniciales, para comparar los órdenes de rezago, hasta seis, sobre las mismas observaciones (Lütkepohl, 2005, sec. 4.3).</w:t>
      </w:r>
    </w:p>
    <w:p>
      <w:pPr>
        <w:pStyle w:val="Compact"/>
        <w:numPr>
          <w:ilvl w:val="0"/>
          <w:numId w:val="1003"/>
        </w:numPr>
      </w:pPr>
      <w:r>
        <w:rPr>
          <w:b/>
          <w:bCs/>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si sus residuos rechazan la ausencia de autocorrelación (Portmanteau, 12 rezagos, 5%; Hosking, 1980), el menor orden mayor que no la rechaza (Lütkepohl, 2005, sec. 4.4). Schwarz elige uno, con residuos autocorrelacionados (p = 0,000). Con dos la prueba no rechaza (p = 0,296); es también el orden de Hannan-Quinn, y su autovalor máximo es 0,849. Akaike elige cinco, con un autovalor de 0,998 (Apéndice, sección A.3).</w:t>
      </w:r>
    </w:p>
    <w:p>
      <w:pPr>
        <w:pStyle w:val="Compact"/>
        <w:numPr>
          <w:ilvl w:val="0"/>
          <w:numId w:val="1003"/>
        </w:numPr>
      </w:pPr>
      <w:r>
        <w:rPr>
          <w:b/>
          <w:bCs/>
        </w:rPr>
        <w:t xml:space="preserve">Inferencia.</w:t>
      </w:r>
      <w:r>
        <w:t xml:space="preserve"> </w:t>
      </w:r>
      <w:r>
        <w:t xml:space="preserve">La estimación central usa los parámetros de mínimos cuadrados. Los intervalos de 90% salen de un</w:t>
      </w:r>
      <w:r>
        <w:t xml:space="preserve"> </w:t>
      </w:r>
      <w:r>
        <w:rPr>
          <w:i/>
          <w:iCs/>
        </w:rPr>
        <w:t xml:space="preserve">bootstrap</w:t>
      </w:r>
      <w:r>
        <w:t xml:space="preserve"> </w:t>
      </w:r>
      <w:r>
        <w:t xml:space="preserve">de bloques móviles de cuatro trimestres sobre los residuos, de diseño recursivo, en el que la deuda también se regenera (Brüggemann, Jentsch y Trenkler, 2016). Esos autores muestran que el</w:t>
      </w:r>
      <w:r>
        <w:t xml:space="preserve"> </w:t>
      </w:r>
      <w:r>
        <w:rPr>
          <w:i/>
          <w:iCs/>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
          <w:iCs/>
        </w:rPr>
        <w:t xml:space="preserve">bootstrap</w:t>
      </w:r>
      <w:r>
        <w:t xml:space="preserve"> </w:t>
      </w:r>
      <w:r>
        <w:t xml:space="preserve">respecto de la estimación puntual. La corrección de sesgo de Kilian (1998) se informa como robustez.</w:t>
      </w:r>
    </w:p>
    <w:bookmarkEnd w:id="57"/>
    <w:bookmarkStart w:id="58" w:name="simulación-de-monte-carlo"/>
    <w:p>
      <w:pPr>
        <w:pStyle w:val="Heading2"/>
      </w:pPr>
      <w:r>
        <w:t xml:space="preserve">4.6 Simulación de Monte Carlo</w:t>
      </w:r>
    </w:p>
    <w:p>
      <w:pPr>
        <w:pStyle w:val="FirstParagraph"/>
      </w:pPr>
      <w:r>
        <w:rPr>
          <w:b/>
          <w:bCs/>
        </w:rPr>
        <w:t xml:space="preserve">Escenario base.</w:t>
      </w:r>
      <w:r>
        <w:t xml:space="preserve"> </w:t>
      </w:r>
      <w:r>
        <w:t xml:space="preserve">Es el del FMI (2026, cuadro 6), de mayo de 2026: crecimiento real g, deflactor π, tasa efectiva i, resultado primario pb, ajuste stock-flujo sf e inflación relativa ri (efecto de la depreciación nominal sobre la deuda en moneda extranjera). Aplicada al</w:t>
      </w:r>
      <w:r>
        <w:t xml:space="preserve"> </w:t>
      </w:r>
      <w:r>
        <w:rPr>
          <w:i/>
          <w:iCs/>
        </w:rPr>
        <w:t xml:space="preserve">stock</w:t>
      </w:r>
      <w:r>
        <w:t xml:space="preserve"> </w:t>
      </w:r>
      <w:r>
        <w:t xml:space="preserve">del FMI, la identidad reproduce su senda con un desvío máximo de 0,12 puntos del PIB. La robustez usa el escenario de 2025 (FMI, 2025, anexo II).</w:t>
      </w:r>
    </w:p>
    <w:p>
      <w:pPr>
        <w:pStyle w:val="BodyText"/>
      </w:pPr>
      <w:r>
        <w:rPr>
          <w:b/>
          <w:bCs/>
        </w:rPr>
        <w:t xml:space="preserve">Identidad de la deuda.</w:t>
      </w:r>
      <w:r>
        <w:t xml:space="preserve"> </w:t>
      </w:r>
      <w:r>
        <w:t xml:space="preserve">Para cada año t de 2026 a 2035:</w:t>
      </w:r>
    </w:p>
    <w:p>
      <w:pPr>
        <w:pStyle w:val="BodyText"/>
      </w:pPr>
      <w:r>
        <w:t xml:space="preserve">d_t = d_{t-1} M_t − pb_t + sf_t (a d_{t-1}) / (a^FMI d^FMI_{t-1}) + ri_t ((1 − a) d_{t-1}) / ((1 − a^FMI) d^FMI_{t-1})</w:t>
      </w:r>
    </w:p>
    <w:p>
      <w:pPr>
        <w:pStyle w:val="BodyText"/>
      </w:pPr>
      <w:r>
        <w:t xml:space="preserve">M_t = (1 + i_t + (1 − a) x_t)(1 + (1 − a) e_t) / ((1 + π_t)(1 + g_t))</w:t>
      </w:r>
    </w:p>
    <w:p>
      <w:pPr>
        <w:pStyle w:val="BodyText"/>
      </w:pPr>
      <w:r>
        <w:t xml:space="preserve">donde a es la proporción de la deuda en pesos (0,422 para la federal y 0,315 para la consolidada), a^FMI y d^FMI son la proporción y el</w:t>
      </w:r>
      <w:r>
        <w:t xml:space="preserve"> </w:t>
      </w:r>
      <w:r>
        <w:rPr>
          <w:i/>
          <w:iCs/>
        </w:rPr>
        <w:t xml:space="preserve">stock</w:t>
      </w:r>
      <w:r>
        <w:t xml:space="preserve"> </w:t>
      </w:r>
      <w:r>
        <w:t xml:space="preserve">del FMI, e_t es el desvío de la depreciación real que simula el SVARX y x_t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
          <w:bCs/>
        </w:rPr>
        <w:t xml:space="preserve">Algoritmo.</w:t>
      </w:r>
    </w:p>
    <w:p>
      <w:pPr>
        <w:pStyle w:val="Compact"/>
        <w:numPr>
          <w:ilvl w:val="0"/>
          <w:numId w:val="1004"/>
        </w:numPr>
      </w:pPr>
      <w:r>
        <w:t xml:space="preserve">El SVARX se simula durante 40 trimestres en desvíos respecto del escenario base, de modo que la constante y las variables binarias no intervienen.</w:t>
      </w:r>
    </w:p>
    <w:p>
      <w:pPr>
        <w:pStyle w:val="Compact"/>
        <w:numPr>
          <w:ilvl w:val="0"/>
          <w:numId w:val="1004"/>
        </w:numPr>
      </w:pPr>
      <w:r>
        <w:t xml:space="preserve">El VIX y el nivel de la tasa de la FED siguen procesos AR(1) estimados en la muestra (coeficientes de 0,700 y 0,960). Sus innovaciones históricas se remuestrean junto con los</w:t>
      </w:r>
      <w:r>
        <w:t xml:space="preserve"> </w:t>
      </w:r>
      <w:r>
        <w:rPr>
          <w:i/>
          <w:iCs/>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pStyle w:val="Compact"/>
        <w:numPr>
          <w:ilvl w:val="0"/>
          <w:numId w:val="1004"/>
        </w:numPr>
      </w:pPr>
      <w:r>
        <w:t xml:space="preserve">Al final de cada año los desvíos se anualizan: el del crecimiento es la variación del promedio anual del nivel del PIB; los del resultado primario y el EMBI+, promedios del año; el del TCRM, la variación de fin de año.</w:t>
      </w:r>
    </w:p>
    <w:p>
      <w:pPr>
        <w:pStyle w:val="Compact"/>
        <w:numPr>
          <w:ilvl w:val="0"/>
          <w:numId w:val="1004"/>
        </w:numPr>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
          <w:bCs/>
        </w:rPr>
        <w:t xml:space="preserve">Métrica.</w:t>
      </w:r>
      <w:r>
        <w:t xml:space="preserve"> </w:t>
      </w:r>
      <w:r>
        <w:t xml:space="preserve">Es la del FMI (2021, párr. 53): la deuda no se estabiliza en el año T si el resultado primario del escenario base es menor que el que la estabilizaría en esa trayectoria,</w:t>
      </w:r>
    </w:p>
    <w:p>
      <w:pPr>
        <w:pStyle w:val="BodyText"/>
      </w:pPr>
      <w:r>
        <w:t xml:space="preserve">pb*</w:t>
      </w:r>
      <w:r>
        <w:rPr>
          <w:i/>
          <w:iCs/>
        </w:rPr>
        <w:t xml:space="preserve">T = d</w:t>
      </w:r>
      <w:r>
        <w:t xml:space="preserve">{T-1} (M_T − 1) + sf_T + ri_T,</w:t>
      </w:r>
    </w:p>
    <w:p>
      <w:pPr>
        <w:pStyle w:val="BodyText"/>
      </w:pPr>
      <w:r>
        <w:t xml:space="preserve">con sf y ri escalados como en la identidad. Se mide en 2031 y en 2035, los últimos años de los abanicos de mediano plazo y de diez años del FMI. Como medidas alternativas se usan la métrica con el resultado primario simulado y la probabilidad de que la deuda de 2031 supere a la de 2029.</w:t>
      </w:r>
    </w:p>
    <w:p>
      <w:pPr>
        <w:pStyle w:val="BodyText"/>
      </w:pPr>
      <w:r>
        <w:rPr>
          <w:b/>
          <w:bCs/>
        </w:rPr>
        <w:t xml:space="preserve">Estimación.</w:t>
      </w:r>
      <w:r>
        <w:t xml:space="preserve"> </w:t>
      </w:r>
      <w:r>
        <w:t xml:space="preserve">La estimación central usa 20.000 trayectorias; los intervalos, 200 réplicas de parámetros con 1.000 trayectorias. Todas las especificaciones comparten los números aleatorios, y sus diferencias no provienen del sorteo.</w:t>
      </w:r>
    </w:p>
    <w:p>
      <w:pPr>
        <w:pStyle w:val="BodyText"/>
      </w:pPr>
      <w:r>
        <w:rPr>
          <w:b/>
          <w:bCs/>
        </w:rPr>
        <w:t xml:space="preserve">Escenarios de la FED.</w:t>
      </w:r>
      <w:r>
        <w:t xml:space="preserve"> </w:t>
      </w:r>
      <w:r>
        <w:t xml:space="preserve">En el primero, el nivel de la tasa queda 0,504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
          <w:bCs/>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2023): desvíos respecto de la media de los cuatro impulsores anuales de 2000-2025 (tasa real efectiva, crecimiento, depreciación real y resultado primario), remuestreados en bloques de dos años, con la misma identidad, punto de partida y métrica. Las demás quitan la retroalimentación, cambian la definición del resultado primario, usan uno o tres rezagos, omiten los quiebres o los</w:t>
      </w:r>
      <w:r>
        <w:t xml:space="preserve"> </w:t>
      </w:r>
      <w:r>
        <w:rPr>
          <w:i/>
          <w:iCs/>
        </w:rPr>
        <w:t xml:space="preserve">shocks</w:t>
      </w:r>
      <w:r>
        <w:t xml:space="preserve"> </w:t>
      </w:r>
      <w:r>
        <w:t xml:space="preserve">de 2001T4-2005T3, empiezan en 2004, anulan el ajuste stock-flujo, corrigen el sesgo o usan el escenario de 2025.</w:t>
      </w:r>
    </w:p>
    <w:p>
      <w:pPr>
        <w:pStyle w:val="BodyText"/>
      </w:pPr>
      <w:r>
        <w:t xml:space="preserve">El procedimiento del FMI genera</w:t>
      </w:r>
      <w:r>
        <w:t xml:space="preserve"> </w:t>
      </w:r>
      <w:r>
        <w:rPr>
          <w:i/>
          <w:iCs/>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porque los</w:t>
      </w:r>
      <w:r>
        <w:t xml:space="preserve"> </w:t>
      </w:r>
      <w:r>
        <w:rPr>
          <w:i/>
          <w:iCs/>
        </w:rPr>
        <w:t xml:space="preserve">shocks</w:t>
      </w:r>
      <w:r>
        <w:t xml:space="preserve"> </w:t>
      </w:r>
      <w:r>
        <w:t xml:space="preserve">estructurales reconstruyen los mismos residuos con cualquier S.</w:t>
      </w:r>
    </w:p>
    <w:bookmarkEnd w:id="58"/>
    <w:bookmarkStart w:id="59" w:name="contraste-de-las-hipótesis"/>
    <w:p>
      <w:pPr>
        <w:pStyle w:val="Heading2"/>
      </w:pPr>
      <w:r>
        <w:t xml:space="preserve">4.7 Contraste de las hipótesis</w:t>
      </w:r>
    </w:p>
    <w:p>
      <w:pPr>
        <w:pStyle w:val="FirstParagraph"/>
      </w:pPr>
      <w:r>
        <w:rPr>
          <w:b/>
          <w:bCs/>
        </w:rPr>
        <w:t xml:space="preserve">Tabla 4.4. Medidas y criterios de contraste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a la varianza de la deuda simulada en 2035</w:t>
            </w:r>
          </w:p>
        </w:tc>
        <w:tc>
          <w:tcPr/>
          <w:p>
            <w:pPr>
              <w:pStyle w:val="Compact"/>
            </w:pPr>
            <w:r>
              <w:rPr>
                <w:rFonts w:ascii="Calibri" w:hAnsi="Calibri"/>
                <w:sz w:val="20"/>
              </w:rPr>
              <w:t xml:space="preserve">La contribución de los bloques no fiscales supera a la del fiscal, con un intervalo de 90% de la diferencia que excluye el cero.</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no estabilización con el escenario base del FMI, en 2031 y en 2035</w:t>
            </w:r>
          </w:p>
        </w:tc>
        <w:tc>
          <w:tcPr/>
          <w:p>
            <w:pPr>
              <w:pStyle w:val="Compact"/>
            </w:pPr>
            <w:r>
              <w:rPr>
                <w:rFonts w:ascii="Calibri" w:hAnsi="Calibri"/>
                <w:sz w:val="20"/>
              </w:rPr>
              <w:t xml:space="preserve">El límite inferior del intervalo de 90% supera la cifra del FMI para el mismo horizonte (contraste unilateral al 5%): 1% a mediano plazo y menos de 3% a diez años (FMI, 2026).</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 2035 entre cada escenario de la FED y el base</w:t>
            </w:r>
          </w:p>
        </w:tc>
        <w:tc>
          <w:tcPr/>
          <w:p>
            <w:pPr>
              <w:pStyle w:val="Compact"/>
            </w:pPr>
            <w:r>
              <w:rPr>
                <w:rFonts w:ascii="Calibri" w:hAnsi="Calibri"/>
                <w:sz w:val="20"/>
              </w:rPr>
              <w:t xml:space="preserve">El intervalo de 90% de la diferencia excluye el cero en las dos medidas.</w:t>
            </w:r>
          </w:p>
        </w:tc>
      </w:tr>
    </w:tbl>
    <w:p>
      <w:pPr>
        <w:pStyle w:val="BodyText"/>
      </w:pPr>
      <w:r>
        <w:t xml:space="preserve">Fuente: elaboración propia.</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H1a se complementa con un análisis descriptivo de la suficiencia del superávit, sin criterio de contraste: se desplaza en la misma magnitud el resultado primario de todos los años y se informan la probabilidad con el máximo anual de 1999-2025 y el desplazamiento que lleva la de 2031 al 1% que estima el FMI para Argentina, cifra que es una estimación para el país y no un umbral de riesgo.</w:t>
      </w:r>
    </w:p>
    <w:bookmarkEnd w:id="59"/>
    <w:bookmarkEnd w:id="60"/>
    <w:bookmarkStart w:id="78" w:name="datos"/>
    <w:p>
      <w:pPr>
        <w:pStyle w:val="Heading1"/>
      </w:pPr>
      <w:r>
        <w:t xml:space="preserve">5. Datos</w:t>
      </w:r>
    </w:p>
    <w:p>
      <w:pPr>
        <w:pStyle w:val="FirstParagraph"/>
      </w:pPr>
      <w:r>
        <w:t xml:space="preserve">Las series son trimestrales. Las dos series de deuda se construyen para 1996T1-2025T4; el sistema usa datos desde 1999T1, y la muestra efectiva de estimación es 2000T3-2025T4 (102 trimestres), porque los primeros trimestres se reservan como condiciones iniciales para que todos los órdenes de rezago se comparen sobre la misma muestra (sección 4.5). Las fuentes, secundarias, son el Ministerio de Economía de la Nación (MECON), el BCRA, el Instituto Nacional de Estadística y Censos (INDEC), la Reserva Federal y J.P. Morgan. Los estadísticos descriptivos están en el Apéndice (A.1).</w:t>
      </w:r>
    </w:p>
    <w:bookmarkStart w:id="61" w:name="series-y-fuentes"/>
    <w:p>
      <w:pPr>
        <w:pStyle w:val="Heading2"/>
      </w:pPr>
      <w:r>
        <w:t xml:space="preserve">5.1 Series y fuentes</w:t>
      </w:r>
    </w:p>
    <w:p>
      <w:pPr>
        <w:pStyle w:val="FirstParagraph"/>
      </w:pPr>
      <w:r>
        <w:rPr>
          <w:b/>
          <w:bCs/>
        </w:rPr>
        <w:t xml:space="preserve">Tabla 5.1. Series del modelo: rol, fuente y construcción</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 en el modelo</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r>
      <w:tr>
        <w:tc>
          <w:tcPr/>
          <w:p>
            <w:pPr>
              <w:pStyle w:val="Compact"/>
            </w:pPr>
            <w:r>
              <w:rPr>
                <w:rFonts w:ascii="Calibri" w:hAnsi="Calibri"/>
                <w:sz w:val="20"/>
              </w:rPr>
              <w:t xml:space="preserve">Deuda federal bruta (% del PIB)</w:t>
            </w:r>
          </w:p>
        </w:tc>
        <w:tc>
          <w:tcPr/>
          <w:p>
            <w:pPr>
              <w:pStyle w:val="Compact"/>
            </w:pPr>
            <w:r>
              <w:rPr>
                <w:rFonts w:ascii="Calibri" w:hAnsi="Calibri"/>
                <w:sz w:val="20"/>
              </w:rPr>
              <w:t xml:space="preserve">Especificación principal</w:t>
            </w:r>
          </w:p>
        </w:tc>
        <w:tc>
          <w:tcPr/>
          <w:p>
            <w:pPr>
              <w:pStyle w:val="Compact"/>
            </w:pPr>
            <w:r>
              <w:rPr>
                <w:rFonts w:ascii="Calibri" w:hAnsi="Calibri"/>
                <w:sz w:val="20"/>
              </w:rPr>
              <w:t xml:space="preserve">MECON, Informe de Deuda Pública (Administración Central)</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Deuda consolidada con el BCRA (% del PIB)</w:t>
            </w:r>
          </w:p>
        </w:tc>
        <w:tc>
          <w:tcPr/>
          <w:p>
            <w:pPr>
              <w:pStyle w:val="Compact"/>
            </w:pPr>
            <w:r>
              <w:rPr>
                <w:rFonts w:ascii="Calibri" w:hAnsi="Calibri"/>
                <w:sz w:val="20"/>
              </w:rPr>
              <w:t xml:space="preserve">Extensión</w:t>
            </w:r>
          </w:p>
        </w:tc>
        <w:tc>
          <w:tcPr/>
          <w:p>
            <w:pPr>
              <w:pStyle w:val="Compact"/>
            </w:pPr>
            <w:r>
              <w:rPr>
                <w:rFonts w:ascii="Calibri" w:hAnsi="Calibri"/>
                <w:sz w:val="20"/>
              </w:rPr>
              <w:t xml:space="preserve">MECON (deuda de la Administración Central) y BCRA (balance y estadísticas monetarias)</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MECON, esquema ahorro-inversión-financiamiento del Sector Público Nacional, base caja</w:t>
            </w:r>
          </w:p>
        </w:tc>
        <w:tc>
          <w:tcPr/>
          <w:p>
            <w:pPr>
              <w:pStyle w:val="Compact"/>
            </w:pPr>
            <w:r>
              <w:rPr>
                <w:rFonts w:ascii="Calibri" w:hAnsi="Calibri"/>
                <w:sz w:val="20"/>
              </w:rPr>
              <w:t xml:space="preserve">Suma mensual por trimestre, anualizada; con o sin rentas de la propiedad según el perímetro (sección 5.3)</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INDEC, PIB a precios constantes</w:t>
            </w:r>
          </w:p>
        </w:tc>
        <w:tc>
          <w:tcPr/>
          <w:p>
            <w:pPr>
              <w:pStyle w:val="Compact"/>
            </w:pPr>
            <w:r>
              <w:rPr>
                <w:rFonts w:ascii="Calibri" w:hAnsi="Calibri"/>
                <w:sz w:val="20"/>
              </w:rPr>
              <w:t xml:space="preserve">Variación logarítmica trimestral; 1999-2003 en base 1993 empalmada a base 2004</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Endógena</w:t>
            </w:r>
          </w:p>
        </w:tc>
        <w:tc>
          <w:tcPr/>
          <w:p>
            <w:pPr>
              <w:pStyle w:val="Compact"/>
            </w:pPr>
            <w:r>
              <w:rPr>
                <w:rFonts w:ascii="Calibri" w:hAnsi="Calibri"/>
                <w:sz w:val="20"/>
              </w:rPr>
              <w:t xml:space="preserve">J.P. Morgan, EMBI+ Argentina, serie diaria publicada por Ámbito Financiero</w:t>
            </w:r>
          </w:p>
        </w:tc>
        <w:tc>
          <w:tcPr/>
          <w:p>
            <w:pPr>
              <w:pStyle w:val="Compact"/>
            </w:pPr>
            <w:r>
              <w:rPr>
                <w:rFonts w:ascii="Calibri" w:hAnsi="Calibri"/>
                <w:sz w:val="20"/>
              </w:rPr>
              <w:t xml:space="preserve">Promedio trimestral</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BCRA</w:t>
            </w:r>
          </w:p>
        </w:tc>
        <w:tc>
          <w:tcPr/>
          <w:p>
            <w:pPr>
              <w:pStyle w:val="Compact"/>
            </w:pPr>
            <w:r>
              <w:rPr>
                <w:rFonts w:ascii="Calibri" w:hAnsi="Calibri"/>
                <w:sz w:val="20"/>
              </w:rPr>
              <w:t xml:space="preserve">Promedio trimestral del índice</w:t>
            </w:r>
          </w:p>
        </w:tc>
      </w:tr>
      <w:tr>
        <w:tc>
          <w:tcPr/>
          <w:p>
            <w:pPr>
              <w:pStyle w:val="Compact"/>
            </w:pPr>
            <w:r>
              <w:rPr>
                <w:rFonts w:ascii="Calibri" w:hAnsi="Calibri"/>
                <w:sz w:val="20"/>
              </w:rPr>
              <w:t xml:space="preserve">Tasa de política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pPr>
            <w:r>
              <w:rPr>
                <w:rFonts w:ascii="Calibri" w:hAnsi="Calibri"/>
                <w:sz w:val="20"/>
              </w:rPr>
              <w:t xml:space="preserve">Promedio trimestral; tasa sombra en el límite cero; empalme en 2022T1 (sección 5.4)</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Índice VIX de la</w:t>
            </w:r>
            <w:r>
              <w:rPr>
                <w:rFonts w:ascii="Calibri" w:hAnsi="Calibri"/>
                <w:sz w:val="20"/>
              </w:rPr>
              <w:t xml:space="preserve"> </w:t>
            </w:r>
            <w:r>
              <w:rPr>
                <w:rFonts w:ascii="Calibri" w:hAnsi="Calibri"/>
                <w:i/>
                <w:iCs/>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61"/>
    <w:bookmarkStart w:id="65"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
          <w:iCs/>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1996-2025 (% del PIB de los últimos cuatro trimestres). Los puntos son las cifras del FMI a diciembre de 2023, 2024 y 2025: deuda federal bruta, 154,6, 84,7 y 80,3; deuda del sector público consolidado con el BCRA, 111,1, 53,6 y 52,1. Fuente: elaboración propia con datos del MECON, el BCRA y el INDEC, y FMI (2026, anexo II, cuadro 2)." title="" id="63" name="Picture"/>
            <a:graphic>
              <a:graphicData uri="http://schemas.openxmlformats.org/drawingml/2006/picture">
                <pic:pic>
                  <pic:nvPicPr>
                    <pic:cNvPr descr="../tesis/figuras/fig5_1_deuda_1996_2025.png" id="64" name="Picture"/>
                    <pic:cNvPicPr>
                      <a:picLocks noChangeArrowheads="1" noChangeAspect="1"/>
                    </pic:cNvPicPr>
                  </pic:nvPicPr>
                  <pic:blipFill>
                    <a:blip r:embed="rId62"/>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1996-2025 (% del PIB de los últimos cuatro trimestres). Los puntos son las cifras del FMI a diciembre de 2023, 2024 y 2025: deuda federal bruta, 154,6, 84,7 y 80,3; deuda del sector público consolidado con el BCRA, 111,1, 53,6 y 52,1. Fuente: elaboración propia con datos del MECON, el BCRA y el INDEC, y FMI (2026, anexo II, cuadro 2).</w:t>
      </w:r>
    </w:p>
    <w:bookmarkEnd w:id="65"/>
    <w:bookmarkStart w:id="66"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su definición depende del perímetro de la deuda. Con la deuda federal bruta se usa el resultado con rentas de la propiedad, que es la definición del FMI para el gobierno federal: las utilidades que el BCRA transfiere al Tesoro son un ingreso del Tesoro. Con esa definición, la serie propia da 1,78% del PIB en 2024 y 1,38% en 2025, frente a 1,8% y 1,4% del FMI (2026). Con la deuda consolidada con el BCRA se usa el resultado sin rentas de la propiedad, porque en ese perímetro las utilidades del BCRA son un flujo interno; la fuente no permite separarlas del resto de las rentas, de modo que se excluye algo más. En cada perímetro, la otra definición se informa como robustez (Apéndice, A.8). El máximo anual de 1999-2025 con la definición del FMI es 3,58% del PIB, en 2004; sin rentas de la propiedad, 3,29%.</w:t>
      </w:r>
    </w:p>
    <w:p>
      <w:pPr>
        <w:pStyle w:val="BodyText"/>
      </w:pPr>
      <w:r>
        <w:t xml:space="preserve">El PIB real es la serie del INDEC en base 2004, empalmada con la de base 1993 para 1999-2003; el empalme afecta el nivel y no las tasas de crecimiento que entran al modelo. Se usa la serie original porque la desestacionalizada empieza en 2004, y la estacionalidad la absorben las variables binarias.</w:t>
      </w:r>
    </w:p>
    <w:bookmarkEnd w:id="66"/>
    <w:bookmarkStart w:id="74" w:name="variables-financieras-y-externas"/>
    <w:p>
      <w:pPr>
        <w:pStyle w:val="Heading2"/>
      </w:pPr>
      <w:r>
        <w:t xml:space="preserve">5.4 Variables financieras y externas</w:t>
      </w:r>
    </w:p>
    <w:p>
      <w:pPr>
        <w:pStyle w:val="FirstParagraph"/>
      </w:pPr>
      <w:r>
        <w:t xml:space="preserve">El EMBI+ es el índice de J.P. Morgan para Argentina, promedio trimestral de la serie diaria que publica Ámbito Financiero, disponible desde diciembre de 1998. De ahí el inicio en 1999T1: antes solo había diferenciales de los bonos</w:t>
      </w:r>
      <w:r>
        <w:t xml:space="preserve"> </w:t>
      </w:r>
      <w:r>
        <w:rPr>
          <w:i/>
          <w:iCs/>
        </w:rPr>
        <w:t xml:space="preserve">Brady</w:t>
      </w:r>
      <w:r>
        <w:rPr>
          <w:rStyle w:val="FootnoteReference"/>
        </w:rPr>
        <w:footnoteReference w:id="67"/>
      </w:r>
      <w:r>
        <w:t xml:space="preserve"> </w:t>
      </w:r>
      <w:r>
        <w:t xml:space="preserve">y valores transcriptos sin cuadro ni página de origen, y el tipo de cambio real de 1996 estaba retropolado; empezar en 1999 deja todas las series con una fuente publicada y verificable. El VIX es la volatilidad implícita del índice S&amp;P 500.</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En 2022T1, cuando la serie pasa de la tasa sombra a la efectiva, la variación se calcula con la tasa efectiva en ambos trimestres, para no confundir el cambio de serie con un cambio de política. Su desvío estándar en la muestra, 0,504 puntos, es el tamaño del primer escenario de la FED (sección 4.6). Las Figuras 5.2 y 5.3 muestran las variables endógenas y las exógenas.</w:t>
      </w:r>
    </w:p>
    <w:p>
      <w:pPr>
        <w:pStyle w:val="CaptionedFigure"/>
      </w:pPr>
      <w:r>
        <w:drawing>
          <wp:inline>
            <wp:extent cx="5334000" cy="3657600"/>
            <wp:effectExtent b="0" l="0" r="0" t="0"/>
            <wp:docPr descr="Figura 5.2. Variables endógenas del SVARX, 1999-2025. El crecimiento es la variación trimestral del PIB real sin desestacionalizar. Las líneas punteadas marcan los quiebres de Bai y Perron. Fuente: elaboración propia con datos del INDEC, el MECON, el BCRA y J.P. Morgan (sección 5.4)." title="" id="69" name="Picture"/>
            <a:graphic>
              <a:graphicData uri="http://schemas.openxmlformats.org/drawingml/2006/picture">
                <pic:pic>
                  <pic:nvPicPr>
                    <pic:cNvPr descr="../tesis/figuras/fig5_2_variables_endogenas.png" id="70" name="Picture"/>
                    <pic:cNvPicPr>
                      <a:picLocks noChangeArrowheads="1" noChangeAspect="1"/>
                    </pic:cNvPicPr>
                  </pic:nvPicPr>
                  <pic:blipFill>
                    <a:blip r:embed="rId68"/>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1999-2025. El crecimiento es la variación trimestral del PIB real sin desestacionalizar.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72" name="Picture"/>
            <a:graphic>
              <a:graphicData uri="http://schemas.openxmlformats.org/drawingml/2006/picture">
                <pic:pic>
                  <pic:nvPicPr>
                    <pic:cNvPr descr="../tesis/figuras/fig5_3_fed_y_vix.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74"/>
    <w:bookmarkStart w:id="76" w:name="contraste-con-el-fmi"/>
    <w:p>
      <w:pPr>
        <w:pStyle w:val="Heading2"/>
      </w:pPr>
      <w:r>
        <w:t xml:space="preserve">5.5 Contraste con el FMI</w:t>
      </w:r>
    </w:p>
    <w:p>
      <w:pPr>
        <w:pStyle w:val="FirstParagraph"/>
      </w:pPr>
      <w:r>
        <w:rPr>
          <w:b/>
          <w:bCs/>
        </w:rPr>
        <w:t xml:space="preserve">Tabla 5.2. Deuda pública: esta tesis y FMI (% del PIB,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tesis</w:t>
            </w:r>
          </w:p>
        </w:tc>
        <w:tc>
          <w:tcPr/>
          <w:p>
            <w:pPr>
              <w:pStyle w:val="Compact"/>
            </w:pPr>
            <w:r>
              <w:rPr>
                <w:rFonts w:ascii="Calibri" w:hAnsi="Calibri"/>
                <w:sz w:val="20"/>
              </w:rPr>
              <w:t xml:space="preserve">2023, FMI</w:t>
            </w:r>
          </w:p>
        </w:tc>
        <w:tc>
          <w:tcPr/>
          <w:p>
            <w:pPr>
              <w:pStyle w:val="Compact"/>
            </w:pPr>
            <w:r>
              <w:rPr>
                <w:rFonts w:ascii="Calibri" w:hAnsi="Calibri"/>
                <w:sz w:val="20"/>
              </w:rPr>
              <w:t xml:space="preserve">2024, tesis</w:t>
            </w:r>
          </w:p>
        </w:tc>
        <w:tc>
          <w:tcPr/>
          <w:p>
            <w:pPr>
              <w:pStyle w:val="Compact"/>
            </w:pPr>
            <w:r>
              <w:rPr>
                <w:rFonts w:ascii="Calibri" w:hAnsi="Calibri"/>
                <w:sz w:val="20"/>
              </w:rPr>
              <w:t xml:space="preserve">2024, FMI</w:t>
            </w:r>
          </w:p>
        </w:tc>
        <w:tc>
          <w:tcPr/>
          <w:p>
            <w:pPr>
              <w:pStyle w:val="Compact"/>
            </w:pPr>
            <w:r>
              <w:rPr>
                <w:rFonts w:ascii="Calibri" w:hAnsi="Calibri"/>
                <w:sz w:val="20"/>
              </w:rPr>
              <w:t xml:space="preserve">2025, tesis</w:t>
            </w:r>
          </w:p>
        </w:tc>
        <w:tc>
          <w:tcPr/>
          <w:p>
            <w:pPr>
              <w:pStyle w:val="Compact"/>
            </w:pPr>
            <w:r>
              <w:rPr>
                <w:rFonts w:ascii="Calibri" w:hAnsi="Calibri"/>
                <w:sz w:val="20"/>
              </w:rPr>
              <w:t xml:space="preserve">2025, FMI</w:t>
            </w:r>
          </w:p>
        </w:tc>
      </w:tr>
      <w:tr>
        <w:tc>
          <w:tcPr/>
          <w:p>
            <w:pPr>
              <w:pStyle w:val="Compact"/>
            </w:pPr>
            <w:r>
              <w:rPr>
                <w:rFonts w:ascii="Calibri" w:hAnsi="Calibri"/>
                <w:sz w:val="20"/>
              </w:rPr>
              <w:t xml:space="preserve">Deuda federal bruta</w:t>
            </w:r>
          </w:p>
        </w:tc>
        <w:tc>
          <w:tcPr/>
          <w:p>
            <w:pPr>
              <w:pStyle w:val="Compact"/>
            </w:pPr>
            <w:r>
              <w:rPr>
                <w:rFonts w:ascii="Calibri" w:hAnsi="Calibri"/>
                <w:sz w:val="20"/>
              </w:rPr>
              <w:t xml:space="preserve">153,5</w:t>
            </w:r>
          </w:p>
        </w:tc>
        <w:tc>
          <w:tcPr/>
          <w:p>
            <w:pPr>
              <w:pStyle w:val="Compact"/>
            </w:pPr>
            <w:r>
              <w:rPr>
                <w:rFonts w:ascii="Calibri" w:hAnsi="Calibri"/>
                <w:sz w:val="20"/>
              </w:rPr>
              <w:t xml:space="preserve">154,6</w:t>
            </w:r>
          </w:p>
        </w:tc>
        <w:tc>
          <w:tcPr/>
          <w:p>
            <w:pPr>
              <w:pStyle w:val="Compact"/>
            </w:pPr>
            <w:r>
              <w:rPr>
                <w:rFonts w:ascii="Calibri" w:hAnsi="Calibri"/>
                <w:sz w:val="20"/>
              </w:rPr>
              <w:t xml:space="preserve">82,1</w:t>
            </w:r>
          </w:p>
        </w:tc>
        <w:tc>
          <w:tcPr/>
          <w:p>
            <w:pPr>
              <w:pStyle w:val="Compact"/>
            </w:pPr>
            <w:r>
              <w:rPr>
                <w:rFonts w:ascii="Calibri" w:hAnsi="Calibri"/>
                <w:sz w:val="20"/>
              </w:rPr>
              <w:t xml:space="preserve">84,7</w:t>
            </w:r>
          </w:p>
        </w:tc>
        <w:tc>
          <w:tcPr/>
          <w:p>
            <w:pPr>
              <w:pStyle w:val="Compact"/>
            </w:pPr>
            <w:r>
              <w:rPr>
                <w:rFonts w:ascii="Calibri" w:hAnsi="Calibri"/>
                <w:sz w:val="20"/>
              </w:rPr>
              <w:t xml:space="preserve">77,7</w:t>
            </w:r>
          </w:p>
        </w:tc>
        <w:tc>
          <w:tcPr/>
          <w:p>
            <w:pPr>
              <w:pStyle w:val="Compact"/>
            </w:pPr>
            <w:r>
              <w:rPr>
                <w:rFonts w:ascii="Calibri" w:hAnsi="Calibri"/>
                <w:sz w:val="20"/>
              </w:rPr>
              <w:t xml:space="preserve">80,3</w:t>
            </w:r>
          </w:p>
        </w:tc>
      </w:tr>
      <w:tr>
        <w:tc>
          <w:tcPr/>
          <w:p>
            <w:pPr>
              <w:pStyle w:val="Compact"/>
            </w:pPr>
            <w:r>
              <w:rPr>
                <w:rFonts w:ascii="Calibri" w:hAnsi="Calibri"/>
                <w:sz w:val="20"/>
              </w:rPr>
              <w:t xml:space="preserve">Deuda del Tesoro en poder del sector público</w:t>
            </w:r>
          </w:p>
        </w:tc>
        <w:tc>
          <w:tcPr/>
          <w:p>
            <w:pPr>
              <w:pStyle w:val="Compact"/>
            </w:pPr>
            <w:r>
              <w:rPr>
                <w:rFonts w:ascii="Calibri" w:hAnsi="Calibri"/>
                <w:sz w:val="20"/>
              </w:rPr>
              <w:t xml:space="preserve">39,4 (solo BCRA)</w:t>
            </w:r>
          </w:p>
        </w:tc>
        <w:tc>
          <w:tcPr/>
          <w:p>
            <w:pPr>
              <w:pStyle w:val="Compact"/>
            </w:pPr>
            <w:r>
              <w:rPr>
                <w:rFonts w:ascii="Calibri" w:hAnsi="Calibri"/>
                <w:sz w:val="20"/>
              </w:rPr>
              <w:t xml:space="preserve">62,1 (BCRA y FGS)</w:t>
            </w:r>
          </w:p>
        </w:tc>
        <w:tc>
          <w:tcPr/>
          <w:p>
            <w:pPr>
              <w:pStyle w:val="Compact"/>
            </w:pPr>
            <w:r>
              <w:rPr>
                <w:rFonts w:ascii="Calibri" w:hAnsi="Calibri"/>
                <w:sz w:val="20"/>
              </w:rPr>
              <w:t xml:space="preserve">20,4 (solo BCRA)</w:t>
            </w:r>
          </w:p>
        </w:tc>
        <w:tc>
          <w:tcPr/>
          <w:p>
            <w:pPr>
              <w:pStyle w:val="Compact"/>
            </w:pPr>
            <w:r>
              <w:rPr>
                <w:rFonts w:ascii="Calibri" w:hAnsi="Calibri"/>
                <w:sz w:val="20"/>
              </w:rPr>
              <w:t xml:space="preserve">33,7 (BCRA y FGS)</w:t>
            </w:r>
          </w:p>
        </w:tc>
        <w:tc>
          <w:tcPr/>
          <w:p>
            <w:pPr>
              <w:pStyle w:val="Compact"/>
            </w:pPr>
            <w:r>
              <w:rPr>
                <w:rFonts w:ascii="Calibri" w:hAnsi="Calibri"/>
                <w:sz w:val="20"/>
              </w:rPr>
              <w:t xml:space="preserve">17,2 (solo BCRA)</w:t>
            </w:r>
          </w:p>
        </w:tc>
        <w:tc>
          <w:tcPr/>
          <w:p>
            <w:pPr>
              <w:pStyle w:val="Compact"/>
            </w:pPr>
            <w:r>
              <w:rPr>
                <w:rFonts w:ascii="Calibri" w:hAnsi="Calibri"/>
                <w:sz w:val="20"/>
              </w:rPr>
              <w:t xml:space="preserve">31,4 (BCRA y FGS)</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14,6</w:t>
            </w:r>
          </w:p>
        </w:tc>
        <w:tc>
          <w:tcPr/>
          <w:p>
            <w:pPr>
              <w:pStyle w:val="Compact"/>
            </w:pPr>
            <w:r>
              <w:rPr>
                <w:rFonts w:ascii="Calibri" w:hAnsi="Calibri"/>
                <w:sz w:val="20"/>
              </w:rPr>
              <w:t xml:space="preserve">19,2</w:t>
            </w:r>
          </w:p>
        </w:tc>
        <w:tc>
          <w:tcPr/>
          <w:p>
            <w:pPr>
              <w:pStyle w:val="Compact"/>
            </w:pPr>
            <w:r>
              <w:rPr>
                <w:rFonts w:ascii="Calibri" w:hAnsi="Calibri"/>
                <w:sz w:val="20"/>
              </w:rPr>
              <w:t xml:space="preserve">1,6</w:t>
            </w:r>
          </w:p>
        </w:tc>
        <w:tc>
          <w:tcPr/>
          <w:p>
            <w:pPr>
              <w:pStyle w:val="Compact"/>
            </w:pPr>
            <w:r>
              <w:rPr>
                <w:rFonts w:ascii="Calibri" w:hAnsi="Calibri"/>
                <w:sz w:val="20"/>
              </w:rPr>
              <w:t xml:space="preserve">2,6</w:t>
            </w:r>
          </w:p>
        </w:tc>
        <w:tc>
          <w:tcPr/>
          <w:p>
            <w:pPr>
              <w:pStyle w:val="Compact"/>
            </w:pPr>
            <w:r>
              <w:rPr>
                <w:rFonts w:ascii="Calibri" w:hAnsi="Calibri"/>
                <w:sz w:val="20"/>
              </w:rPr>
              <w:t xml:space="preserve">1,3</w:t>
            </w:r>
          </w:p>
        </w:tc>
        <w:tc>
          <w:tcPr/>
          <w:p>
            <w:pPr>
              <w:pStyle w:val="Compact"/>
            </w:pPr>
            <w:r>
              <w:rPr>
                <w:rFonts w:ascii="Calibri" w:hAnsi="Calibri"/>
                <w:sz w:val="20"/>
              </w:rPr>
              <w:t xml:space="preserve">3,3</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0,5</w:t>
            </w:r>
          </w:p>
        </w:tc>
        <w:tc>
          <w:tcPr/>
          <w:p>
            <w:pPr>
              <w:pStyle w:val="Compact"/>
            </w:pPr>
            <w:r>
              <w:rPr>
                <w:rFonts w:ascii="Calibri" w:hAnsi="Calibri"/>
                <w:sz w:val="20"/>
              </w:rPr>
              <w:t xml:space="preserve">no se restan</w:t>
            </w:r>
          </w:p>
        </w:tc>
        <w:tc>
          <w:tcPr/>
          <w:p>
            <w:pPr>
              <w:pStyle w:val="Compact"/>
            </w:pPr>
            <w:r>
              <w:rPr>
                <w:rFonts w:ascii="Calibri" w:hAnsi="Calibri"/>
                <w:sz w:val="20"/>
              </w:rPr>
              <w:t xml:space="preserve">2,1</w:t>
            </w:r>
          </w:p>
        </w:tc>
        <w:tc>
          <w:tcPr/>
          <w:p>
            <w:pPr>
              <w:pStyle w:val="Compact"/>
            </w:pPr>
            <w:r>
              <w:rPr>
                <w:rFonts w:ascii="Calibri" w:hAnsi="Calibri"/>
                <w:sz w:val="20"/>
              </w:rPr>
              <w:t xml:space="preserve">no se restan</w:t>
            </w:r>
          </w:p>
        </w:tc>
        <w:tc>
          <w:tcPr/>
          <w:p>
            <w:pPr>
              <w:pStyle w:val="Compact"/>
            </w:pPr>
            <w:r>
              <w:rPr>
                <w:rFonts w:ascii="Calibri" w:hAnsi="Calibri"/>
                <w:sz w:val="20"/>
              </w:rPr>
              <w:t xml:space="preserve">0,8</w:t>
            </w:r>
          </w:p>
        </w:tc>
        <w:tc>
          <w:tcPr/>
          <w:p>
            <w:pPr>
              <w:pStyle w:val="Compact"/>
            </w:pPr>
            <w:r>
              <w:rPr>
                <w:rFonts w:ascii="Calibri" w:hAnsi="Calibri"/>
                <w:sz w:val="20"/>
              </w:rPr>
              <w:t xml:space="preserve">no se restan</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128,2</w:t>
            </w:r>
          </w:p>
        </w:tc>
        <w:tc>
          <w:tcPr/>
          <w:p>
            <w:pPr>
              <w:pStyle w:val="Compact"/>
            </w:pPr>
            <w:r>
              <w:rPr>
                <w:rFonts w:ascii="Calibri" w:hAnsi="Calibri"/>
                <w:sz w:val="20"/>
              </w:rPr>
              <w:t xml:space="preserve">111,1</w:t>
            </w:r>
          </w:p>
        </w:tc>
        <w:tc>
          <w:tcPr/>
          <w:p>
            <w:pPr>
              <w:pStyle w:val="Compact"/>
            </w:pPr>
            <w:r>
              <w:rPr>
                <w:rFonts w:ascii="Calibri" w:hAnsi="Calibri"/>
                <w:sz w:val="20"/>
              </w:rPr>
              <w:t xml:space="preserve">61,1</w:t>
            </w:r>
          </w:p>
        </w:tc>
        <w:tc>
          <w:tcPr/>
          <w:p>
            <w:pPr>
              <w:pStyle w:val="Compact"/>
            </w:pPr>
            <w:r>
              <w:rPr>
                <w:rFonts w:ascii="Calibri" w:hAnsi="Calibri"/>
                <w:sz w:val="20"/>
              </w:rPr>
              <w:t xml:space="preserve">53,6</w:t>
            </w:r>
          </w:p>
        </w:tc>
        <w:tc>
          <w:tcPr/>
          <w:p>
            <w:pPr>
              <w:pStyle w:val="Compact"/>
            </w:pPr>
            <w:r>
              <w:rPr>
                <w:rFonts w:ascii="Calibri" w:hAnsi="Calibri"/>
                <w:sz w:val="20"/>
              </w:rPr>
              <w:t xml:space="preserve">61,0</w:t>
            </w:r>
          </w:p>
        </w:tc>
        <w:tc>
          <w:tcPr/>
          <w:p>
            <w:pPr>
              <w:pStyle w:val="Compact"/>
            </w:pPr>
            <w:r>
              <w:rPr>
                <w:rFonts w:ascii="Calibri" w:hAnsi="Calibri"/>
                <w:sz w:val="20"/>
              </w:rPr>
              <w:t xml:space="preserve">52,1</w:t>
            </w:r>
          </w:p>
        </w:tc>
      </w:tr>
    </w:tbl>
    <w:p>
      <w:pPr>
        <w:pStyle w:val="BodyText"/>
      </w:pPr>
      <w:r>
        <w:t xml:space="preserve">Fuente: elaboración propia con datos del MECON, el BCRA y el INDEC, y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
          <w:iCs/>
        </w:rPr>
        <w:t xml:space="preserve">swap</w:t>
      </w:r>
      <w:r>
        <w:rPr>
          <w:rStyle w:val="FootnoteReference"/>
        </w:rPr>
        <w:footnoteReference w:id="75"/>
      </w:r>
      <w:r>
        <w:t xml:space="preserve"> </w:t>
      </w:r>
      <w:r>
        <w:t xml:space="preserve">con el Banco Popular de China, que no tiene serie pública (0,9% del PIB en 2024 y en 2025 según el FMI).</w:t>
      </w:r>
    </w:p>
    <w:bookmarkEnd w:id="76"/>
    <w:bookmarkStart w:id="77"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bookmarkEnd w:id="77"/>
    <w:bookmarkEnd w:id="78"/>
    <w:bookmarkStart w:id="100" w:name="resultados"/>
    <w:p>
      <w:pPr>
        <w:pStyle w:val="Heading1"/>
      </w:pPr>
      <w:r>
        <w:t xml:space="preserve">6. Resultados</w:t>
      </w:r>
    </w:p>
    <w:p>
      <w:pPr>
        <w:pStyle w:val="FirstParagraph"/>
      </w:pPr>
      <w:r>
        <w:t xml:space="preserve">Todos los resultados de este capítulo provienen de la misma muestra efectiva, 2000T3-2025T4 (102 trimestres), y del escenario base del análisis de sostenibilidad más reciente del FMI (2026). La especificación principal mide la deuda bruta del gobierno federal, que parte de 80,3% del PIB a fines de 2025, como en el FMI. Los intervalos son de 90% y salen del</w:t>
      </w:r>
      <w:r>
        <w:t xml:space="preserve"> </w:t>
      </w:r>
      <w:r>
        <w:rPr>
          <w:i/>
          <w:iCs/>
        </w:rPr>
        <w:t xml:space="preserve">bootstrap</w:t>
      </w:r>
      <w:r>
        <w:t xml:space="preserve"> </w:t>
      </w:r>
      <w:r>
        <w:t xml:space="preserve">descripto en la sección 4.5.</w:t>
      </w:r>
    </w:p>
    <w:bookmarkStart w:id="82" w:name="el-svarx-estimado"/>
    <w:p>
      <w:pPr>
        <w:pStyle w:val="Heading2"/>
      </w:pPr>
      <w:r>
        <w:t xml:space="preserve">6.1 El SVARX estimado</w:t>
      </w:r>
    </w:p>
    <w:p>
      <w:pPr>
        <w:pStyle w:val="FirstParagraph"/>
      </w:pPr>
      <w:r>
        <w:rPr>
          <w:b/>
          <w:bCs/>
        </w:rPr>
        <w:t xml:space="preserve">Propiedades de las series.</w:t>
      </w:r>
      <w:r>
        <w:t xml:space="preserve"> </w:t>
      </w:r>
      <w:r>
        <w:t xml:space="preserve">El resultado primario se comporta como una serie con raíz unitaria, el crecimiento y el VIX como estacionarias, y en el resto ADF y KPSS no coinciden (Apéndice, sección A.2), lo esperable en series cortas con cambios de régimen (Perron, 1989). El procedimiento de Bai y Perron (2003) encuentra quiebres en la deuda federal en 2001T4, 2006T2 y 2018T1; Zivot y Andrews (1992) ubican uno en 2005T1, sin rechazar la raíz unitaria.</w:t>
      </w:r>
    </w:p>
    <w:p>
      <w:pPr>
        <w:pStyle w:val="BodyText"/>
      </w:pPr>
      <w:r>
        <w:rPr>
          <w:b/>
          <w:bCs/>
        </w:rPr>
        <w:t xml:space="preserve">Rezagos y diagnósticos.</w:t>
      </w:r>
      <w:r>
        <w:t xml:space="preserve"> </w:t>
      </w:r>
      <w:r>
        <w:t xml:space="preserve">Con dos rezagos (sección 4.5), el sistema es estable: el autovalor máximo es 0,849, y su mediana entre las réplicas del</w:t>
      </w:r>
      <w:r>
        <w:t xml:space="preserve"> </w:t>
      </w:r>
      <w:r>
        <w:rPr>
          <w:i/>
          <w:iCs/>
        </w:rPr>
        <w:t xml:space="preserve">bootstrap</w:t>
      </w:r>
      <w:r>
        <w:t xml:space="preserve">, 0,818. Los residuos no muestran autocorrelación ni heterocedasticidad condicional al 5% (ARCH-LM; Engle, 1982), pero rechazan la normalidad multivariada (Jarque y Bera, 1987; p = 0,000), lo que justifica remuestrear</w:t>
      </w:r>
      <w:r>
        <w:t xml:space="preserve"> </w:t>
      </w:r>
      <w:r>
        <w:rPr>
          <w:i/>
          <w:iCs/>
        </w:rPr>
        <w:t xml:space="preserve">shocks</w:t>
      </w:r>
      <w:r>
        <w:t xml:space="preserve"> </w:t>
      </w:r>
      <w:r>
        <w:t xml:space="preserve">históricos (Apéndice, sección A.4).</w:t>
      </w:r>
    </w:p>
    <w:p>
      <w:pPr>
        <w:pStyle w:val="BodyText"/>
      </w:pPr>
      <w:r>
        <w:rPr>
          <w:b/>
          <w:bCs/>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A.6). Los dos son positivos, con intervalos que excluyen el cero, en los dos perímetros.</w:t>
      </w:r>
    </w:p>
    <w:p>
      <w:pPr>
        <w:pStyle w:val="BodyText"/>
      </w:pPr>
      <w:r>
        <w:rPr>
          <w:b/>
          <w:bCs/>
        </w:rPr>
        <w:t xml:space="preserve">Tabla 6.1. Reacción fiscal según el perímetro de la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Perímetro</w:t>
            </w:r>
          </w:p>
        </w:tc>
        <w:tc>
          <w:tcPr/>
          <w:p>
            <w:pPr>
              <w:pStyle w:val="Compact"/>
            </w:pPr>
            <w:r>
              <w:rPr>
                <w:rFonts w:ascii="Calibri" w:hAnsi="Calibri"/>
                <w:sz w:val="20"/>
              </w:rPr>
              <w:t xml:space="preserve">Impacto</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Largo plazo</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Deuda federal bruta (principal)</w:t>
            </w:r>
          </w:p>
        </w:tc>
        <w:tc>
          <w:tcPr/>
          <w:p>
            <w:pPr>
              <w:pStyle w:val="Compact"/>
            </w:pPr>
            <w:r>
              <w:rPr>
                <w:rFonts w:ascii="Calibri" w:hAnsi="Calibri"/>
                <w:sz w:val="20"/>
              </w:rPr>
              <w:t xml:space="preserve">0,0495</w:t>
            </w:r>
          </w:p>
        </w:tc>
        <w:tc>
          <w:tcPr/>
          <w:p>
            <w:pPr>
              <w:pStyle w:val="Compact"/>
            </w:pPr>
            <w:r>
              <w:rPr>
                <w:rFonts w:ascii="Calibri" w:hAnsi="Calibri"/>
                <w:sz w:val="20"/>
              </w:rPr>
              <w:t xml:space="preserve">[0,0099; 0,0799]</w:t>
            </w:r>
          </w:p>
        </w:tc>
        <w:tc>
          <w:tcPr/>
          <w:p>
            <w:pPr>
              <w:pStyle w:val="Compact"/>
            </w:pPr>
            <w:r>
              <w:rPr>
                <w:rFonts w:ascii="Calibri" w:hAnsi="Calibri"/>
                <w:sz w:val="20"/>
              </w:rPr>
              <w:t xml:space="preserve">0,167</w:t>
            </w:r>
          </w:p>
        </w:tc>
        <w:tc>
          <w:tcPr/>
          <w:p>
            <w:pPr>
              <w:pStyle w:val="Compact"/>
            </w:pPr>
            <w:r>
              <w:rPr>
                <w:rFonts w:ascii="Calibri" w:hAnsi="Calibri"/>
                <w:sz w:val="20"/>
              </w:rPr>
              <w:t xml:space="preserve">[0,057; 0,296]</w:t>
            </w:r>
          </w:p>
        </w:tc>
      </w:tr>
      <w:tr>
        <w:tc>
          <w:tcPr/>
          <w:p>
            <w:pPr>
              <w:pStyle w:val="Compact"/>
            </w:pPr>
            <w:r>
              <w:rPr>
                <w:rFonts w:ascii="Calibri" w:hAnsi="Calibri"/>
                <w:sz w:val="20"/>
              </w:rPr>
              <w:t xml:space="preserve">Deuda consolidada con el BCRA (extensión)</w:t>
            </w:r>
          </w:p>
        </w:tc>
        <w:tc>
          <w:tcPr/>
          <w:p>
            <w:pPr>
              <w:pStyle w:val="Compact"/>
            </w:pPr>
            <w:r>
              <w:rPr>
                <w:rFonts w:ascii="Calibri" w:hAnsi="Calibri"/>
                <w:sz w:val="20"/>
              </w:rPr>
              <w:t xml:space="preserve">0,0620</w:t>
            </w:r>
          </w:p>
        </w:tc>
        <w:tc>
          <w:tcPr/>
          <w:p>
            <w:pPr>
              <w:pStyle w:val="Compact"/>
            </w:pPr>
            <w:r>
              <w:rPr>
                <w:rFonts w:ascii="Calibri" w:hAnsi="Calibri"/>
                <w:sz w:val="20"/>
              </w:rPr>
              <w:t xml:space="preserve">[0,0128; 0,0889]</w:t>
            </w:r>
          </w:p>
        </w:tc>
        <w:tc>
          <w:tcPr/>
          <w:p>
            <w:pPr>
              <w:pStyle w:val="Compact"/>
            </w:pPr>
            <w:r>
              <w:rPr>
                <w:rFonts w:ascii="Calibri" w:hAnsi="Calibri"/>
                <w:sz w:val="20"/>
              </w:rPr>
              <w:t xml:space="preserve">0,249</w:t>
            </w:r>
          </w:p>
        </w:tc>
        <w:tc>
          <w:tcPr/>
          <w:p>
            <w:pPr>
              <w:pStyle w:val="Compact"/>
            </w:pPr>
            <w:r>
              <w:rPr>
                <w:rFonts w:ascii="Calibri" w:hAnsi="Calibri"/>
                <w:sz w:val="20"/>
              </w:rPr>
              <w:t xml:space="preserve">[0,059; 0,420]</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
          <w:iCs/>
        </w:rPr>
        <w:t xml:space="preserve">shocks</w:t>
      </w:r>
      <w:r>
        <w:t xml:space="preserve"> </w:t>
      </w:r>
      <w:r>
        <w:t xml:space="preserve">que enfrenta.</w:t>
      </w:r>
    </w:p>
    <w:p>
      <w:pPr>
        <w:pStyle w:val="BodyText"/>
      </w:pPr>
      <w:r>
        <w:rPr>
          <w:b/>
          <w:bCs/>
        </w:rPr>
        <w:t xml:space="preserve">Retroalimentación de la deuda.</w:t>
      </w:r>
      <w:r>
        <w:t xml:space="preserve"> </w:t>
      </w:r>
      <w:r>
        <w:t xml:space="preserve">La deuda rezagada entra en las cuatro ecuaciones del sistema (Favero y Giavazzi, 2007). Fuera de la ecuación fiscal, ningún efecto se distingue del cero. Con el riesgo país, la estimación puntual es de 15,5 puntos básicos por punto de deuda, con un intervalo de [-4,2; 29,7]: con 102 trimestres no se puede afirmar que una deuda mayor eleve el EMBI+. El intervalo del crecimiento, [-0,0177; 0,0907], también incluye el cero, y con el tipo de cambio real no hay relación.</w:t>
      </w:r>
    </w:p>
    <w:p>
      <w:pPr>
        <w:pStyle w:val="BodyText"/>
      </w:pPr>
      <w:r>
        <w:rPr>
          <w:b/>
          <w:bCs/>
        </w:rPr>
        <w:t xml:space="preserve">Respuesta a la tasa de la FED.</w:t>
      </w:r>
      <w:r>
        <w:t xml:space="preserve"> </w:t>
      </w:r>
      <w:r>
        <w:t xml:space="preserve">Un aumento de un desvío estándar en la variación de la tasa de la FED (0,504 puntos) no produce respuestas sistemáticas de las variables domésticas (Figura 6.1). De las 84 respuestas estimadas (cuatro variables en 21 horizontes), tres tienen un intervalo que excluye el cero, todas del TCRM, entre dos y cuatro trimestres después del</w:t>
      </w:r>
      <w:r>
        <w:t xml:space="preserve"> </w:t>
      </w:r>
      <w:r>
        <w:rPr>
          <w:i/>
          <w:iCs/>
        </w:rPr>
        <w:t xml:space="preserve">shock</w:t>
      </w:r>
      <w:r>
        <w:t xml:space="preserve">, y con signo de apreciación real. Con intervalos de 90%, el azar produciría más exclusiones aunque la FED no tuviera efecto, y el signo contradice la teoría. El modelo no distingue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504 puntos porcentuales) en la variación trimestral de la tasa; deuda federal bruta, dos rezagos, parámetros de mínimos cuadrados e intervalos de 90% del bootstrap. Fuente: elaboración propia." title="" id="80" name="Picture"/>
            <a:graphic>
              <a:graphicData uri="http://schemas.openxmlformats.org/drawingml/2006/picture">
                <pic:pic>
                  <pic:nvPicPr>
                    <pic:cNvPr descr="../tesis/figuras/fig6_1_respuesta_fed.png" id="81" name="Picture"/>
                    <pic:cNvPicPr>
                      <a:picLocks noChangeArrowheads="1" noChangeAspect="1"/>
                    </pic:cNvPicPr>
                  </pic:nvPicPr>
                  <pic:blipFill>
                    <a:blip r:embed="rId79"/>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(0,504 puntos porcentuales) en la variación trimestral de la tasa; deuda federal bruta, dos rezagos, parámetros de mínimos cuadrados e intervalos de 90% del</w:t>
      </w:r>
      <w:r>
        <w:t xml:space="preserve"> </w:t>
      </w:r>
      <w:r>
        <w:rPr>
          <w:i/>
          <w:iCs/>
        </w:rPr>
        <w:t xml:space="preserve">bootstrap</w:t>
      </w:r>
      <w:r>
        <w:t xml:space="preserve">. Fuente: elaboración propia.</w:t>
      </w:r>
    </w:p>
    <w:bookmarkEnd w:id="82"/>
    <w:bookmarkStart w:id="86"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52,6% en 2031 y a 41,1%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44,6%, por encima de la mediana, y el percentil 95 supera el punto de partida.</w:t>
      </w:r>
    </w:p>
    <w:p>
      <w:pPr>
        <w:pStyle w:val="BodyText"/>
      </w:pPr>
      <w:r>
        <w:rPr>
          <w:b/>
          <w:bCs/>
        </w:rPr>
        <w:t xml:space="preserve">Tabla 6.2. Deuda federal bruta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65,0</w:t>
            </w:r>
          </w:p>
        </w:tc>
        <w:tc>
          <w:tcPr/>
          <w:p>
            <w:pPr>
              <w:pStyle w:val="Compact"/>
            </w:pPr>
            <w:r>
              <w:rPr>
                <w:rFonts w:ascii="Calibri" w:hAnsi="Calibri"/>
                <w:sz w:val="20"/>
              </w:rPr>
              <w:t xml:space="preserve">68,8</w:t>
            </w:r>
          </w:p>
        </w:tc>
        <w:tc>
          <w:tcPr/>
          <w:p>
            <w:pPr>
              <w:pStyle w:val="Compact"/>
            </w:pPr>
            <w:r>
              <w:rPr>
                <w:rFonts w:ascii="Calibri" w:hAnsi="Calibri"/>
                <w:sz w:val="20"/>
              </w:rPr>
              <w:t xml:space="preserve">72,3</w:t>
            </w:r>
          </w:p>
        </w:tc>
        <w:tc>
          <w:tcPr/>
          <w:p>
            <w:pPr>
              <w:pStyle w:val="Compact"/>
            </w:pPr>
            <w:r>
              <w:rPr>
                <w:rFonts w:ascii="Calibri" w:hAnsi="Calibri"/>
                <w:sz w:val="20"/>
              </w:rPr>
              <w:t xml:space="preserve">76,7</w:t>
            </w:r>
          </w:p>
        </w:tc>
        <w:tc>
          <w:tcPr/>
          <w:p>
            <w:pPr>
              <w:pStyle w:val="Compact"/>
            </w:pPr>
            <w:r>
              <w:rPr>
                <w:rFonts w:ascii="Calibri" w:hAnsi="Calibri"/>
                <w:sz w:val="20"/>
              </w:rPr>
              <w:t xml:space="preserve">90,6</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50,6</w:t>
            </w:r>
          </w:p>
        </w:tc>
        <w:tc>
          <w:tcPr/>
          <w:p>
            <w:pPr>
              <w:pStyle w:val="Compact"/>
            </w:pPr>
            <w:r>
              <w:rPr>
                <w:rFonts w:ascii="Calibri" w:hAnsi="Calibri"/>
                <w:sz w:val="20"/>
              </w:rPr>
              <w:t xml:space="preserve">59,3</w:t>
            </w:r>
          </w:p>
        </w:tc>
        <w:tc>
          <w:tcPr/>
          <w:p>
            <w:pPr>
              <w:pStyle w:val="Compact"/>
            </w:pPr>
            <w:r>
              <w:rPr>
                <w:rFonts w:ascii="Calibri" w:hAnsi="Calibri"/>
                <w:sz w:val="20"/>
              </w:rPr>
              <w:t xml:space="preserve">64,7</w:t>
            </w:r>
          </w:p>
        </w:tc>
        <w:tc>
          <w:tcPr/>
          <w:p>
            <w:pPr>
              <w:pStyle w:val="Compact"/>
            </w:pPr>
            <w:r>
              <w:rPr>
                <w:rFonts w:ascii="Calibri" w:hAnsi="Calibri"/>
                <w:sz w:val="20"/>
              </w:rPr>
              <w:t xml:space="preserve">71,1</w:t>
            </w:r>
          </w:p>
        </w:tc>
        <w:tc>
          <w:tcPr/>
          <w:p>
            <w:pPr>
              <w:pStyle w:val="Compact"/>
            </w:pPr>
            <w:r>
              <w:rPr>
                <w:rFonts w:ascii="Calibri" w:hAnsi="Calibri"/>
                <w:sz w:val="20"/>
              </w:rPr>
              <w:t xml:space="preserve">85,0</w:t>
            </w:r>
          </w:p>
        </w:tc>
      </w:tr>
      <w:tr>
        <w:tc>
          <w:tcPr/>
          <w:p>
            <w:pPr>
              <w:pStyle w:val="Compact"/>
            </w:pPr>
            <w:r>
              <w:rPr>
                <w:rFonts w:ascii="Calibri" w:hAnsi="Calibri"/>
                <w:sz w:val="20"/>
              </w:rPr>
              <w:t xml:space="preserve">2031</w:t>
            </w:r>
          </w:p>
        </w:tc>
        <w:tc>
          <w:tcPr/>
          <w:p>
            <w:pPr>
              <w:pStyle w:val="Compact"/>
            </w:pPr>
            <w:r>
              <w:rPr>
                <w:rFonts w:ascii="Calibri" w:hAnsi="Calibri"/>
                <w:sz w:val="20"/>
              </w:rPr>
              <w:t xml:space="preserve">31,8</w:t>
            </w:r>
          </w:p>
        </w:tc>
        <w:tc>
          <w:tcPr/>
          <w:p>
            <w:pPr>
              <w:pStyle w:val="Compact"/>
            </w:pPr>
            <w:r>
              <w:rPr>
                <w:rFonts w:ascii="Calibri" w:hAnsi="Calibri"/>
                <w:sz w:val="20"/>
              </w:rPr>
              <w:t xml:space="preserve">43,6</w:t>
            </w:r>
          </w:p>
        </w:tc>
        <w:tc>
          <w:tcPr/>
          <w:p>
            <w:pPr>
              <w:pStyle w:val="Compact"/>
            </w:pPr>
            <w:r>
              <w:rPr>
                <w:rFonts w:ascii="Calibri" w:hAnsi="Calibri"/>
                <w:sz w:val="20"/>
              </w:rPr>
              <w:t xml:space="preserve">52,6</w:t>
            </w:r>
          </w:p>
        </w:tc>
        <w:tc>
          <w:tcPr/>
          <w:p>
            <w:pPr>
              <w:pStyle w:val="Compact"/>
            </w:pPr>
            <w:r>
              <w:rPr>
                <w:rFonts w:ascii="Calibri" w:hAnsi="Calibri"/>
                <w:sz w:val="20"/>
              </w:rPr>
              <w:t xml:space="preserve">62,7</w:t>
            </w:r>
          </w:p>
        </w:tc>
        <w:tc>
          <w:tcPr/>
          <w:p>
            <w:pPr>
              <w:pStyle w:val="Compact"/>
            </w:pPr>
            <w:r>
              <w:rPr>
                <w:rFonts w:ascii="Calibri" w:hAnsi="Calibri"/>
                <w:sz w:val="20"/>
              </w:rPr>
              <w:t xml:space="preserve">80,1</w:t>
            </w:r>
          </w:p>
        </w:tc>
      </w:tr>
      <w:tr>
        <w:tc>
          <w:tcPr/>
          <w:p>
            <w:pPr>
              <w:pStyle w:val="Compact"/>
            </w:pPr>
            <w:r>
              <w:rPr>
                <w:rFonts w:ascii="Calibri" w:hAnsi="Calibri"/>
                <w:sz w:val="20"/>
              </w:rPr>
              <w:t xml:space="preserve">2033</w:t>
            </w:r>
          </w:p>
        </w:tc>
        <w:tc>
          <w:tcPr/>
          <w:p>
            <w:pPr>
              <w:pStyle w:val="Compact"/>
            </w:pPr>
            <w:r>
              <w:rPr>
                <w:rFonts w:ascii="Calibri" w:hAnsi="Calibri"/>
                <w:sz w:val="20"/>
              </w:rPr>
              <w:t xml:space="preserve">22,5</w:t>
            </w:r>
          </w:p>
        </w:tc>
        <w:tc>
          <w:tcPr/>
          <w:p>
            <w:pPr>
              <w:pStyle w:val="Compact"/>
            </w:pPr>
            <w:r>
              <w:rPr>
                <w:rFonts w:ascii="Calibri" w:hAnsi="Calibri"/>
                <w:sz w:val="20"/>
              </w:rPr>
              <w:t xml:space="preserve">35,8</w:t>
            </w:r>
          </w:p>
        </w:tc>
        <w:tc>
          <w:tcPr/>
          <w:p>
            <w:pPr>
              <w:pStyle w:val="Compact"/>
            </w:pPr>
            <w:r>
              <w:rPr>
                <w:rFonts w:ascii="Calibri" w:hAnsi="Calibri"/>
                <w:sz w:val="20"/>
              </w:rPr>
              <w:t xml:space="preserve">46,8</w:t>
            </w:r>
          </w:p>
        </w:tc>
        <w:tc>
          <w:tcPr/>
          <w:p>
            <w:pPr>
              <w:pStyle w:val="Compact"/>
            </w:pPr>
            <w:r>
              <w:rPr>
                <w:rFonts w:ascii="Calibri" w:hAnsi="Calibri"/>
                <w:sz w:val="20"/>
              </w:rPr>
              <w:t xml:space="preserve">59,5</w:t>
            </w:r>
          </w:p>
        </w:tc>
        <w:tc>
          <w:tcPr/>
          <w:p>
            <w:pPr>
              <w:pStyle w:val="Compact"/>
            </w:pPr>
            <w:r>
              <w:rPr>
                <w:rFonts w:ascii="Calibri" w:hAnsi="Calibri"/>
                <w:sz w:val="20"/>
              </w:rPr>
              <w:t xml:space="preserve">82,6</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13,7</w:t>
            </w:r>
          </w:p>
        </w:tc>
        <w:tc>
          <w:tcPr/>
          <w:p>
            <w:pPr>
              <w:pStyle w:val="Compact"/>
            </w:pPr>
            <w:r>
              <w:rPr>
                <w:rFonts w:ascii="Calibri" w:hAnsi="Calibri"/>
                <w:sz w:val="20"/>
              </w:rPr>
              <w:t xml:space="preserve">28,1</w:t>
            </w:r>
          </w:p>
        </w:tc>
        <w:tc>
          <w:tcPr/>
          <w:p>
            <w:pPr>
              <w:pStyle w:val="Compact"/>
            </w:pPr>
            <w:r>
              <w:rPr>
                <w:rFonts w:ascii="Calibri" w:hAnsi="Calibri"/>
                <w:sz w:val="20"/>
              </w:rPr>
              <w:t xml:space="preserve">41,1</w:t>
            </w:r>
          </w:p>
        </w:tc>
        <w:tc>
          <w:tcPr/>
          <w:p>
            <w:pPr>
              <w:pStyle w:val="Compact"/>
            </w:pPr>
            <w:r>
              <w:rPr>
                <w:rFonts w:ascii="Calibri" w:hAnsi="Calibri"/>
                <w:sz w:val="20"/>
              </w:rPr>
              <w:t xml:space="preserve">57,1</w:t>
            </w:r>
          </w:p>
        </w:tc>
        <w:tc>
          <w:tcPr/>
          <w:p>
            <w:pPr>
              <w:pStyle w:val="Compact"/>
            </w:pPr>
            <w:r>
              <w:rPr>
                <w:rFonts w:ascii="Calibri" w:hAnsi="Calibri"/>
                <w:sz w:val="20"/>
              </w:rPr>
              <w:t xml:space="preserve">87,4</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84" name="Picture"/>
            <a:graphic>
              <a:graphicData uri="http://schemas.openxmlformats.org/drawingml/2006/picture">
                <pic:pic>
                  <pic:nvPicPr>
                    <pic:cNvPr descr="../tesis/figuras/fig6_2_abanico_deuda.png" id="85" name="Picture"/>
                    <pic:cNvPicPr>
                      <a:picLocks noChangeArrowheads="1" noChangeAspect="1"/>
                    </pic:cNvPicPr>
                  </pic:nvPicPr>
                  <pic:blipFill>
                    <a:blip r:embed="rId8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
          <w:iCs/>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48,3 puntos en 2031, con un intervalo de [39,9; 63,1]. El del FMI para la misma deuda es 71,5 (FMI, 2026, cuadro 7). El Capítulo 7 analiza por qué un abanico más angosto convive con una probabilidad de no estabilización mayor.</w:t>
      </w:r>
    </w:p>
    <w:bookmarkEnd w:id="86"/>
    <w:bookmarkStart w:id="9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 La Tabla 6.3 descompone la varianza de la deuda simulada en 2035 según el bloque de</w:t>
      </w:r>
      <w:r>
        <w:t xml:space="preserve"> </w:t>
      </w:r>
      <w:r>
        <w:rPr>
          <w:i/>
          <w:iCs/>
        </w:rPr>
        <w:t xml:space="preserve">shocks</w:t>
      </w:r>
      <w:r>
        <w:t xml:space="preserve">. El bloque externo explica 46,6% y el cambiario y de riesgo 32,3%; el de actividad, 12,4%, y el fiscal, 8,7%. La diferencia entre los</w:t>
      </w:r>
      <w:r>
        <w:t xml:space="preserve"> </w:t>
      </w:r>
      <w:r>
        <w:rPr>
          <w:i/>
          <w:iCs/>
        </w:rPr>
        <w:t xml:space="preserve">shocks</w:t>
      </w:r>
      <w:r>
        <w:t xml:space="preserve"> </w:t>
      </w:r>
      <w:r>
        <w:t xml:space="preserve">no fiscales y el fiscal es de 82,6 puntos, con un intervalo de [65,8; 92,4] que excluye el cero. H1a queda respaldada.</w:t>
      </w:r>
    </w:p>
    <w:p>
      <w:pPr>
        <w:pStyle w:val="BodyText"/>
      </w:pPr>
      <w:r>
        <w:rPr>
          <w:b/>
          <w:bCs/>
        </w:rPr>
        <w:t xml:space="preserve">Tabla 6.3. Participación de cada bloque de</w:t>
      </w:r>
      <w:r>
        <w:rPr>
          <w:b/>
          <w:bCs/>
        </w:rPr>
        <w:t xml:space="preserve"> </w:t>
      </w:r>
      <w:r>
        <w:rPr>
          <w:b/>
          <w:bCs/>
          <w:i/>
          <w:iCs/>
        </w:rPr>
        <w:t xml:space="preserve">shocks</w:t>
      </w:r>
      <w:r>
        <w:rPr>
          <w:b/>
          <w:bCs/>
        </w:rPr>
        <w:t xml:space="preserve"> </w:t>
      </w:r>
      <w:r>
        <w:rPr>
          <w:b/>
          <w:bCs/>
        </w:rPr>
        <w:t xml:space="preserve">en la varianza de la deuda en 2035</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w:t>
            </w:r>
            <w:r>
              <w:rPr>
                <w:rFonts w:ascii="Calibri" w:hAnsi="Calibri"/>
                <w:sz w:val="20"/>
              </w:rPr>
              <w:t xml:space="preserve"> </w:t>
            </w:r>
            <w:r>
              <w:rPr>
                <w:rFonts w:ascii="Calibri" w:hAnsi="Calibri"/>
                <w:i/>
                <w:iCs/>
                <w:sz w:val="20"/>
              </w:rPr>
              <w:t xml:space="preserve">shocks</w:t>
            </w:r>
          </w:p>
        </w:tc>
        <w:tc>
          <w:tcPr/>
          <w:p>
            <w:pPr>
              <w:pStyle w:val="Compact"/>
            </w:pPr>
            <w:r>
              <w:rPr>
                <w:rFonts w:ascii="Calibri" w:hAnsi="Calibri"/>
                <w:sz w:val="20"/>
              </w:rPr>
              <w:t xml:space="preserve">Participación</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8,7%</w:t>
            </w:r>
          </w:p>
        </w:tc>
        <w:tc>
          <w:tcPr/>
          <w:p>
            <w:pPr>
              <w:pStyle w:val="Compact"/>
            </w:pPr>
            <w:r>
              <w:rPr>
                <w:rFonts w:ascii="Calibri" w:hAnsi="Calibri"/>
                <w:sz w:val="20"/>
              </w:rPr>
              <w:t xml:space="preserve">[3,8; 17,1]</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12,4%</w:t>
            </w:r>
          </w:p>
        </w:tc>
        <w:tc>
          <w:tcPr/>
          <w:p>
            <w:pPr>
              <w:pStyle w:val="Compact"/>
            </w:pPr>
            <w:r>
              <w:rPr>
                <w:rFonts w:ascii="Calibri" w:hAnsi="Calibri"/>
                <w:sz w:val="20"/>
              </w:rPr>
              <w:t xml:space="preserve">[3,6; 21,8]</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32,3%</w:t>
            </w:r>
          </w:p>
        </w:tc>
        <w:tc>
          <w:tcPr/>
          <w:p>
            <w:pPr>
              <w:pStyle w:val="Compact"/>
            </w:pPr>
            <w:r>
              <w:rPr>
                <w:rFonts w:ascii="Calibri" w:hAnsi="Calibri"/>
                <w:sz w:val="20"/>
              </w:rPr>
              <w:t xml:space="preserve">[20,0; 48,0]</w:t>
            </w:r>
          </w:p>
        </w:tc>
      </w:tr>
      <w:tr>
        <w:tc>
          <w:tcPr/>
          <w:p>
            <w:pPr>
              <w:pStyle w:val="Compact"/>
            </w:pPr>
            <w:r>
              <w:rPr>
                <w:rFonts w:ascii="Calibri" w:hAnsi="Calibri"/>
                <w:sz w:val="20"/>
              </w:rPr>
              <w:t xml:space="preserve">Externo (FED y VIX)</w:t>
            </w:r>
          </w:p>
        </w:tc>
        <w:tc>
          <w:tcPr/>
          <w:p>
            <w:pPr>
              <w:pStyle w:val="Compact"/>
            </w:pPr>
            <w:r>
              <w:rPr>
                <w:rFonts w:ascii="Calibri" w:hAnsi="Calibri"/>
                <w:sz w:val="20"/>
              </w:rPr>
              <w:t xml:space="preserve">46,6%</w:t>
            </w:r>
          </w:p>
        </w:tc>
        <w:tc>
          <w:tcPr/>
          <w:p>
            <w:pPr>
              <w:pStyle w:val="Compact"/>
            </w:pPr>
            <w:r>
              <w:rPr>
                <w:rFonts w:ascii="Calibri" w:hAnsi="Calibri"/>
                <w:sz w:val="20"/>
              </w:rPr>
              <w:t xml:space="preserve">[18,3; 58,6]</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82,6 puntos</w:t>
            </w:r>
          </w:p>
        </w:tc>
        <w:tc>
          <w:tcPr/>
          <w:p>
            <w:pPr>
              <w:pStyle w:val="Compact"/>
            </w:pPr>
            <w:r>
              <w:rPr>
                <w:rFonts w:ascii="Calibri" w:hAnsi="Calibri"/>
                <w:sz w:val="20"/>
              </w:rPr>
              <w:t xml:space="preserve">[65,8; 92,4]</w:t>
            </w:r>
          </w:p>
        </w:tc>
      </w:tr>
    </w:tbl>
    <w:p>
      <w:pPr>
        <w:pStyle w:val="BodyText"/>
      </w:pPr>
      <w:r>
        <w:t xml:space="preserve">Fuente: elaboración propia.</w:t>
      </w:r>
    </w:p>
    <w:p>
      <w:pPr>
        <w:pStyle w:val="BodyText"/>
      </w:pPr>
      <w:r>
        <w:t xml:space="preserve">El resultado se sostiene en las 19 especificaciones (sección 6.6). El menor límite inferior, 31,4 puntos, aparece cuando el</w:t>
      </w:r>
      <w:r>
        <w:t xml:space="preserve"> </w:t>
      </w:r>
      <w:r>
        <w:rPr>
          <w:i/>
          <w:iCs/>
        </w:rPr>
        <w:t xml:space="preserve">shock</w:t>
      </w:r>
      <w:r>
        <w:t xml:space="preserve"> </w:t>
      </w:r>
      <w:r>
        <w:t xml:space="preserve">fiscal absorbe toda la covarianza entre el resultado primario y el crecimiento: con el ordenamiento de Cholesky que pone primero al resultado primario o, de manera equivalente, con una elasticidad cíclica de cero.</w:t>
      </w:r>
    </w:p>
    <w:p>
      <w:pPr>
        <w:pStyle w:val="BodyText"/>
      </w:pPr>
      <w:r>
        <w:rPr>
          <w:b/>
          <w:bCs/>
        </w:rPr>
        <w:t xml:space="preserve">Suficiencia del superávit.</w:t>
      </w:r>
      <w:r>
        <w:t xml:space="preserve"> </w:t>
      </w:r>
      <w:r>
        <w:t xml:space="preserve">El análisis complementario, descriptivo, desplaza en la misma magnitud el resultado primario de todos los años del escenario base (Figura 6.3). El máximo anual de 1999-2025, con la definición del FMI, es 3,58% del PIB, en 2004. Con el resultado primario en ese nivel todos los años, la probabilidad de no estabilización en 2031 es 25,5%. Para llevarla al 1% que estima el FMI para Argentina hay que sumar 7,75 puntos al resultado primario del escenario en todos los años: un superávit de 9,2% del PIB en 2026 y de 10,0% en 2031, casi el triple del máximo observado.</w:t>
      </w:r>
    </w:p>
    <w:p>
      <w:pPr>
        <w:pStyle w:val="BodyText"/>
      </w:pPr>
      <w:r>
        <w:t xml:space="preserve">En 2035 la relación no es monótona. La probabilidad baja hasta 1,35% con un desplazamiento de 6,25 puntos y vuelve a subir, a 2,05% con 8,00 puntos. Con superávits tan altos la deuda queda cerca de cero, y la métrica, que compara el resultado primario necesario con el previsto año por año, se activa con</w:t>
      </w:r>
      <w:r>
        <w:t xml:space="preserve"> </w:t>
      </w:r>
      <w:r>
        <w:rPr>
          <w:i/>
          <w:iCs/>
        </w:rPr>
        <w:t xml:space="preserve">shocks</w:t>
      </w:r>
      <w:r>
        <w:t xml:space="preserve"> </w:t>
      </w:r>
      <w:r>
        <w:t xml:space="preserve">pequeños.</w:t>
      </w:r>
    </w:p>
    <w:p>
      <w:pPr>
        <w:pStyle w:val="CaptionedFigure"/>
      </w:pPr>
      <w:r>
        <w:drawing>
          <wp:inline>
            <wp:extent cx="5334000" cy="2790092"/>
            <wp:effectExtent b="0" l="0" r="0" t="0"/>
            <wp:docPr descr="Figura 6.3. Suficiencia del superávit primario. Probabilidad de no estabilización en 2031 según el resultado primario de 2031, con el resultado primario de todos los años del escenario base del FMI (2026) desplazado en la misma magnitud; la línea vertical marca el máximo anual de 1999-2025. Estimación central. Fuente: elaboración propia." title="" id="88" name="Picture"/>
            <a:graphic>
              <a:graphicData uri="http://schemas.openxmlformats.org/drawingml/2006/picture">
                <pic:pic>
                  <pic:nvPicPr>
                    <pic:cNvPr descr="../tesis/figuras/fig6_5_suficiencia_superavit.png" id="89" name="Picture"/>
                    <pic:cNvPicPr>
                      <a:picLocks noChangeArrowheads="1" noChangeAspect="1"/>
                    </pic:cNvPicPr>
                  </pic:nvPicPr>
                  <pic:blipFill>
                    <a:blip r:embed="rId87"/>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6.3. Suficiencia del superávit primario. Probabilidad de no estabilización en 2031 según el resultado primario de 2031, con el resultado primario de todos los años del escenario base del FMI (2026) desplazado en la misma magnitud; la línea vertical marca el máximo anual de 1999-2025. Estimación central. Fuente: elaboración propia.</w:t>
      </w:r>
    </w:p>
    <w:p>
      <w:pPr>
        <w:pStyle w:val="BodyText"/>
      </w:pPr>
      <w:r>
        <w:t xml:space="preserve">En la descomposición (Figura 6.4), los intervalos de los bloques externo y cambiario y de riesgo se superponen y no permiten ordenarlos entre sí.</w:t>
      </w:r>
    </w:p>
    <w:p>
      <w:pPr>
        <w:pStyle w:val="CaptionedFigure"/>
      </w:pPr>
      <w:r>
        <w:drawing>
          <wp:inline>
            <wp:extent cx="5334000" cy="2667000"/>
            <wp:effectExtent b="0" l="0" r="0" t="0"/>
            <wp:docPr descr="Figura 6.4. Varianza de la deuda en 2035 por bloque de shocks. Participación de los bloques fiscal, de actividad, cambiario y de riesgo, y externo en la varianza de la deuda federal bruta simulada en 2035; estimación central e intervalos de 90%. Fuente: elaboración propia." title="" id="91" name="Picture"/>
            <a:graphic>
              <a:graphicData uri="http://schemas.openxmlformats.org/drawingml/2006/picture">
                <pic:pic>
                  <pic:nvPicPr>
                    <pic:cNvPr descr="../tesis/figuras/fig6_3_varianza_por_bloque.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6.4. Varianza de la deuda en 2035 por bloque de</w:t>
      </w:r>
      <w:r>
        <w:t xml:space="preserve"> </w:t>
      </w:r>
      <w:r>
        <w:rPr>
          <w:i/>
          <w:iCs/>
        </w:rPr>
        <w:t xml:space="preserve">shocks</w:t>
      </w:r>
      <w:r>
        <w:t xml:space="preserve">. Participación de los bloques fiscal, de actividad, cambiario y de riesgo, y externo en la varianza de la deuda federal bruta simulada en 2035; estimación central e intervalos de 90%. Fuente: elaboración propia.</w:t>
      </w:r>
    </w:p>
    <w:bookmarkEnd w:id="93"/>
    <w:bookmarkStart w:id="94"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el mismo escenario y la misma métrica, cada horizonte se contrasta contra la cifra del FMI correspondiente (Tabla 6.4).</w:t>
      </w:r>
    </w:p>
    <w:p>
      <w:pPr>
        <w:pStyle w:val="BodyText"/>
      </w:pPr>
      <w:r>
        <w:rPr>
          <w:b/>
          <w:bCs/>
        </w:rPr>
        <w:t xml:space="preserve">Tabla 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Cifra del FMI</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2031 (mediano plazo)</w:t>
            </w:r>
          </w:p>
        </w:tc>
        <w:tc>
          <w:tcPr/>
          <w:p>
            <w:pPr>
              <w:pStyle w:val="Compact"/>
            </w:pPr>
            <w:r>
              <w:rPr>
                <w:rFonts w:ascii="Calibri" w:hAnsi="Calibri"/>
                <w:sz w:val="20"/>
              </w:rPr>
              <w:t xml:space="preserve">32,8%</w:t>
            </w:r>
          </w:p>
        </w:tc>
        <w:tc>
          <w:tcPr/>
          <w:p>
            <w:pPr>
              <w:pStyle w:val="Compact"/>
            </w:pPr>
            <w:r>
              <w:rPr>
                <w:rFonts w:ascii="Calibri" w:hAnsi="Calibri"/>
                <w:sz w:val="20"/>
              </w:rPr>
              <w:t xml:space="preserve">[26,8; 37,9]</w:t>
            </w:r>
          </w:p>
        </w:tc>
        <w:tc>
          <w:tcPr/>
          <w:p>
            <w:pPr>
              <w:pStyle w:val="Compact"/>
            </w:pPr>
            <w:r>
              <w:rPr>
                <w:rFonts w:ascii="Calibri" w:hAnsi="Calibri"/>
                <w:sz w:val="20"/>
              </w:rPr>
              <w:t xml:space="preserve">1%</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31,3%</w:t>
            </w:r>
          </w:p>
        </w:tc>
        <w:tc>
          <w:tcPr/>
          <w:p>
            <w:pPr>
              <w:pStyle w:val="Compact"/>
            </w:pPr>
            <w:r>
              <w:rPr>
                <w:rFonts w:ascii="Calibri" w:hAnsi="Calibri"/>
                <w:sz w:val="20"/>
              </w:rPr>
              <w:t xml:space="preserve">[27,0; 35,3]</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Se cumple</w:t>
            </w:r>
          </w:p>
        </w:tc>
      </w:tr>
    </w:tbl>
    <w:p>
      <w:pPr>
        <w:pStyle w:val="BodyText"/>
      </w:pPr>
      <w:r>
        <w:t xml:space="preserve">Fuente: elaboración propia. Error de Monte Carlo de la estimación central: 0,33 puntos.</w:t>
      </w:r>
    </w:p>
    <w:p>
      <w:pPr>
        <w:pStyle w:val="BodyText"/>
      </w:pPr>
      <w:r>
        <w:t xml:space="preserve">En los dos horizontes el intervalo queda entero muy por encima de la cifra del FMI, y la conclusión se mantiene con la corrección de Bonferroni (límites inferiores de 26,3% y 26,4%). Las medidas alternativas llevan a lo mismo: con el resultado primario simulado en lugar del previsto, la probabilidad en 2031 es 35,4% [30,3; 40,8], y la probabilidad de que la deuda de 2031 supere a la de 2029 es 27,5% [23,9; 33,1]. En las 19 especificaciones el límite inferior supera las cifras del FMI; el menor, 20,3%, corresponde a la deuda consolidada. H1b queda respaldada en los dos horizontes.</w:t>
      </w:r>
    </w:p>
    <w:bookmarkEnd w:id="94"/>
    <w:bookmarkStart w:id="95" w:name="contraste-de-h2"/>
    <w:p>
      <w:pPr>
        <w:pStyle w:val="Heading2"/>
      </w:pPr>
      <w:r>
        <w:t xml:space="preserve">6.5 Contraste de H2</w:t>
      </w:r>
    </w:p>
    <w:p>
      <w:pPr>
        <w:pStyle w:val="FirstParagraph"/>
      </w:pPr>
      <w:r>
        <w:rPr>
          <w:b/>
          <w:bCs/>
        </w:rPr>
        <w:t xml:space="preserve">Tabla 6.5. Efecto de la FED sobre la deuda federal bruta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Probabilidad 2031 (pp)</w:t>
            </w:r>
          </w:p>
        </w:tc>
        <w:tc>
          <w:tcPr/>
          <w:p>
            <w:pPr>
              <w:pStyle w:val="Compact"/>
            </w:pPr>
            <w:r>
              <w:rPr>
                <w:rFonts w:ascii="Calibri" w:hAnsi="Calibri"/>
                <w:sz w:val="20"/>
              </w:rPr>
              <w:t xml:space="preserve">Probabilidad 2035 (pp)</w:t>
            </w:r>
          </w:p>
        </w:tc>
        <w:tc>
          <w:tcPr/>
          <w:p>
            <w:pPr>
              <w:pStyle w:val="Compact"/>
            </w:pPr>
            <w:r>
              <w:rPr>
                <w:rFonts w:ascii="Calibri" w:hAnsi="Calibri"/>
                <w:sz w:val="20"/>
              </w:rPr>
              <w:t xml:space="preserve">Deuda media 2035 (pp del PIB)</w:t>
            </w:r>
          </w:p>
        </w:tc>
      </w:tr>
      <w:tr>
        <w:tc>
          <w:tcPr/>
          <w:p>
            <w:pPr>
              <w:pStyle w:val="Compact"/>
            </w:pPr>
            <w:r>
              <w:rPr>
                <w:rFonts w:ascii="Calibri" w:hAnsi="Calibri"/>
                <w:sz w:val="20"/>
              </w:rPr>
              <w:t xml:space="preserve">Nivel 0,504 pp más alto desde 2026T1</w:t>
            </w:r>
          </w:p>
        </w:tc>
        <w:tc>
          <w:tcPr/>
          <w:p>
            <w:pPr>
              <w:pStyle w:val="Compact"/>
            </w:pPr>
            <w:r>
              <w:rPr>
                <w:rFonts w:ascii="Calibri" w:hAnsi="Calibri"/>
                <w:sz w:val="20"/>
              </w:rPr>
              <w:t xml:space="preserve">+0,9 [0,0; 1,5]</w:t>
            </w:r>
          </w:p>
        </w:tc>
        <w:tc>
          <w:tcPr/>
          <w:p>
            <w:pPr>
              <w:pStyle w:val="Compact"/>
            </w:pPr>
            <w:r>
              <w:rPr>
                <w:rFonts w:ascii="Calibri" w:hAnsi="Calibri"/>
                <w:sz w:val="20"/>
              </w:rPr>
              <w:t xml:space="preserve">+1,5 [0,5; 2,6]</w:t>
            </w:r>
          </w:p>
        </w:tc>
        <w:tc>
          <w:tcPr/>
          <w:p>
            <w:pPr>
              <w:pStyle w:val="Compact"/>
            </w:pPr>
            <w:r>
              <w:rPr>
                <w:rFonts w:ascii="Calibri" w:hAnsi="Calibri"/>
                <w:sz w:val="20"/>
              </w:rPr>
              <w:t xml:space="preserve">+1,5 [0,1; 2,5]</w:t>
            </w:r>
          </w:p>
        </w:tc>
      </w:tr>
      <w:tr>
        <w:tc>
          <w:tcPr/>
          <w:p>
            <w:pPr>
              <w:pStyle w:val="Compact"/>
            </w:pPr>
            <w:r>
              <w:rPr>
                <w:rFonts w:ascii="Calibri" w:hAnsi="Calibri"/>
                <w:sz w:val="20"/>
              </w:rPr>
              <w:t xml:space="preserve">Senda de 2022-2025 repetida en 2026-2029</w:t>
            </w:r>
          </w:p>
        </w:tc>
        <w:tc>
          <w:tcPr/>
          <w:p>
            <w:pPr>
              <w:pStyle w:val="Compact"/>
            </w:pPr>
            <w:r>
              <w:rPr>
                <w:rFonts w:ascii="Calibri" w:hAnsi="Calibri"/>
                <w:sz w:val="20"/>
              </w:rPr>
              <w:t xml:space="preserve">+5,1 [-0,2; 9,1]</w:t>
            </w:r>
          </w:p>
        </w:tc>
        <w:tc>
          <w:tcPr/>
          <w:p>
            <w:pPr>
              <w:pStyle w:val="Compact"/>
            </w:pPr>
            <w:r>
              <w:rPr>
                <w:rFonts w:ascii="Calibri" w:hAnsi="Calibri"/>
                <w:sz w:val="20"/>
              </w:rPr>
              <w:t xml:space="preserve">+11,3 [4,4; 17,9]</w:t>
            </w:r>
          </w:p>
        </w:tc>
        <w:tc>
          <w:tcPr/>
          <w:p>
            <w:pPr>
              <w:pStyle w:val="Compact"/>
            </w:pPr>
            <w:r>
              <w:rPr>
                <w:rFonts w:ascii="Calibri" w:hAnsi="Calibri"/>
                <w:sz w:val="20"/>
              </w:rPr>
              <w:t xml:space="preserve">+12,6 [1,2; 21,8]</w:t>
            </w:r>
          </w:p>
        </w:tc>
      </w:tr>
    </w:tbl>
    <w:p>
      <w:pPr>
        <w:pStyle w:val="BodyText"/>
      </w:pPr>
      <w:r>
        <w:t xml:space="preserve">Fuente: elaboración propia. Diferencias respecto del escenario base; entre corchetes, intervalos de 90%.</w:t>
      </w:r>
    </w:p>
    <w:p>
      <w:pPr>
        <w:pStyle w:val="BodyText"/>
      </w:pPr>
      <w:r>
        <w:t xml:space="preserve">Los dos escenarios elevan la probabilidad de no estabilización y la deuda media en 2035 con intervalos que excluyen el cero, de modo que la especificación principal cumple el criterio de la Tabla 4.4. En 2031 el efecto es menor y sus intervalos tocan o cruzan el cero, como corresponde a un efecto que se acumula.</w:t>
      </w:r>
    </w:p>
    <w:p>
      <w:pPr>
        <w:pStyle w:val="BodyText"/>
      </w:pPr>
      <w:r>
        <w:t xml:space="preserve">La evidencia es más firme para la probabilidad que para la deuda esperada. Con la corrección de Bonferroni, los efectos sobre la probabilidad en 2035 siguen excluyendo el cero (límites inferiores de 0,2 y 1,4 puntos) y los efectos sobre la deuda no (-0,0 y -0,5). Entre las especificaciones de robustez, el efecto de la senda de 2022-2025 sobre la probabilidad excluye el cero en 18 de 19, y el efecto sobre la deuda, en 12 de 19.</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9,4 de los 12,6 puntos de aumento de la deuda en 2035 (75%). El resto corresponde a la respuesta del riesgo país, el tipo de cambio real y el crecimiento, que no se distinguen del azar (sección 6.1). H2 queda respaldada en su efecto sobre la probabilidad de no estabilización; el mecanismo que propone, la transmisión por los canales domésticos, no se verifica.</w:t>
      </w:r>
    </w:p>
    <w:bookmarkEnd w:id="95"/>
    <w:bookmarkStart w:id="99" w:name="robustez"/>
    <w:p>
      <w:pPr>
        <w:pStyle w:val="Heading2"/>
      </w:pPr>
      <w:r>
        <w:t xml:space="preserve">6.6 Robustez</w:t>
      </w:r>
    </w:p>
    <w:p>
      <w:pPr>
        <w:pStyle w:val="FirstParagraph"/>
      </w:pPr>
      <w:r>
        <w:t xml:space="preserve">La Tabla 6.6 resume las especificaciones alternativas más relevantes. La tabla completa, con las 19 especificaciones del SVARX, está en el Apéndice, sección A.8.</w:t>
      </w:r>
    </w:p>
    <w:p>
      <w:pPr>
        <w:pStyle w:val="BodyText"/>
      </w:pPr>
      <w:r>
        <w:rPr>
          <w:b/>
          <w:bCs/>
        </w:rPr>
        <w:t xml:space="preserve">Tabla 6.6. Robustez (selección)</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2031</w:t>
            </w:r>
          </w:p>
        </w:tc>
        <w:tc>
          <w:tcPr/>
          <w:p>
            <w:pPr>
              <w:pStyle w:val="Compact"/>
            </w:pPr>
            <w:r>
              <w:rPr>
                <w:rFonts w:ascii="Calibri" w:hAnsi="Calibri"/>
                <w:sz w:val="20"/>
              </w:rPr>
              <w:t xml:space="preserve">No fiscal menos fiscal</w:t>
            </w:r>
          </w:p>
        </w:tc>
        <w:tc>
          <w:tcPr/>
          <w:p>
            <w:pPr>
              <w:pStyle w:val="Compact"/>
            </w:pPr>
            <w:r>
              <w:rPr>
                <w:rFonts w:ascii="Calibri" w:hAnsi="Calibri"/>
                <w:sz w:val="20"/>
              </w:rPr>
              <w:t xml:space="preserve">Senda de la FED: probabilidad 2035</w:t>
            </w:r>
          </w:p>
        </w:tc>
      </w:tr>
      <w:tr>
        <w:tc>
          <w:tcPr/>
          <w:p>
            <w:pPr>
              <w:pStyle w:val="Compact"/>
            </w:pPr>
            <w:r>
              <w:rPr>
                <w:rFonts w:ascii="Calibri" w:hAnsi="Calibri"/>
                <w:sz w:val="20"/>
              </w:rPr>
              <w:t xml:space="preserve">Principal (deuda federal bruta)</w:t>
            </w:r>
          </w:p>
        </w:tc>
        <w:tc>
          <w:tcPr/>
          <w:p>
            <w:pPr>
              <w:pStyle w:val="Compact"/>
            </w:pPr>
            <w:r>
              <w:rPr>
                <w:rFonts w:ascii="Calibri" w:hAnsi="Calibri"/>
                <w:sz w:val="20"/>
              </w:rPr>
              <w:t xml:space="preserve">32,8% [26,8; 37,9]</w:t>
            </w:r>
          </w:p>
        </w:tc>
        <w:tc>
          <w:tcPr/>
          <w:p>
            <w:pPr>
              <w:pStyle w:val="Compact"/>
            </w:pPr>
            <w:r>
              <w:rPr>
                <w:rFonts w:ascii="Calibri" w:hAnsi="Calibri"/>
                <w:sz w:val="20"/>
              </w:rPr>
              <w:t xml:space="preserve">31,3% [27,0; 35,3]</w:t>
            </w:r>
          </w:p>
        </w:tc>
        <w:tc>
          <w:tcPr/>
          <w:p>
            <w:pPr>
              <w:pStyle w:val="Compact"/>
            </w:pPr>
            <w:r>
              <w:rPr>
                <w:rFonts w:ascii="Calibri" w:hAnsi="Calibri"/>
                <w:sz w:val="20"/>
              </w:rPr>
              <w:t xml:space="preserve">48,3</w:t>
            </w:r>
          </w:p>
        </w:tc>
        <w:tc>
          <w:tcPr/>
          <w:p>
            <w:pPr>
              <w:pStyle w:val="Compact"/>
            </w:pPr>
            <w:r>
              <w:rPr>
                <w:rFonts w:ascii="Calibri" w:hAnsi="Calibri"/>
                <w:sz w:val="20"/>
              </w:rPr>
              <w:t xml:space="preserve">82,6 [65,8; 92,4]</w:t>
            </w:r>
          </w:p>
        </w:tc>
        <w:tc>
          <w:tcPr/>
          <w:p>
            <w:pPr>
              <w:pStyle w:val="Compact"/>
            </w:pPr>
            <w:r>
              <w:rPr>
                <w:rFonts w:ascii="Calibri" w:hAnsi="Calibri"/>
                <w:sz w:val="20"/>
              </w:rPr>
              <w:t xml:space="preserve">11,3 [4,4; 17,9]</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26,8% [20,3; 31,0]</w:t>
            </w:r>
          </w:p>
        </w:tc>
        <w:tc>
          <w:tcPr/>
          <w:p>
            <w:pPr>
              <w:pStyle w:val="Compact"/>
            </w:pPr>
            <w:r>
              <w:rPr>
                <w:rFonts w:ascii="Calibri" w:hAnsi="Calibri"/>
                <w:sz w:val="20"/>
              </w:rPr>
              <w:t xml:space="preserve">24,1% [20,4; 29,6]</w:t>
            </w:r>
          </w:p>
        </w:tc>
        <w:tc>
          <w:tcPr/>
          <w:p>
            <w:pPr>
              <w:pStyle w:val="Compact"/>
            </w:pPr>
            <w:r>
              <w:rPr>
                <w:rFonts w:ascii="Calibri" w:hAnsi="Calibri"/>
                <w:sz w:val="20"/>
              </w:rPr>
              <w:t xml:space="preserve">38,0</w:t>
            </w:r>
          </w:p>
        </w:tc>
        <w:tc>
          <w:tcPr/>
          <w:p>
            <w:pPr>
              <w:pStyle w:val="Compact"/>
            </w:pPr>
            <w:r>
              <w:rPr>
                <w:rFonts w:ascii="Calibri" w:hAnsi="Calibri"/>
                <w:sz w:val="20"/>
              </w:rPr>
              <w:t xml:space="preserve">67,1 [36,8; 86,1]</w:t>
            </w:r>
          </w:p>
        </w:tc>
        <w:tc>
          <w:tcPr/>
          <w:p>
            <w:pPr>
              <w:pStyle w:val="Compact"/>
            </w:pPr>
            <w:r>
              <w:rPr>
                <w:rFonts w:ascii="Calibri" w:hAnsi="Calibri"/>
                <w:sz w:val="20"/>
              </w:rPr>
              <w:t xml:space="preserve">10,1 [2,5; 16,7]</w:t>
            </w:r>
          </w:p>
        </w:tc>
      </w:tr>
      <w:tr>
        <w:tc>
          <w:tcPr/>
          <w:p>
            <w:pPr>
              <w:pStyle w:val="Compact"/>
            </w:pPr>
            <w:r>
              <w:rPr>
                <w:rFonts w:ascii="Calibri" w:hAnsi="Calibri"/>
                <w:sz w:val="20"/>
              </w:rPr>
              <w:t xml:space="preserve">Resultado primario sin rentas de la propiedad</w:t>
            </w:r>
          </w:p>
        </w:tc>
        <w:tc>
          <w:tcPr/>
          <w:p>
            <w:pPr>
              <w:pStyle w:val="Compact"/>
            </w:pPr>
            <w:r>
              <w:rPr>
                <w:rFonts w:ascii="Calibri" w:hAnsi="Calibri"/>
                <w:sz w:val="20"/>
              </w:rPr>
              <w:t xml:space="preserve">32,4% [26,6; 37,0]</w:t>
            </w:r>
          </w:p>
        </w:tc>
        <w:tc>
          <w:tcPr/>
          <w:p>
            <w:pPr>
              <w:pStyle w:val="Compact"/>
            </w:pPr>
            <w:r>
              <w:rPr>
                <w:rFonts w:ascii="Calibri" w:hAnsi="Calibri"/>
                <w:sz w:val="20"/>
              </w:rPr>
              <w:t xml:space="preserve">31,2% [26,4; 35,6]</w:t>
            </w:r>
          </w:p>
        </w:tc>
        <w:tc>
          <w:tcPr/>
          <w:p>
            <w:pPr>
              <w:pStyle w:val="Compact"/>
            </w:pPr>
            <w:r>
              <w:rPr>
                <w:rFonts w:ascii="Calibri" w:hAnsi="Calibri"/>
                <w:sz w:val="20"/>
              </w:rPr>
              <w:t xml:space="preserve">47,6</w:t>
            </w:r>
          </w:p>
        </w:tc>
        <w:tc>
          <w:tcPr/>
          <w:p>
            <w:pPr>
              <w:pStyle w:val="Compact"/>
            </w:pPr>
            <w:r>
              <w:rPr>
                <w:rFonts w:ascii="Calibri" w:hAnsi="Calibri"/>
                <w:sz w:val="20"/>
              </w:rPr>
              <w:t xml:space="preserve">75,5 [51,7; 86,3]</w:t>
            </w:r>
          </w:p>
        </w:tc>
        <w:tc>
          <w:tcPr/>
          <w:p>
            <w:pPr>
              <w:pStyle w:val="Compact"/>
            </w:pPr>
            <w:r>
              <w:rPr>
                <w:rFonts w:ascii="Calibri" w:hAnsi="Calibri"/>
                <w:sz w:val="20"/>
              </w:rPr>
              <w:t xml:space="preserve">9,6 [2,5; 15,7]</w:t>
            </w:r>
          </w:p>
        </w:tc>
      </w:tr>
      <w:tr>
        <w:tc>
          <w:tcPr/>
          <w:p>
            <w:pPr>
              <w:pStyle w:val="Compact"/>
            </w:pPr>
            <w:r>
              <w:rPr>
                <w:rFonts w:ascii="Calibri" w:hAnsi="Calibri"/>
                <w:sz w:val="20"/>
              </w:rPr>
              <w:t xml:space="preserve">Sin retroalimentación de la deuda</w:t>
            </w:r>
          </w:p>
        </w:tc>
        <w:tc>
          <w:tcPr/>
          <w:p>
            <w:pPr>
              <w:pStyle w:val="Compact"/>
            </w:pPr>
            <w:r>
              <w:rPr>
                <w:rFonts w:ascii="Calibri" w:hAnsi="Calibri"/>
                <w:sz w:val="20"/>
              </w:rPr>
              <w:t xml:space="preserve">31,4% [26,0; 36,3]</w:t>
            </w:r>
          </w:p>
        </w:tc>
        <w:tc>
          <w:tcPr/>
          <w:p>
            <w:pPr>
              <w:pStyle w:val="Compact"/>
            </w:pPr>
            <w:r>
              <w:rPr>
                <w:rFonts w:ascii="Calibri" w:hAnsi="Calibri"/>
                <w:sz w:val="20"/>
              </w:rPr>
              <w:t xml:space="preserve">29,5% [24,3; 34,8]</w:t>
            </w:r>
          </w:p>
        </w:tc>
        <w:tc>
          <w:tcPr/>
          <w:p>
            <w:pPr>
              <w:pStyle w:val="Compact"/>
            </w:pPr>
            <w:r>
              <w:rPr>
                <w:rFonts w:ascii="Calibri" w:hAnsi="Calibri"/>
                <w:sz w:val="20"/>
              </w:rPr>
              <w:t xml:space="preserve">55,5</w:t>
            </w:r>
          </w:p>
        </w:tc>
        <w:tc>
          <w:tcPr/>
          <w:p>
            <w:pPr>
              <w:pStyle w:val="Compact"/>
            </w:pPr>
            <w:r>
              <w:rPr>
                <w:rFonts w:ascii="Calibri" w:hAnsi="Calibri"/>
                <w:sz w:val="20"/>
              </w:rPr>
              <w:t xml:space="preserve">81,5 [63,6; 91,4]</w:t>
            </w:r>
          </w:p>
        </w:tc>
        <w:tc>
          <w:tcPr/>
          <w:p>
            <w:pPr>
              <w:pStyle w:val="Compact"/>
            </w:pPr>
            <w:r>
              <w:rPr>
                <w:rFonts w:ascii="Calibri" w:hAnsi="Calibri"/>
                <w:sz w:val="20"/>
              </w:rPr>
              <w:t xml:space="preserve">8,1 [5,6; 10,6]</w:t>
            </w:r>
          </w:p>
        </w:tc>
      </w:tr>
      <w:tr>
        <w:tc>
          <w:tcPr/>
          <w:p>
            <w:pPr>
              <w:pStyle w:val="Compact"/>
            </w:pPr>
            <w:r>
              <w:rPr>
                <w:rFonts w:ascii="Calibri" w:hAnsi="Calibri"/>
                <w:sz w:val="20"/>
              </w:rPr>
              <w:t xml:space="preserve">Tres rezagos</w:t>
            </w:r>
          </w:p>
        </w:tc>
        <w:tc>
          <w:tcPr/>
          <w:p>
            <w:pPr>
              <w:pStyle w:val="Compact"/>
            </w:pPr>
            <w:r>
              <w:rPr>
                <w:rFonts w:ascii="Calibri" w:hAnsi="Calibri"/>
                <w:sz w:val="20"/>
              </w:rPr>
              <w:t xml:space="preserve">30,3% [23,0; 35,1]</w:t>
            </w:r>
          </w:p>
        </w:tc>
        <w:tc>
          <w:tcPr/>
          <w:p>
            <w:pPr>
              <w:pStyle w:val="Compact"/>
            </w:pPr>
            <w:r>
              <w:rPr>
                <w:rFonts w:ascii="Calibri" w:hAnsi="Calibri"/>
                <w:sz w:val="20"/>
              </w:rPr>
              <w:t xml:space="preserve">29,6% [24,2; 35,5]</w:t>
            </w:r>
          </w:p>
        </w:tc>
        <w:tc>
          <w:tcPr/>
          <w:p>
            <w:pPr>
              <w:pStyle w:val="Compact"/>
            </w:pPr>
            <w:r>
              <w:rPr>
                <w:rFonts w:ascii="Calibri" w:hAnsi="Calibri"/>
                <w:sz w:val="20"/>
              </w:rPr>
              <w:t xml:space="preserve">40,8</w:t>
            </w:r>
          </w:p>
        </w:tc>
        <w:tc>
          <w:tcPr/>
          <w:p>
            <w:pPr>
              <w:pStyle w:val="Compact"/>
            </w:pPr>
            <w:r>
              <w:rPr>
                <w:rFonts w:ascii="Calibri" w:hAnsi="Calibri"/>
                <w:sz w:val="20"/>
              </w:rPr>
              <w:t xml:space="preserve">72,3 [46,2; 88,9]</w:t>
            </w:r>
          </w:p>
        </w:tc>
        <w:tc>
          <w:tcPr/>
          <w:p>
            <w:pPr>
              <w:pStyle w:val="Compact"/>
            </w:pPr>
            <w:r>
              <w:rPr>
                <w:rFonts w:ascii="Calibri" w:hAnsi="Calibri"/>
                <w:sz w:val="20"/>
              </w:rPr>
              <w:t xml:space="preserve">10,3 [4,1; 17,1]</w:t>
            </w:r>
          </w:p>
        </w:tc>
      </w:tr>
      <w:tr>
        <w:tc>
          <w:tcPr/>
          <w:p>
            <w:pPr>
              <w:pStyle w:val="Compact"/>
            </w:pPr>
            <w:r>
              <w:rPr>
                <w:rFonts w:ascii="Calibri" w:hAnsi="Calibri"/>
                <w:sz w:val="20"/>
              </w:rPr>
              <w:t xml:space="preserve">Datos desde 2004</w:t>
            </w:r>
          </w:p>
        </w:tc>
        <w:tc>
          <w:tcPr/>
          <w:p>
            <w:pPr>
              <w:pStyle w:val="Compact"/>
            </w:pPr>
            <w:r>
              <w:rPr>
                <w:rFonts w:ascii="Calibri" w:hAnsi="Calibri"/>
                <w:sz w:val="20"/>
              </w:rPr>
              <w:t xml:space="preserve">31,9% [27,9; 40,5]</w:t>
            </w:r>
          </w:p>
        </w:tc>
        <w:tc>
          <w:tcPr/>
          <w:p>
            <w:pPr>
              <w:pStyle w:val="Compact"/>
            </w:pPr>
            <w:r>
              <w:rPr>
                <w:rFonts w:ascii="Calibri" w:hAnsi="Calibri"/>
                <w:sz w:val="20"/>
              </w:rPr>
              <w:t xml:space="preserve">32,5% [24,0; 41,7]</w:t>
            </w:r>
          </w:p>
        </w:tc>
        <w:tc>
          <w:tcPr/>
          <w:p>
            <w:pPr>
              <w:pStyle w:val="Compact"/>
            </w:pPr>
            <w:r>
              <w:rPr>
                <w:rFonts w:ascii="Calibri" w:hAnsi="Calibri"/>
                <w:sz w:val="20"/>
              </w:rPr>
              <w:t xml:space="preserve">35,8</w:t>
            </w:r>
          </w:p>
        </w:tc>
        <w:tc>
          <w:tcPr/>
          <w:p>
            <w:pPr>
              <w:pStyle w:val="Compact"/>
            </w:pPr>
            <w:r>
              <w:rPr>
                <w:rFonts w:ascii="Calibri" w:hAnsi="Calibri"/>
                <w:sz w:val="20"/>
              </w:rPr>
              <w:t xml:space="preserve">86,7 [73,5; 97,4]</w:t>
            </w:r>
          </w:p>
        </w:tc>
        <w:tc>
          <w:tcPr/>
          <w:p>
            <w:pPr>
              <w:pStyle w:val="Compact"/>
            </w:pPr>
            <w:r>
              <w:rPr>
                <w:rFonts w:ascii="Calibri" w:hAnsi="Calibri"/>
                <w:sz w:val="20"/>
              </w:rPr>
              <w:t xml:space="preserve">11,0 [-4,8; 17,2]</w:t>
            </w:r>
          </w:p>
        </w:tc>
      </w:tr>
      <w:tr>
        <w:tc>
          <w:tcPr/>
          <w:p>
            <w:pPr>
              <w:pStyle w:val="Compact"/>
            </w:pPr>
            <w:r>
              <w:rPr>
                <w:rFonts w:ascii="Calibri" w:hAnsi="Calibri"/>
                <w:sz w:val="20"/>
              </w:rPr>
              <w:t xml:space="preserve">Parámetros corregidos por sesgo (Kilian, 1998)</w:t>
            </w:r>
          </w:p>
        </w:tc>
        <w:tc>
          <w:tcPr/>
          <w:p>
            <w:pPr>
              <w:pStyle w:val="Compact"/>
            </w:pPr>
            <w:r>
              <w:rPr>
                <w:rFonts w:ascii="Calibri" w:hAnsi="Calibri"/>
                <w:sz w:val="20"/>
              </w:rPr>
              <w:t xml:space="preserve">31,3% [24,2; 36,0]</w:t>
            </w:r>
          </w:p>
        </w:tc>
        <w:tc>
          <w:tcPr/>
          <w:p>
            <w:pPr>
              <w:pStyle w:val="Compact"/>
            </w:pPr>
            <w:r>
              <w:rPr>
                <w:rFonts w:ascii="Calibri" w:hAnsi="Calibri"/>
                <w:sz w:val="20"/>
              </w:rPr>
              <w:t xml:space="preserve">31,1% [27,2; 35,7]</w:t>
            </w:r>
          </w:p>
        </w:tc>
        <w:tc>
          <w:tcPr/>
          <w:p>
            <w:pPr>
              <w:pStyle w:val="Compact"/>
            </w:pPr>
            <w:r>
              <w:rPr>
                <w:rFonts w:ascii="Calibri" w:hAnsi="Calibri"/>
                <w:sz w:val="20"/>
              </w:rPr>
              <w:t xml:space="preserve">52,1</w:t>
            </w:r>
          </w:p>
        </w:tc>
        <w:tc>
          <w:tcPr/>
          <w:p>
            <w:pPr>
              <w:pStyle w:val="Compact"/>
            </w:pPr>
            <w:r>
              <w:rPr>
                <w:rFonts w:ascii="Calibri" w:hAnsi="Calibri"/>
                <w:sz w:val="20"/>
              </w:rPr>
              <w:t xml:space="preserve">61,3 [32,7; 100,0]</w:t>
            </w:r>
          </w:p>
        </w:tc>
        <w:tc>
          <w:tcPr/>
          <w:p>
            <w:pPr>
              <w:pStyle w:val="Compact"/>
            </w:pPr>
            <w:r>
              <w:rPr>
                <w:rFonts w:ascii="Calibri" w:hAnsi="Calibri"/>
                <w:sz w:val="20"/>
              </w:rPr>
              <w:t xml:space="preserve">12,8 [1,6; 20,8]</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pPr>
            <w:r>
              <w:rPr>
                <w:rFonts w:ascii="Calibri" w:hAnsi="Calibri"/>
                <w:sz w:val="20"/>
              </w:rPr>
              <w:t xml:space="preserve">16,6%</w:t>
            </w:r>
          </w:p>
        </w:tc>
        <w:tc>
          <w:tcPr/>
          <w:p>
            <w:pPr>
              <w:pStyle w:val="Compact"/>
            </w:pPr>
            <w:r>
              <w:rPr>
                <w:rFonts w:ascii="Calibri" w:hAnsi="Calibri"/>
                <w:sz w:val="20"/>
              </w:rPr>
              <w:t xml:space="preserve">15,1%</w:t>
            </w:r>
          </w:p>
        </w:tc>
        <w:tc>
          <w:tcPr/>
          <w:p>
            <w:pPr>
              <w:pStyle w:val="Compact"/>
            </w:pPr>
            <w:r>
              <w:rPr>
                <w:rFonts w:ascii="Calibri" w:hAnsi="Calibri"/>
                <w:sz w:val="20"/>
              </w:rPr>
              <w:t xml:space="preserve">151,1</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p>
    <w:p>
      <w:pPr>
        <w:pStyle w:val="BodyText"/>
      </w:pPr>
      <w:r>
        <w:rPr>
          <w:b/>
          <w:bCs/>
        </w:rPr>
        <w:t xml:space="preserve">Hipótesis.</w:t>
      </w:r>
      <w:r>
        <w:t xml:space="preserve"> </w:t>
      </w:r>
      <w:r>
        <w:t xml:space="preserve">H1b se cumple en todas las especificaciones. H1a también: la diferencia entre los</w:t>
      </w:r>
      <w:r>
        <w:t xml:space="preserve"> </w:t>
      </w:r>
      <w:r>
        <w:rPr>
          <w:i/>
          <w:iCs/>
        </w:rPr>
        <w:t xml:space="preserve">shocks</w:t>
      </w:r>
      <w:r>
        <w:t xml:space="preserve"> </w:t>
      </w:r>
      <w:r>
        <w:t xml:space="preserve">no fiscales y el fiscal excluye el cero en las 19. El efecto de la senda de la FED sobre la probabilidad solo incluye el cero con los datos desde 2004, la especificación con menos observaciones. Cambiar la identificación (ordenamientos de Cholesky y elasticidades cíclicas de 0 y 0,5) no modifica la probabilidad, porque todas las especificaciones comparten el sorteo y los</w:t>
      </w:r>
      <w:r>
        <w:t xml:space="preserve"> </w:t>
      </w:r>
      <w:r>
        <w:rPr>
          <w:i/>
          <w:iCs/>
        </w:rPr>
        <w:t xml:space="preserve">shocks</w:t>
      </w:r>
      <w:r>
        <w:t xml:space="preserve"> </w:t>
      </w:r>
      <w:r>
        <w:t xml:space="preserve">estructurales reconstruyen los mismos residuos (sección 4.6); solo cambia el reparto de la varianza entre bloques.</w:t>
      </w:r>
    </w:p>
    <w:p>
      <w:pPr>
        <w:pStyle w:val="BodyText"/>
      </w:pPr>
      <w:r>
        <w:rPr>
          <w:b/>
          <w:bCs/>
        </w:rPr>
        <w:t xml:space="preserve">Extensión consolidada.</w:t>
      </w:r>
      <w:r>
        <w:t xml:space="preserve"> </w:t>
      </w:r>
      <w:r>
        <w:t xml:space="preserve">Con la deuda del sector público consolidado con el BCRA, que parte de 52,1% del PIB, la senda base llega a 31,9% en 2031 y a 21,8% en 2035, y el abanico es más angosto que el federal. Las tres hipótesis llevan a las mismas conclusiones que en la especificación principal: la probabilidad de no estabilización supera con holgura las cifras del FMI, la diferencia entre los</w:t>
      </w:r>
      <w:r>
        <w:t xml:space="preserve"> </w:t>
      </w:r>
      <w:r>
        <w:rPr>
          <w:i/>
          <w:iCs/>
        </w:rPr>
        <w:t xml:space="preserve">shocks</w:t>
      </w:r>
      <w:r>
        <w:t xml:space="preserve"> </w:t>
      </w:r>
      <w:r>
        <w:t xml:space="preserve">no fiscales y el fiscal excluye el cero y la senda de la FED eleva la probabilidad. Su efecto sobre la deuda esperada, 6,7 puntos [-0,3; 12,4], no excluye el cero.</w:t>
      </w:r>
    </w:p>
    <w:p>
      <w:pPr>
        <w:pStyle w:val="BodyText"/>
      </w:pPr>
      <w:r>
        <w:rPr>
          <w:b/>
          <w:bCs/>
        </w:rPr>
        <w:t xml:space="preserve">Procedimiento del FMI.</w:t>
      </w:r>
      <w:r>
        <w:t xml:space="preserve"> </w:t>
      </w:r>
      <w:r>
        <w:t xml:space="preserve">Con</w:t>
      </w:r>
      <w:r>
        <w:t xml:space="preserve"> </w:t>
      </w:r>
      <w:r>
        <w:rPr>
          <w:i/>
          <w:iCs/>
        </w:rPr>
        <w:t xml:space="preserve">shocks</w:t>
      </w:r>
      <w:r>
        <w:t xml:space="preserve"> </w:t>
      </w:r>
      <w:r>
        <w:t xml:space="preserve">generados a la manera del FMI sobre la historia argentina de 2000-2025, la probabilidad en 2031 es la mitad que con el SVARX y muy superior a la del FMI, con un abanico dos veces más ancho que el del organismo (Capítulo 7).</w:t>
      </w:r>
    </w:p>
    <w:p>
      <w:pPr>
        <w:pStyle w:val="CaptionedFigure"/>
      </w:pPr>
      <w:r>
        <w:drawing>
          <wp:inline>
            <wp:extent cx="5334000" cy="2667000"/>
            <wp:effectExtent b="0" l="0" r="0" t="0"/>
            <wp:docPr descr="Figura 6.5. Probabilidad de no estabilización por especificación. Estimaciones centrales en 2031 y 2035 con intervalos de 90%, y cifras del FMI (2026): 1% a mediano plazo y menos de 3% a diez años. La variante a la manera del FMI no tiene intervalo porque no estima parámetros. Fuente: elaboración propia." title="" id="97" name="Picture"/>
            <a:graphic>
              <a:graphicData uri="http://schemas.openxmlformats.org/drawingml/2006/picture">
                <pic:pic>
                  <pic:nvPicPr>
                    <pic:cNvPr descr="../tesis/figuras/fig6_4_probabilidad_no_estabilizacion.png" id="98"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Estimaciones centrales en 2031 y 2035 con intervalos de 90%, y cifras del FMI (2026): 1% a mediano plazo y menos de 3% a diez años. La variante a la manera del FMI no tiene intervalo porque no estima parámetros. Fuente: elaboración propia.</w:t>
      </w:r>
    </w:p>
    <w:bookmarkEnd w:id="99"/>
    <w:bookmarkEnd w:id="100"/>
    <w:bookmarkStart w:id="113" w:name="discusión"/>
    <w:p>
      <w:pPr>
        <w:pStyle w:val="Heading1"/>
      </w:pPr>
      <w:r>
        <w:t xml:space="preserve">7. Discusión</w:t>
      </w:r>
    </w:p>
    <w:bookmarkStart w:id="101" w:name="Xd2bfaf14c1e57bc7fc44159cc760bdc22586e66"/>
    <w:p>
      <w:pPr>
        <w:pStyle w:val="Heading2"/>
      </w:pPr>
      <w:r>
        <w:t xml:space="preserve">7.1 Qué cambia respecto del diagnóstico del FMI</w:t>
      </w:r>
    </w:p>
    <w:p>
      <w:pPr>
        <w:pStyle w:val="FirstParagraph"/>
      </w:pPr>
      <w:r>
        <w:t xml:space="preserve">El FMI (2026) concluye que la deuda argentina es sostenible pero no con alta probabilidad, y estima en 1% la probabilidad de que no se estabilice en el mediano plazo. Esta tesis mide la misma deuda desde el mismo punto de partida, con el mismo escenario, horizonte y métrica, y obtiene 32,8% en 2031. Como todo lo demás coincide, la distancia tiene que venir de la distribución de los</w:t>
      </w:r>
      <w:r>
        <w:t xml:space="preserve"> </w:t>
      </w:r>
      <w:r>
        <w:rPr>
          <w:i/>
          <w:iCs/>
        </w:rPr>
        <w:t xml:space="preserve">shocks</w:t>
      </w:r>
      <w:r>
        <w:t xml:space="preserve"> </w:t>
      </w:r>
      <w:r>
        <w:t xml:space="preserve">aplicados al escenario.</w:t>
      </w:r>
    </w:p>
    <w:p>
      <w:pPr>
        <w:pStyle w:val="BodyText"/>
      </w:pPr>
      <w:r>
        <w:t xml:space="preserve">El procedimiento del FMI aplicado a la historia argentina de 2000-2025 tampoco reproduce el 1%: da 16,6%. El FMI no publica la historia de</w:t>
      </w:r>
      <w:r>
        <w:t xml:space="preserve"> </w:t>
      </w:r>
      <w:r>
        <w:rPr>
          <w:i/>
          <w:iCs/>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La retroalimentación, de todos modos, explica poco de la distancia entre el SVARX y el procedimiento del FMI: sin ella, la probabilidad del SVARX apenas cambia (Apéndice, sección A.8).</w:t>
      </w:r>
    </w:p>
    <w:p>
      <w:pPr>
        <w:pStyle w:val="BodyText"/>
      </w:pPr>
      <w:r>
        <w:rPr>
          <w:b/>
          <w:bCs/>
        </w:rPr>
        <w:t xml:space="preserve">Federal y consolidada.</w:t>
      </w:r>
      <w:r>
        <w:t xml:space="preserve"> </w:t>
      </w:r>
      <w:r>
        <w:t xml:space="preserve">Consolidar con el BCRA baja el punto de partida a 52,1% del PIB. Su proporción en moneda extranjera es mayor, pero la deuda en moneda extranjera medida en puntos del PIB es menor, y con menos deuda expuesta a la tasa en dólares y a la depreciación real la probabilidad de no estabilización baja a 26,8% en 2031. La dinámica estimada con la serie consolidada se parece a la federal: la reacción fiscal es algo mayor, con intervalos que se superponen (Tabla 6.1), y las tres hipótesis llevan a las mismas conclusiones. La consolidación aporta, sobre todo, una medición distinta del</w:t>
      </w:r>
      <w:r>
        <w:t xml:space="preserve"> </w:t>
      </w:r>
      <w:r>
        <w:rPr>
          <w:i/>
          <w:iCs/>
        </w:rPr>
        <w:t xml:space="preserve">stock</w:t>
      </w:r>
      <w:r>
        <w:t xml:space="preserve"> </w:t>
      </w:r>
      <w:r>
        <w:t xml:space="preserve">expuesto a los</w:t>
      </w:r>
      <w:r>
        <w:t xml:space="preserve"> </w:t>
      </w:r>
      <w:r>
        <w:rPr>
          <w:i/>
          <w:iCs/>
        </w:rPr>
        <w:t xml:space="preserve">shocks</w:t>
      </w:r>
      <w:r>
        <w:t xml:space="preserve">.</w:t>
      </w:r>
    </w:p>
    <w:bookmarkEnd w:id="101"/>
    <w:bookmarkStart w:id="108" w:name="X296fb36fe1945ef431d31692b730d7f1c364e24"/>
    <w:p>
      <w:pPr>
        <w:pStyle w:val="Heading2"/>
      </w:pPr>
      <w:r>
        <w:t xml:space="preserve">7.2 Por qué el abanico es más angosto y, aun así, la probabilidad es mayor</w:t>
      </w:r>
    </w:p>
    <w:p>
      <w:pPr>
        <w:pStyle w:val="FirstParagraph"/>
      </w:pPr>
      <w:r>
        <w:t xml:space="preserve">El abanico del SVARX mide 48,3 puntos del PIB en 2031, contra 71,5 del FMI y 151,1 del procedimiento del FMI aplicado a la historia argentina, que comparte con el SVARX deuda, identidad y métrica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2000-2025. Fuente: elaboración propia." title="" id="103" name="Picture"/>
            <a:graphic>
              <a:graphicData uri="http://schemas.openxmlformats.org/drawingml/2006/picture">
                <pic:pic>
                  <pic:nvPicPr>
                    <pic:cNvPr descr="../tesis/figuras/fig7_1_abanico_svarx_vs_fmi.png" id="104" name="Picture"/>
                    <pic:cNvPicPr>
                      <a:picLocks noChangeArrowheads="1" noChangeAspect="1"/>
                    </pic:cNvPicPr>
                  </pic:nvPicPr>
                  <pic:blipFill>
                    <a:blip r:embed="rId10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
          <w:iCs/>
        </w:rPr>
        <w:t xml:space="preserve">shocks</w:t>
      </w:r>
      <w:r>
        <w:t xml:space="preserve"> </w:t>
      </w:r>
      <w:r>
        <w:t xml:space="preserve">del SVARX y con</w:t>
      </w:r>
      <w:r>
        <w:t xml:space="preserve"> </w:t>
      </w:r>
      <w:r>
        <w:rPr>
          <w:i/>
          <w:iCs/>
        </w:rPr>
        <w:t xml:space="preserve">shocks</w:t>
      </w:r>
      <w:r>
        <w:t xml:space="preserve"> </w:t>
      </w:r>
      <w:r>
        <w:t xml:space="preserve">a la manera del FMI. Deuda federal bruta simulada, percentiles 5 y 95 y mediana (% del PIB); los</w:t>
      </w:r>
      <w:r>
        <w:t xml:space="preserve"> </w:t>
      </w:r>
      <w:r>
        <w:rPr>
          <w:i/>
          <w:iCs/>
        </w:rPr>
        <w:t xml:space="preserve">shocks</w:t>
      </w:r>
      <w:r>
        <w:t xml:space="preserve"> </w:t>
      </w:r>
      <w:r>
        <w:t xml:space="preserve">a la manera del FMI son bloques de dos años de desvíos históricos de los impulsores anuales, 2000-2025. Fuente: elaboración propia.</w:t>
      </w:r>
    </w:p>
    <w:p>
      <w:pPr>
        <w:pStyle w:val="BodyText"/>
      </w:pPr>
      <w:r>
        <w:t xml:space="preserve">El procedimiento del FMI mide los</w:t>
      </w:r>
      <w:r>
        <w:t xml:space="preserve"> </w:t>
      </w:r>
      <w:r>
        <w:rPr>
          <w:i/>
          <w:iCs/>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(2023) señalan en su método: que la historia usada no sea representativa del futuro. La Tabla 7.1 repite la variante quitando 2002 o fijando cada impulsor en su media.</w:t>
      </w:r>
    </w:p>
    <w:p>
      <w:pPr>
        <w:pStyle w:val="CaptionedFigure"/>
      </w:pPr>
      <w:r>
        <w:drawing>
          <wp:inline>
            <wp:extent cx="5334000" cy="3501390"/>
            <wp:effectExtent b="0" l="0" r="0" t="0"/>
            <wp:docPr descr="Figura 7.2. Impulsores anuales de la deuda, 2000-2025. Crecimiento real, tasa real efectiva, depreciación real y resultado primario que usa la variante a la manera del FMI; la línea punteada es la media del período y en rojo se marca 2002. Fuente: elaboración propia." title="" id="106" name="Picture"/>
            <a:graphic>
              <a:graphicData uri="http://schemas.openxmlformats.org/drawingml/2006/picture">
                <pic:pic>
                  <pic:nvPicPr>
                    <pic:cNvPr descr="../tesis/figuras/fig7_2_impulsores_historicos.png" id="107" name="Picture"/>
                    <pic:cNvPicPr>
                      <a:picLocks noChangeArrowheads="1" noChangeAspect="1"/>
                    </pic:cNvPicPr>
                  </pic:nvPicPr>
                  <pic:blipFill>
                    <a:blip r:embed="rId105"/>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2000-2025. Crecimiento real, tasa real efectiva, depreciación real y resultado primario que usa la variante a la manera del FMI; la línea punteada es la media del período y en rojo se marca 2002. Fuente: elaboración propia.</w:t>
      </w:r>
    </w:p>
    <w:p>
      <w:pPr>
        <w:pStyle w:val="BodyText"/>
      </w:pPr>
      <w:r>
        <w:rPr>
          <w:b/>
          <w:bCs/>
        </w:rPr>
        <w:t xml:space="preserve">Tabla 7.1. Diagnóstico de la variante con</w:t>
      </w:r>
      <w:r>
        <w:rPr>
          <w:b/>
          <w:bCs/>
        </w:rPr>
        <w:t xml:space="preserve"> </w:t>
      </w:r>
      <w:r>
        <w:rPr>
          <w:b/>
          <w:bCs/>
          <w:i/>
          <w:iCs/>
        </w:rPr>
        <w:t xml:space="preserve">shocks</w:t>
      </w:r>
      <w:r>
        <w:rPr>
          <w:b/>
          <w:bCs/>
        </w:rPr>
        <w:t xml:space="preserve"> </w:t>
      </w:r>
      <w:r>
        <w:rPr>
          <w:b/>
          <w:bCs/>
        </w:rPr>
        <w:t xml:space="preserve">a la manera del FMI (deuda federal bruta)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2031</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2031</w:t>
            </w:r>
          </w:p>
        </w:tc>
      </w:tr>
      <w:tr>
        <w:tc>
          <w:tcPr/>
          <w:p>
            <w:pPr>
              <w:pStyle w:val="Compact"/>
            </w:pPr>
            <w:r>
              <w:rPr>
                <w:rFonts w:ascii="Calibri" w:hAnsi="Calibri"/>
                <w:sz w:val="20"/>
              </w:rPr>
              <w:t xml:space="preserve">Todos los años, 2000-2025</w:t>
            </w:r>
          </w:p>
        </w:tc>
        <w:tc>
          <w:tcPr/>
          <w:p>
            <w:pPr>
              <w:pStyle w:val="Compact"/>
            </w:pPr>
            <w:r>
              <w:rPr>
                <w:rFonts w:ascii="Calibri" w:hAnsi="Calibri"/>
                <w:sz w:val="20"/>
              </w:rPr>
              <w:t xml:space="preserve">16,6%</w:t>
            </w:r>
          </w:p>
        </w:tc>
        <w:tc>
          <w:tcPr/>
          <w:p>
            <w:pPr>
              <w:pStyle w:val="Compact"/>
            </w:pPr>
            <w:r>
              <w:rPr>
                <w:rFonts w:ascii="Calibri" w:hAnsi="Calibri"/>
                <w:sz w:val="20"/>
              </w:rPr>
              <w:t xml:space="preserve">15,1%</w:t>
            </w:r>
          </w:p>
        </w:tc>
        <w:tc>
          <w:tcPr/>
          <w:p>
            <w:pPr>
              <w:pStyle w:val="Compact"/>
            </w:pPr>
            <w:r>
              <w:rPr>
                <w:rFonts w:ascii="Calibri" w:hAnsi="Calibri"/>
                <w:sz w:val="20"/>
              </w:rPr>
              <w:t xml:space="preserve">151,1</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23,6%</w:t>
            </w:r>
          </w:p>
        </w:tc>
        <w:tc>
          <w:tcPr/>
          <w:p>
            <w:pPr>
              <w:pStyle w:val="Compact"/>
            </w:pPr>
            <w:r>
              <w:rPr>
                <w:rFonts w:ascii="Calibri" w:hAnsi="Calibri"/>
                <w:sz w:val="20"/>
              </w:rPr>
              <w:t xml:space="preserve">21,4%</w:t>
            </w:r>
          </w:p>
        </w:tc>
        <w:tc>
          <w:tcPr/>
          <w:p>
            <w:pPr>
              <w:pStyle w:val="Compact"/>
            </w:pPr>
            <w:r>
              <w:rPr>
                <w:rFonts w:ascii="Calibri" w:hAnsi="Calibri"/>
                <w:sz w:val="20"/>
              </w:rPr>
              <w:t xml:space="preserve">104,3</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17,6%</w:t>
            </w:r>
          </w:p>
        </w:tc>
        <w:tc>
          <w:tcPr/>
          <w:p>
            <w:pPr>
              <w:pStyle w:val="Compact"/>
            </w:pPr>
            <w:r>
              <w:rPr>
                <w:rFonts w:ascii="Calibri" w:hAnsi="Calibri"/>
                <w:sz w:val="20"/>
              </w:rPr>
              <w:t xml:space="preserve">18,6%</w:t>
            </w:r>
          </w:p>
        </w:tc>
        <w:tc>
          <w:tcPr/>
          <w:p>
            <w:pPr>
              <w:pStyle w:val="Compact"/>
            </w:pPr>
            <w:r>
              <w:rPr>
                <w:rFonts w:ascii="Calibri" w:hAnsi="Calibri"/>
                <w:sz w:val="20"/>
              </w:rPr>
              <w:t xml:space="preserve">102,0</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20,4%</w:t>
            </w:r>
          </w:p>
        </w:tc>
        <w:tc>
          <w:tcPr/>
          <w:p>
            <w:pPr>
              <w:pStyle w:val="Compact"/>
            </w:pPr>
            <w:r>
              <w:rPr>
                <w:rFonts w:ascii="Calibri" w:hAnsi="Calibri"/>
                <w:sz w:val="20"/>
              </w:rPr>
              <w:t xml:space="preserve">18,4%</w:t>
            </w:r>
          </w:p>
        </w:tc>
        <w:tc>
          <w:tcPr/>
          <w:p>
            <w:pPr>
              <w:pStyle w:val="Compact"/>
            </w:pPr>
            <w:r>
              <w:rPr>
                <w:rFonts w:ascii="Calibri" w:hAnsi="Calibri"/>
                <w:sz w:val="20"/>
              </w:rPr>
              <w:t xml:space="preserve">97,8</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29,1%</w:t>
            </w:r>
          </w:p>
        </w:tc>
        <w:tc>
          <w:tcPr/>
          <w:p>
            <w:pPr>
              <w:pStyle w:val="Compact"/>
            </w:pPr>
            <w:r>
              <w:rPr>
                <w:rFonts w:ascii="Calibri" w:hAnsi="Calibri"/>
                <w:sz w:val="20"/>
              </w:rPr>
              <w:t xml:space="preserve">23,7%</w:t>
            </w:r>
          </w:p>
        </w:tc>
        <w:tc>
          <w:tcPr/>
          <w:p>
            <w:pPr>
              <w:pStyle w:val="Compact"/>
            </w:pPr>
            <w:r>
              <w:rPr>
                <w:rFonts w:ascii="Calibri" w:hAnsi="Calibri"/>
                <w:sz w:val="20"/>
              </w:rPr>
              <w:t xml:space="preserve">128,3</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16,7%</w:t>
            </w:r>
          </w:p>
        </w:tc>
        <w:tc>
          <w:tcPr/>
          <w:p>
            <w:pPr>
              <w:pStyle w:val="Compact"/>
            </w:pPr>
            <w:r>
              <w:rPr>
                <w:rFonts w:ascii="Calibri" w:hAnsi="Calibri"/>
                <w:sz w:val="20"/>
              </w:rPr>
              <w:t xml:space="preserve">15,0%</w:t>
            </w:r>
          </w:p>
        </w:tc>
        <w:tc>
          <w:tcPr/>
          <w:p>
            <w:pPr>
              <w:pStyle w:val="Compact"/>
            </w:pPr>
            <w:r>
              <w:rPr>
                <w:rFonts w:ascii="Calibri" w:hAnsi="Calibri"/>
                <w:sz w:val="20"/>
              </w:rPr>
              <w:t xml:space="preserve">153,4</w:t>
            </w:r>
          </w:p>
        </w:tc>
      </w:tr>
    </w:tbl>
    <w:p>
      <w:pPr>
        <w:pStyle w:val="BodyText"/>
      </w:pPr>
      <w:r>
        <w:t xml:space="preserve">Fuente: elaboración propia. 20.000 trayectorias por variante, con los mismos números aleatorios que la Tabla 6.6.</w:t>
      </w:r>
    </w:p>
    <w:p>
      <w:pPr>
        <w:pStyle w:val="BodyText"/>
      </w:pPr>
      <w:r>
        <w:t xml:space="preserve">Quitar 2002 achica el abanico en un tercio, y fijar en su media la depreciación real o la tasa real lo achica más todavía; la probabilidad, en cambio, sube. El ancho lo determinan unos pocos años extremos. Los</w:t>
      </w:r>
      <w:r>
        <w:t xml:space="preserve"> </w:t>
      </w:r>
      <w:r>
        <w:rPr>
          <w:i/>
          <w:iCs/>
        </w:rPr>
        <w:t xml:space="preserve">shocks</w:t>
      </w:r>
      <w:r>
        <w:t xml:space="preserve"> </w:t>
      </w:r>
      <w:r>
        <w:t xml:space="preserve">de este procedimiento son desvíos respecto de la media histórica. Sin 2002, la depreciación real media pasa de 4,0% a -1,6% y la proporción de años con depreciación por encima de la media sube de 31% a 44%: el abanico pierde su cola extrema pero gana desvíos desfavorables moderados, que activan la métrica más seguido. Fijar un impulsor en su media tiene otro efecto: elimina también sus desvíos favorables, que en la historia compensaban a los demás. El crecimiento, por ejemplo, tiene una correlación de -0,51 con la depreciación real y de 0,44 con el resultado primario.</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del FMI,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aunque la deuda siga bajando.</w:t>
      </w:r>
    </w:p>
    <w:bookmarkEnd w:id="108"/>
    <w:bookmarkStart w:id="109" w:name="el-papel-del-superávit-primario"/>
    <w:p>
      <w:pPr>
        <w:pStyle w:val="Heading2"/>
      </w:pPr>
      <w:r>
        <w:t xml:space="preserve">7.3 El papel del superávit primario</w:t>
      </w:r>
    </w:p>
    <w:p>
      <w:pPr>
        <w:pStyle w:val="FirstParagraph"/>
      </w:pPr>
      <w:r>
        <w:t xml:space="preserve">El resultado primario respondió a la deuda en 2000-2025, como pide la condición de Bohn (1998), pero el bloque fiscal explica menos de una décima parte de la varianza de la deuda en 2035, y los bloques externo y cambiario y de riesgo, cerca de cuatro quintos. La conclusión no depende de la identificación: aun cuando el</w:t>
      </w:r>
      <w:r>
        <w:t xml:space="preserve"> </w:t>
      </w:r>
      <w:r>
        <w:rPr>
          <w:i/>
          <w:iCs/>
        </w:rPr>
        <w:t xml:space="preserve">shock</w:t>
      </w:r>
      <w:r>
        <w:t xml:space="preserve"> </w:t>
      </w:r>
      <w:r>
        <w:t xml:space="preserve">fiscal absorbe toda la covarianza con el crecimiento, la diferencia a favor de los</w:t>
      </w:r>
      <w:r>
        <w:t xml:space="preserve"> </w:t>
      </w:r>
      <w:r>
        <w:rPr>
          <w:i/>
          <w:iCs/>
        </w:rPr>
        <w:t xml:space="preserve">shocks</w:t>
      </w:r>
      <w:r>
        <w:t xml:space="preserve"> </w:t>
      </w:r>
      <w:r>
        <w:t xml:space="preserve">no fiscales excluye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superávit igual al del mejor año desde 1999, sostenido toda la década, deja sin estabilizar la deuda de 2031 en una de cada cuatro trayectorias, y llevar la probabilidad a la cifra del FMI exigiría un superávit cercano al 10% del PIB, sin precedentes en la historia argentina. El superávit es necesario, y el escenario del FMI se apoya en él, pero no controla las fuentes de riesgo que dominan la varianza.</w:t>
      </w:r>
    </w:p>
    <w:bookmarkEnd w:id="109"/>
    <w:bookmarkStart w:id="110" w:name="el-shock-de-la-fed"/>
    <w:p>
      <w:pPr>
        <w:pStyle w:val="Heading2"/>
      </w:pPr>
      <w:r>
        <w:t xml:space="preserve">7.4 El</w:t>
      </w:r>
      <w:r>
        <w:t xml:space="preserve"> </w:t>
      </w:r>
      <w:r>
        <w:rPr>
          <w:i/>
          <w:iCs/>
        </w:rPr>
        <w:t xml:space="preserve">shock</w:t>
      </w:r>
      <w:r>
        <w:t xml:space="preserve"> </w:t>
      </w:r>
      <w:r>
        <w:t xml:space="preserve">de la FED</w:t>
      </w:r>
    </w:p>
    <w:p>
      <w:pPr>
        <w:pStyle w:val="FirstParagraph"/>
      </w:pPr>
      <w:r>
        <w:t xml:space="preserve">H2 queda respaldada en su efecto y no en su mecanismo. Repetir la senda de la tasa de la FED de 2022-2025 eleva la probabilidad de no estabilización en 2035, y el efecto resiste la corrección por contrastes múltiples y casi todas las especificaciones. El efecto sobre la deuda esperada es menos firme: no resiste Bonferroni y se sostiene en menos de dos tercios de las especificaciones.</w:t>
      </w:r>
    </w:p>
    <w:p>
      <w:pPr>
        <w:pStyle w:val="BodyText"/>
      </w:pPr>
      <w:r>
        <w:t xml:space="preserve">Tres cuartos del aumento de la deuda vienen del mayor costo de la deuda en dólares, que el modelo incorpora por construcción a través de la identidad. Los canales que nombra la hipótesis no se distinguen del azar, y las pocas respuestas significativas, del tipo de cambio real, tienen el signo contrario al esperado. Uribe y Yue (2006) y Canova (2005) documentan esos canales con paneles y muestras más largas; una sola serie argentina de 102 trimestres no alcanza para medirlos. El bloque externo es, aun así, el de mayor participación en la varianza de la deuda: la tasa de la FED y el VIX importan para la incertidumbre aunque sus canales no se puedan separar.</w:t>
      </w:r>
    </w:p>
    <w:bookmarkEnd w:id="110"/>
    <w:bookmarkStart w:id="111" w:name="diálogo-con-la-literatura"/>
    <w:p>
      <w:pPr>
        <w:pStyle w:val="Heading2"/>
      </w:pPr>
      <w:r>
        <w:t xml:space="preserve">7.5 Diálogo con la literatura</w:t>
      </w:r>
    </w:p>
    <w:p>
      <w:pPr>
        <w:pStyle w:val="Compact"/>
        <w:numPr>
          <w:ilvl w:val="0"/>
          <w:numId w:val="1005"/>
        </w:numPr>
      </w:pPr>
      <w:r>
        <w:rPr>
          <w:b/>
          <w:bCs/>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
          <w:iCs/>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pStyle w:val="Compact"/>
        <w:numPr>
          <w:ilvl w:val="0"/>
          <w:numId w:val="1005"/>
        </w:numPr>
      </w:pPr>
      <w:r>
        <w:rPr>
          <w:b/>
          <w:bCs/>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pStyle w:val="Compact"/>
        <w:numPr>
          <w:ilvl w:val="0"/>
          <w:numId w:val="1005"/>
        </w:numPr>
      </w:pPr>
      <w:r>
        <w:rPr>
          <w:b/>
          <w:bCs/>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11"/>
    <w:bookmarkStart w:id="112" w:name="limitaciones"/>
    <w:p>
      <w:pPr>
        <w:pStyle w:val="Heading2"/>
      </w:pPr>
      <w:r>
        <w:t xml:space="preserve">7.6 Limitaciones</w:t>
      </w:r>
    </w:p>
    <w:p>
      <w:pPr>
        <w:pStyle w:val="Compact"/>
        <w:numPr>
          <w:ilvl w:val="0"/>
          <w:numId w:val="1006"/>
        </w:numPr>
      </w:pPr>
      <w:r>
        <w:rPr>
          <w:b/>
          <w:bCs/>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pStyle w:val="Compact"/>
        <w:numPr>
          <w:ilvl w:val="0"/>
          <w:numId w:val="1006"/>
        </w:numPr>
      </w:pPr>
      <w:r>
        <w:rPr>
          <w:b/>
          <w:bCs/>
        </w:rPr>
        <w:t xml:space="preserve">Retroalimentación anual.</w:t>
      </w:r>
      <w:r>
        <w:t xml:space="preserve"> </w:t>
      </w:r>
      <w:r>
        <w:t xml:space="preserve">La deuda vuelve al sistema al cierre de cada año; dentro del año, las ecuaciones usan la del cierre anterior.</w:t>
      </w:r>
    </w:p>
    <w:p>
      <w:pPr>
        <w:pStyle w:val="Compact"/>
        <w:numPr>
          <w:ilvl w:val="0"/>
          <w:numId w:val="1006"/>
        </w:numPr>
      </w:pPr>
      <w:r>
        <w:rPr>
          <w:b/>
          <w:bCs/>
        </w:rPr>
        <w:t xml:space="preserve">Composición por monedas fija.</w:t>
      </w:r>
      <w:r>
        <w:t xml:space="preserve"> </w:t>
      </w:r>
      <w:r>
        <w:t xml:space="preserve">Si la depreciación real eleva la proporción en moneda extranjera, el riesgo cambiario está subestimado, como en el FMI.</w:t>
      </w:r>
    </w:p>
    <w:p>
      <w:pPr>
        <w:pStyle w:val="Compact"/>
        <w:numPr>
          <w:ilvl w:val="0"/>
          <w:numId w:val="1006"/>
        </w:numPr>
      </w:pPr>
      <w:r>
        <w:rPr>
          <w:b/>
          <w:bCs/>
        </w:rPr>
        <w:t xml:space="preserve">Variables externas.</w:t>
      </w:r>
      <w:r>
        <w:t xml:space="preserve"> </w:t>
      </w:r>
      <w:r>
        <w:t xml:space="preserve">Los procesos AR(1) del VIX y de la FED no se reestiman en cada réplica del</w:t>
      </w:r>
      <w:r>
        <w:t xml:space="preserve"> </w:t>
      </w:r>
      <w:r>
        <w:rPr>
          <w:i/>
          <w:iCs/>
        </w:rPr>
        <w:t xml:space="preserve">bootstrap</w:t>
      </w:r>
      <w:r>
        <w:t xml:space="preserve">, y el VIX no responde a la FED.</w:t>
      </w:r>
    </w:p>
    <w:p>
      <w:pPr>
        <w:pStyle w:val="Compact"/>
        <w:numPr>
          <w:ilvl w:val="0"/>
          <w:numId w:val="1006"/>
        </w:numPr>
      </w:pPr>
      <w:r>
        <w:rPr>
          <w:b/>
          <w:bCs/>
        </w:rPr>
        <w:t xml:space="preserve">Quiebres.</w:t>
      </w:r>
      <w:r>
        <w:t xml:space="preserve"> </w:t>
      </w:r>
      <w:r>
        <w:t xml:space="preserve">Sus fechas se estiman sobre la serie de deuda y se toman como conocidas; solo mueven el nivel de las ecuaciones, y el régimen posterior a 2024 casi no está en la muestra.</w:t>
      </w:r>
    </w:p>
    <w:p>
      <w:pPr>
        <w:pStyle w:val="Compact"/>
        <w:numPr>
          <w:ilvl w:val="0"/>
          <w:numId w:val="1006"/>
        </w:numPr>
      </w:pPr>
      <w:r>
        <w:rPr>
          <w:b/>
          <w:bCs/>
        </w:rPr>
        <w:t xml:space="preserve">Muestra y normalidad.</w:t>
      </w:r>
      <w:r>
        <w:t xml:space="preserve"> </w:t>
      </w:r>
      <w:r>
        <w:t xml:space="preserve">Con 102 trimestres, los efectos de la FED y de la retroalimentación tienen intervalos amplios. Los residuos rechazan la normalidad; el remuestreo evita suponerla, pero la inferencia descansa en el</w:t>
      </w:r>
      <w:r>
        <w:t xml:space="preserve"> </w:t>
      </w:r>
      <w:r>
        <w:rPr>
          <w:i/>
          <w:iCs/>
        </w:rPr>
        <w:t xml:space="preserve">bootstrap</w:t>
      </w:r>
      <w:r>
        <w:t xml:space="preserve">.</w:t>
      </w:r>
    </w:p>
    <w:p>
      <w:pPr>
        <w:pStyle w:val="Compact"/>
        <w:numPr>
          <w:ilvl w:val="0"/>
          <w:numId w:val="1006"/>
        </w:numPr>
      </w:pPr>
      <w:r>
        <w:rPr>
          <w:b/>
          <w:bCs/>
        </w:rPr>
        <w:t xml:space="preserve">Extensión consolidada.</w:t>
      </w:r>
      <w:r>
        <w:t xml:space="preserve"> </w:t>
      </w:r>
      <w:r>
        <w:t xml:space="preserve">Usa el escenario del FMI construido para la deuda federal, con el ajuste stock-flujo y la inflación relativa escalados, y su serie histórica no descuenta los títulos en poder del FGS.</w:t>
      </w:r>
    </w:p>
    <w:p>
      <w:pPr>
        <w:pStyle w:val="Compact"/>
        <w:numPr>
          <w:ilvl w:val="0"/>
          <w:numId w:val="1006"/>
        </w:numPr>
      </w:pPr>
      <w:r>
        <w:rPr>
          <w:b/>
          <w:bCs/>
          <w:i/>
          <w:iCs/>
        </w:rPr>
        <w:t xml:space="preserve">Shock</w:t>
      </w:r>
      <w:r>
        <w:rPr>
          <w:b/>
          <w:bCs/>
        </w:rPr>
        <w:t xml:space="preserve"> </w:t>
      </w:r>
      <w:r>
        <w:rPr>
          <w:b/>
          <w:bCs/>
        </w:rPr>
        <w:t xml:space="preserve">de la FED.</w:t>
      </w:r>
      <w:r>
        <w:t xml:space="preserve"> </w:t>
      </w:r>
      <w:r>
        <w:t xml:space="preserve">Es la variación observada de la tasa y no un</w:t>
      </w:r>
      <w:r>
        <w:t xml:space="preserve"> </w:t>
      </w:r>
      <w:r>
        <w:rPr>
          <w:i/>
          <w:iCs/>
        </w:rPr>
        <w:t xml:space="preserve">shock</w:t>
      </w:r>
      <w:r>
        <w:t xml:space="preserve"> </w:t>
      </w:r>
      <w:r>
        <w:t xml:space="preserve">monetario identificado con datos de alta frecuencia.</w:t>
      </w:r>
    </w:p>
    <w:bookmarkEnd w:id="112"/>
    <w:bookmarkEnd w:id="113"/>
    <w:bookmarkStart w:id="114"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desde 1999 (muestra de estimación 2000-2025) sobre la deuda federal bruta, que es el perímetro del análisis de sostenibilidad del FMI, y se lo usó para simular la deuda alrededor del escenario base más reciente del FMI (2026), desde su mismo punto de partida y con su misma métrica. Como extensión, el ejercicio se repitió con la deuda consolidada con el BCRA.</w:t>
      </w:r>
    </w:p>
    <w:p>
      <w:pPr>
        <w:pStyle w:val="BodyText"/>
      </w:pPr>
      <w:r>
        <w:rPr>
          <w:b/>
          <w:bCs/>
        </w:rPr>
        <w:t xml:space="preserve">H1a.</w:t>
      </w:r>
      <w:r>
        <w:t xml:space="preserve"> </w:t>
      </w:r>
      <w:r>
        <w:t xml:space="preserve">Los</w:t>
      </w:r>
      <w:r>
        <w:t xml:space="preserve"> </w:t>
      </w:r>
      <w:r>
        <w:rPr>
          <w:i/>
          <w:iCs/>
        </w:rPr>
        <w:t xml:space="preserve">shocks</w:t>
      </w:r>
      <w:r>
        <w:t xml:space="preserve"> </w:t>
      </w:r>
      <w:r>
        <w:t xml:space="preserve">no fiscales explican la mayor parte de la incertidumbre sobre la deuda de 2035: su contribución a la varianza supera a la del</w:t>
      </w:r>
      <w:r>
        <w:t xml:space="preserve"> </w:t>
      </w:r>
      <w:r>
        <w:rPr>
          <w:i/>
          <w:iCs/>
        </w:rPr>
        <w:t xml:space="preserve">shock</w:t>
      </w:r>
      <w:r>
        <w:t xml:space="preserve"> </w:t>
      </w:r>
      <w:r>
        <w:t xml:space="preserve">fiscal en 82,6 puntos, con un intervalo de 90% de 65,8 a 92,4. El bloque externo (FED y VIX) aporta 46,6% de la varianza y el cambiario y de riesgo, 32,3%, frente a 8,7% del fiscal. El criterio fijado para H1a se cumple en las 19 especificaciones; el menor límite inferior, 31,4 puntos, corresponde a la identificación de Cholesky con el resultado primario primero. La política fiscal respondió a la deuda en el período (un coeficiente de impacto de 0,0495 de la deuda rezagada sobre el resultado primario trimestral, con un intervalo de 0,0099 a 0,0799). Como complemento descriptivo, sin criterio de contraste: con el resultado primario en su máximo anual de 1999-2025 (3,58% del PIB) en todos los años, la probabilidad de no estabilización en 2031 sería de 25,5%, y llevarla al 1% que informa el FMI requeriría sumar 7,75 puntos al resultado primario del escenario en todos los años.</w:t>
      </w:r>
    </w:p>
    <w:p>
      <w:pPr>
        <w:pStyle w:val="BodyText"/>
      </w:pPr>
      <w:r>
        <w:rPr>
          <w:b/>
          <w:bCs/>
        </w:rPr>
        <w:t xml:space="preserve">H1b.</w:t>
      </w:r>
      <w:r>
        <w:t xml:space="preserve"> </w:t>
      </w:r>
      <w:r>
        <w:t xml:space="preserve">La probabilidad de que la deuda federal bruta no se estabilice es de 32,8% en 2031 (intervalo de 90%: 26,8% a 37,9%) y de 31,3% en 2035 (27,0% a 35,3%), frente a alrededor de 1% y menos de 3% en el análisis del FMI, con el mismo perímetro, punto de partida, escenario y métrica. Los límites inferiores superan las cifras del FMI con la corrección de Bonferroni (26,3% y 26,4%) y en las 19 especificaciones; el menor, 20,3%, corresponde a la deuda consolidada. Con el procedimiento de</w:t>
      </w:r>
      <w:r>
        <w:t xml:space="preserve"> </w:t>
      </w:r>
      <w:r>
        <w:rPr>
          <w:i/>
          <w:iCs/>
        </w:rPr>
        <w:t xml:space="preserve">shocks</w:t>
      </w:r>
      <w:r>
        <w:t xml:space="preserve"> </w:t>
      </w:r>
      <w:r>
        <w:t xml:space="preserve">del FMI aplicado a la historia argentina de 2000-2025, la probabilidad de 2031 es de 16,6%, de modo que tampoco así se reproduce el 1%. La diferencia con el FMI proviene de la distribución de</w:t>
      </w:r>
      <w:r>
        <w:t xml:space="preserve"> </w:t>
      </w:r>
      <w:r>
        <w:rPr>
          <w:i/>
          <w:iCs/>
        </w:rPr>
        <w:t xml:space="preserve">shocks</w:t>
      </w:r>
      <w:r>
        <w:t xml:space="preserve"> </w:t>
      </w:r>
      <w:r>
        <w:t xml:space="preserve">que el organismo usa y no publica, y la tesis no la atribuye a una causa que no puede verificar.</w:t>
      </w:r>
    </w:p>
    <w:p>
      <w:pPr>
        <w:pStyle w:val="BodyText"/>
      </w:pPr>
      <w:r>
        <w:rPr>
          <w:b/>
          <w:bCs/>
        </w:rPr>
        <w:t xml:space="preserve">H2.</w:t>
      </w:r>
      <w:r>
        <w:t xml:space="preserve"> </w:t>
      </w:r>
      <w:r>
        <w:t xml:space="preserve">Repetir en 2026-2029 la senda de la tasa de la FED de 2022-2025, que deja su nivel 3,82 puntos por encima del escenario base desde 2030, eleva la probabilidad de no estabilización de 2035 en 11,3 puntos (4,4 a 17,9) y la deuda esperada de 2035 en 12,6 puntos del PIB (1,2 a 21,8). Un nivel de la tasa 0,504 puntos más alto en forma permanente las eleva en 1,5 puntos (0,5 a 2,6) y 1,5 puntos del PIB (0,1 a 2,5). H2 queda respaldada en su efecto sobre la probabilidad, que resiste la corrección de Bonferroni y, con la senda de 2022-2025, excluye el cero en 18 de las 19 especificaciones. El efecto sobre la deuda esperada no resiste esa corrección y excluye el cero en 12 de 19. Los canales que nombra la hipótesis no se distinguen: 3 de 84 intervalos de respuesta excluyen el cero, todos del tipo de cambio real y con signo de apreciación. El 75% del efecto sobre la deuda de 2035 (9,4 de 12,6 puntos) es el costo directo de la deuda en dólares, que la identidad incorpora. H2 se sostiene en el efecto y no en el mecanismo que propone.</w:t>
      </w:r>
    </w:p>
    <w:p>
      <w:pPr>
        <w:pStyle w:val="BodyText"/>
      </w:pPr>
      <w:r>
        <w:rPr>
          <w:b/>
          <w:bCs/>
        </w:rPr>
        <w:t xml:space="preserve">Extensión con la deuda consolidada.</w:t>
      </w:r>
      <w:r>
        <w:t xml:space="preserve"> </w:t>
      </w:r>
      <w:r>
        <w:t xml:space="preserve">Con la deuda consolidada con el BCRA, que parte de 52,1% del PIB, la probabilidad de no estabilización es de 26,8% en 2031 (20,3% a 31,0%) y de 24,1% en 2035 (20,4% a 29,6%). La contribución no fiscal a la varianza supera a la fiscal en 67,1 puntos (36,8 a 86,1). La senda de la FED eleva la probabilidad de 2035 en 10,1 puntos (2,5 a 16,7) y la deuda de 2035 en 6,7 puntos del PIB, con un intervalo (−0,3 a 12,4) que incluye el cero. Las conclusiones sobre H1a y H1b no dependen del perímetro.</w:t>
      </w:r>
    </w:p>
    <w:p>
      <w:pPr>
        <w:pStyle w:val="BodyText"/>
      </w:pPr>
      <w:r>
        <w:rPr>
          <w:b/>
          <w:bCs/>
        </w:rPr>
        <w:t xml:space="preserve">Implicancia.</w:t>
      </w:r>
      <w:r>
        <w:t xml:space="preserve"> </w:t>
      </w:r>
      <w:r>
        <w:t xml:space="preserve">Con la dinámica histórica estimada, el riesgo de que la deuda federal no se estabilice es mucho mayor que el que informa el FMI, y la mayor parte de la incertidumbre proviene de</w:t>
      </w:r>
      <w:r>
        <w:t xml:space="preserve"> </w:t>
      </w:r>
      <w:r>
        <w:rPr>
          <w:i/>
          <w:iCs/>
        </w:rPr>
        <w:t xml:space="preserve">shocks</w:t>
      </w:r>
      <w:r>
        <w:t xml:space="preserve"> </w:t>
      </w:r>
      <w:r>
        <w:t xml:space="preserve">externos, cambiarios y de riesgo, que la política fiscal no controla. Un superávit en el máximo de 1999-2025 sostenido en todos los años reduce la probabilidad, pero la deja lejos de la cifra del FMI. La tesis no simula cambios en la composición por moneda ni en los plazos de la deuda, de modo que no permite evaluar esas alternativas.</w:t>
      </w:r>
    </w:p>
    <w:p>
      <w:pPr>
        <w:pStyle w:val="BodyText"/>
      </w:pPr>
      <w:r>
        <w:rPr>
          <w:b/>
          <w:bCs/>
        </w:rPr>
        <w:t xml:space="preserve">Alcance.</w:t>
      </w:r>
      <w:r>
        <w:t xml:space="preserve"> </w:t>
      </w:r>
      <w:r>
        <w:t xml:space="preserve">Los resultados están condicionados al escenario base del FMI y a que la dinámica de 2000-2025 siga vigente. La proporción de la deuda en pesos queda fija en el escenario, el mismo supuesto que hace el FMI. Las limitaciones se detallan en la sección 7.6.</w:t>
      </w:r>
    </w:p>
    <w:p>
      <w:pPr>
        <w:pStyle w:val="BodyText"/>
      </w:pPr>
      <w:r>
        <w:rPr>
          <w:b/>
          <w:bCs/>
        </w:rPr>
        <w:t xml:space="preserve">Líneas de trabajo futuro.</w:t>
      </w:r>
    </w:p>
    <w:p>
      <w:pPr>
        <w:pStyle w:val="Compact"/>
        <w:numPr>
          <w:ilvl w:val="0"/>
          <w:numId w:val="1007"/>
        </w:numPr>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pStyle w:val="Compact"/>
        <w:numPr>
          <w:ilvl w:val="0"/>
          <w:numId w:val="1007"/>
        </w:numPr>
      </w:pPr>
      <w:r>
        <w:t xml:space="preserve">Reemplazar la variación de la tasa de la FED por</w:t>
      </w:r>
      <w:r>
        <w:t xml:space="preserve"> </w:t>
      </w:r>
      <w:r>
        <w:rPr>
          <w:i/>
          <w:iCs/>
        </w:rPr>
        <w:t xml:space="preserve">shocks</w:t>
      </w:r>
      <w:r>
        <w:t xml:space="preserve"> </w:t>
      </w:r>
      <w:r>
        <w:t xml:space="preserve">monetarios identificados con datos de alta frecuencia, que aíslan la parte no anticipada de la política de Estados Unidos.</w:t>
      </w:r>
    </w:p>
    <w:p>
      <w:pPr>
        <w:pStyle w:val="Compact"/>
        <w:numPr>
          <w:ilvl w:val="0"/>
          <w:numId w:val="1007"/>
        </w:numPr>
      </w:pPr>
      <w:r>
        <w:t xml:space="preserve">Incorporar los términos de intercambio como variable exógena, por su peso en la generación de divisas.</w:t>
      </w:r>
    </w:p>
    <w:p>
      <w:pPr>
        <w:pStyle w:val="Compact"/>
        <w:numPr>
          <w:ilvl w:val="0"/>
          <w:numId w:val="1007"/>
        </w:numPr>
      </w:pPr>
      <w:r>
        <w:t xml:space="preserve">Agregar un módulo de balanza de pagos, que permita contrastar el enfoque de la restricción externa que en esta tesis cumple un papel de contexto.</w:t>
      </w:r>
    </w:p>
    <w:bookmarkEnd w:id="114"/>
    <w:bookmarkStart w:id="123" w:name="apéndice-estadístico"/>
    <w:p>
      <w:pPr>
        <w:pStyle w:val="Heading1"/>
      </w:pPr>
      <w:r>
        <w:t xml:space="preserve">Apéndice estadístico</w:t>
      </w:r>
    </w:p>
    <w:p>
      <w:pPr>
        <w:pStyle w:val="FirstParagraph"/>
      </w:pPr>
      <w:r>
        <w:t xml:space="preserve">Fuente de todas las tablas, salvo indicación: elaboración propia.</w:t>
      </w:r>
    </w:p>
    <w:bookmarkStart w:id="115" w:name="a.1-estadísticos-descriptivos"/>
    <w:p>
      <w:pPr>
        <w:pStyle w:val="Heading2"/>
      </w:pPr>
      <w:r>
        <w:t xml:space="preserve">A.1 Estadísticos descriptivos</w:t>
      </w:r>
    </w:p>
    <w:p>
      <w:pPr>
        <w:pStyle w:val="FirstParagraph"/>
      </w:pPr>
      <w:r>
        <w:t xml:space="preserve">Muestra efectiva de estimación, 2000T3-2025T4 (102 trimestres).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Desvío estándar</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r>
      <w:tr>
        <w:tc>
          <w:tcPr/>
          <w:p>
            <w:pPr>
              <w:pStyle w:val="Compact"/>
            </w:pPr>
            <w:r>
              <w:rPr>
                <w:rFonts w:ascii="Calibri" w:hAnsi="Calibri"/>
                <w:sz w:val="20"/>
              </w:rPr>
              <w:t xml:space="preserve">Resultado primario (% del PIB, trimestral anualizado)</w:t>
            </w:r>
          </w:p>
        </w:tc>
        <w:tc>
          <w:tcPr/>
          <w:p>
            <w:pPr>
              <w:pStyle w:val="Compact"/>
            </w:pPr>
            <w:r>
              <w:rPr>
                <w:rFonts w:ascii="Calibri" w:hAnsi="Calibri"/>
                <w:sz w:val="20"/>
              </w:rPr>
              <w:t xml:space="preserve">-0,14</w:t>
            </w:r>
          </w:p>
        </w:tc>
        <w:tc>
          <w:tcPr/>
          <w:p>
            <w:pPr>
              <w:pStyle w:val="Compact"/>
            </w:pPr>
            <w:r>
              <w:rPr>
                <w:rFonts w:ascii="Calibri" w:hAnsi="Calibri"/>
                <w:sz w:val="20"/>
              </w:rPr>
              <w:t xml:space="preserve">3,33</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r>
      <w:tr>
        <w:tc>
          <w:tcPr/>
          <w:p>
            <w:pPr>
              <w:pStyle w:val="Compact"/>
            </w:pPr>
            <w:r>
              <w:rPr>
                <w:rFonts w:ascii="Calibri" w:hAnsi="Calibri"/>
                <w:sz w:val="20"/>
              </w:rPr>
              <w:t xml:space="preserve">Crecimiento real trimestral (%)</w:t>
            </w:r>
          </w:p>
        </w:tc>
        <w:tc>
          <w:tcPr/>
          <w:p>
            <w:pPr>
              <w:pStyle w:val="Compact"/>
            </w:pPr>
            <w:r>
              <w:rPr>
                <w:rFonts w:ascii="Calibri" w:hAnsi="Calibri"/>
                <w:sz w:val="20"/>
              </w:rPr>
              <w:t xml:space="preserve">0,38</w:t>
            </w:r>
          </w:p>
        </w:tc>
        <w:tc>
          <w:tcPr/>
          <w:p>
            <w:pPr>
              <w:pStyle w:val="Compact"/>
            </w:pPr>
            <w:r>
              <w:rPr>
                <w:rFonts w:ascii="Calibri" w:hAnsi="Calibri"/>
                <w:sz w:val="20"/>
              </w:rPr>
              <w:t xml:space="preserve">7,50</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1.636,94</w:t>
            </w:r>
          </w:p>
        </w:tc>
        <w:tc>
          <w:tcPr/>
          <w:p>
            <w:pPr>
              <w:pStyle w:val="Compact"/>
            </w:pPr>
            <w:r>
              <w:rPr>
                <w:rFonts w:ascii="Calibri" w:hAnsi="Calibri"/>
                <w:sz w:val="20"/>
              </w:rPr>
              <w:t xml:space="preserve">1.660,42</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r>
      <w:tr>
        <w:tc>
          <w:tcPr/>
          <w:p>
            <w:pPr>
              <w:pStyle w:val="Compact"/>
            </w:pPr>
            <w:r>
              <w:rPr>
                <w:rFonts w:ascii="Calibri" w:hAnsi="Calibri"/>
                <w:sz w:val="20"/>
              </w:rPr>
              <w:t xml:space="preserve">TCRM (diciembre de 2001 = 1)</w:t>
            </w:r>
          </w:p>
        </w:tc>
        <w:tc>
          <w:tcPr/>
          <w:p>
            <w:pPr>
              <w:pStyle w:val="Compact"/>
            </w:pPr>
            <w:r>
              <w:rPr>
                <w:rFonts w:ascii="Calibri" w:hAnsi="Calibri"/>
                <w:sz w:val="20"/>
              </w:rPr>
              <w:t xml:space="preserve">1,71</w:t>
            </w:r>
          </w:p>
        </w:tc>
        <w:tc>
          <w:tcPr/>
          <w:p>
            <w:pPr>
              <w:pStyle w:val="Compact"/>
            </w:pPr>
            <w:r>
              <w:rPr>
                <w:rFonts w:ascii="Calibri" w:hAnsi="Calibri"/>
                <w:sz w:val="20"/>
              </w:rPr>
              <w:t xml:space="preserve">0,44</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r>
      <w:tr>
        <w:tc>
          <w:tcPr/>
          <w:p>
            <w:pPr>
              <w:pStyle w:val="Compact"/>
            </w:pPr>
            <w:r>
              <w:rPr>
                <w:rFonts w:ascii="Calibri" w:hAnsi="Calibri"/>
                <w:sz w:val="20"/>
              </w:rPr>
              <w:t xml:space="preserve">Deuda federal bruta, rezagada (% del PIB)</w:t>
            </w:r>
          </w:p>
        </w:tc>
        <w:tc>
          <w:tcPr/>
          <w:p>
            <w:pPr>
              <w:pStyle w:val="Compact"/>
            </w:pPr>
            <w:r>
              <w:rPr>
                <w:rFonts w:ascii="Calibri" w:hAnsi="Calibri"/>
                <w:sz w:val="20"/>
              </w:rPr>
              <w:t xml:space="preserve">69,26</w:t>
            </w:r>
          </w:p>
        </w:tc>
        <w:tc>
          <w:tcPr/>
          <w:p>
            <w:pPr>
              <w:pStyle w:val="Compact"/>
            </w:pPr>
            <w:r>
              <w:rPr>
                <w:rFonts w:ascii="Calibri" w:hAnsi="Calibri"/>
                <w:sz w:val="20"/>
              </w:rPr>
              <w:t xml:space="preserve">31,40</w:t>
            </w:r>
          </w:p>
        </w:tc>
        <w:tc>
          <w:tcPr/>
          <w:p>
            <w:pPr>
              <w:pStyle w:val="Compact"/>
            </w:pPr>
            <w:r>
              <w:rPr>
                <w:rFonts w:ascii="Calibri" w:hAnsi="Calibri"/>
                <w:sz w:val="20"/>
              </w:rPr>
              <w:t xml:space="preserve">34,52</w:t>
            </w:r>
          </w:p>
        </w:tc>
        <w:tc>
          <w:tcPr/>
          <w:p>
            <w:pPr>
              <w:pStyle w:val="Compact"/>
            </w:pPr>
            <w:r>
              <w:rPr>
                <w:rFonts w:ascii="Calibri" w:hAnsi="Calibri"/>
                <w:sz w:val="20"/>
              </w:rPr>
              <w:t xml:space="preserve">154,59</w:t>
            </w:r>
          </w:p>
        </w:tc>
      </w:tr>
      <w:tr>
        <w:tc>
          <w:tcPr/>
          <w:p>
            <w:pPr>
              <w:pStyle w:val="Compact"/>
            </w:pPr>
            <w:r>
              <w:rPr>
                <w:rFonts w:ascii="Calibri" w:hAnsi="Calibri"/>
                <w:sz w:val="20"/>
              </w:rPr>
              <w:t xml:space="preserve">Variación de la tasa de la FED (puntos)</w:t>
            </w:r>
          </w:p>
        </w:tc>
        <w:tc>
          <w:tcPr/>
          <w:p>
            <w:pPr>
              <w:pStyle w:val="Compact"/>
            </w:pPr>
            <w:r>
              <w:rPr>
                <w:rFonts w:ascii="Calibri" w:hAnsi="Calibri"/>
                <w:sz w:val="20"/>
              </w:rPr>
              <w:t xml:space="preserve">-0,04</w:t>
            </w:r>
          </w:p>
        </w:tc>
        <w:tc>
          <w:tcPr/>
          <w:p>
            <w:pPr>
              <w:pStyle w:val="Compact"/>
            </w:pPr>
            <w:r>
              <w:rPr>
                <w:rFonts w:ascii="Calibri" w:hAnsi="Calibri"/>
                <w:sz w:val="20"/>
              </w:rPr>
              <w:t xml:space="preserve">0,50</w:t>
            </w:r>
          </w:p>
        </w:tc>
        <w:tc>
          <w:tcPr/>
          <w:p>
            <w:pPr>
              <w:pStyle w:val="Compact"/>
            </w:pPr>
            <w:r>
              <w:rPr>
                <w:rFonts w:ascii="Calibri" w:hAnsi="Calibri"/>
                <w:sz w:val="20"/>
              </w:rPr>
              <w:t xml:space="preserve">-1,43</w:t>
            </w:r>
          </w:p>
        </w:tc>
        <w:tc>
          <w:tcPr/>
          <w:p>
            <w:pPr>
              <w:pStyle w:val="Compact"/>
            </w:pPr>
            <w:r>
              <w:rPr>
                <w:rFonts w:ascii="Calibri" w:hAnsi="Calibri"/>
                <w:sz w:val="20"/>
              </w:rPr>
              <w:t xml:space="preserve">1,46</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19,76</w:t>
            </w:r>
          </w:p>
        </w:tc>
        <w:tc>
          <w:tcPr/>
          <w:p>
            <w:pPr>
              <w:pStyle w:val="Compact"/>
            </w:pPr>
            <w:r>
              <w:rPr>
                <w:rFonts w:ascii="Calibri" w:hAnsi="Calibri"/>
                <w:sz w:val="20"/>
              </w:rPr>
              <w:t xml:space="preserve">7,44</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r>
    </w:tbl>
    <w:bookmarkEnd w:id="115"/>
    <w:bookmarkStart w:id="116" w:name="a.2-propiedades-de-las-series"/>
    <w:p>
      <w:pPr>
        <w:pStyle w:val="Heading2"/>
      </w:pPr>
      <w:r>
        <w:t xml:space="preserve">A.2 Propiedades de las series</w:t>
      </w:r>
    </w:p>
    <w:p>
      <w:pPr>
        <w:pStyle w:val="FirstParagraph"/>
      </w:pPr>
      <w:r>
        <w:rPr>
          <w:b/>
          <w:bCs/>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Datos desde 1999T1.</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ADF (p)</w:t>
            </w:r>
          </w:p>
        </w:tc>
        <w:tc>
          <w:tcPr/>
          <w:p>
            <w:pPr>
              <w:pStyle w:val="Compact"/>
            </w:pPr>
            <w:r>
              <w:rPr>
                <w:rFonts w:ascii="Calibri" w:hAnsi="Calibri"/>
                <w:sz w:val="20"/>
              </w:rPr>
              <w:t xml:space="preserve">KPSS (p)</w:t>
            </w:r>
          </w:p>
        </w:tc>
        <w:tc>
          <w:tcPr/>
          <w:p>
            <w:pPr>
              <w:pStyle w:val="Compact"/>
            </w:pPr>
            <w:r>
              <w:rPr>
                <w:rFonts w:ascii="Calibri" w:hAnsi="Calibri"/>
                <w:sz w:val="20"/>
              </w:rPr>
              <w:t xml:space="preserve">Clasificación</w:t>
            </w:r>
          </w:p>
        </w:tc>
        <w:tc>
          <w:tcPr/>
          <w:p>
            <w:pPr>
              <w:pStyle w:val="Compact"/>
            </w:pPr>
            <w:r>
              <w:rPr>
                <w:rFonts w:ascii="Calibri" w:hAnsi="Calibri"/>
                <w:sz w:val="20"/>
              </w:rPr>
              <w:t xml:space="preserve">Zivot-Andrews (p)</w:t>
            </w:r>
          </w:p>
        </w:tc>
        <w:tc>
          <w:tcPr/>
          <w:p>
            <w:pPr>
              <w:pStyle w:val="Compact"/>
            </w:pPr>
            <w:r>
              <w:rPr>
                <w:rFonts w:ascii="Calibri" w:hAnsi="Calibri"/>
                <w:sz w:val="20"/>
              </w:rPr>
              <w:t xml:space="preserve">Quiebre de Zivot-Andrews</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0,651</w:t>
            </w:r>
          </w:p>
        </w:tc>
        <w:tc>
          <w:tcPr/>
          <w:p>
            <w:pPr>
              <w:pStyle w:val="Compact"/>
            </w:pPr>
            <w:r>
              <w:rPr>
                <w:rFonts w:ascii="Calibri" w:hAnsi="Calibri"/>
                <w:sz w:val="20"/>
              </w:rPr>
              <w:t xml:space="preserve">0,010</w:t>
            </w:r>
          </w:p>
        </w:tc>
        <w:tc>
          <w:tcPr/>
          <w:p>
            <w:pPr>
              <w:pStyle w:val="Compact"/>
            </w:pPr>
            <w:r>
              <w:rPr>
                <w:rFonts w:ascii="Calibri" w:hAnsi="Calibri"/>
                <w:sz w:val="20"/>
              </w:rPr>
              <w:t xml:space="preserve">raíz unitaria</w:t>
            </w:r>
          </w:p>
        </w:tc>
        <w:tc>
          <w:tcPr/>
          <w:p>
            <w:pPr>
              <w:pStyle w:val="Compact"/>
            </w:pPr>
            <w:r>
              <w:rPr>
                <w:rFonts w:ascii="Calibri" w:hAnsi="Calibri"/>
                <w:sz w:val="20"/>
              </w:rPr>
              <w:t xml:space="preserve">0,984</w:t>
            </w:r>
          </w:p>
        </w:tc>
        <w:tc>
          <w:tcPr/>
          <w:p>
            <w:pPr>
              <w:pStyle w:val="Compact"/>
            </w:pPr>
            <w:r>
              <w:rPr>
                <w:rFonts w:ascii="Calibri" w:hAnsi="Calibri"/>
                <w:sz w:val="20"/>
              </w:rPr>
              <w:t xml:space="preserve">2021T4</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0,005</w:t>
            </w:r>
          </w:p>
        </w:tc>
        <w:tc>
          <w:tcPr/>
          <w:p>
            <w:pPr>
              <w:pStyle w:val="Compact"/>
            </w:pPr>
            <w:r>
              <w:rPr>
                <w:rFonts w:ascii="Calibri" w:hAnsi="Calibri"/>
                <w:sz w:val="20"/>
              </w:rPr>
              <w:t xml:space="preserve">0,100</w:t>
            </w:r>
          </w:p>
        </w:tc>
        <w:tc>
          <w:tcPr/>
          <w:p>
            <w:pPr>
              <w:pStyle w:val="Compact"/>
            </w:pPr>
            <w:r>
              <w:rPr>
                <w:rFonts w:ascii="Calibri" w:hAnsi="Calibri"/>
                <w:sz w:val="20"/>
              </w:rPr>
              <w:t xml:space="preserve">estacionaria</w:t>
            </w:r>
          </w:p>
        </w:tc>
        <w:tc>
          <w:tcPr/>
          <w:p>
            <w:pPr>
              <w:pStyle w:val="Compact"/>
            </w:pPr>
            <w:r>
              <w:rPr>
                <w:rFonts w:ascii="Calibri" w:hAnsi="Calibri"/>
                <w:sz w:val="20"/>
              </w:rPr>
              <w:t xml:space="preserve">0,122</w:t>
            </w:r>
          </w:p>
        </w:tc>
        <w:tc>
          <w:tcPr/>
          <w:p>
            <w:pPr>
              <w:pStyle w:val="Compact"/>
            </w:pPr>
            <w:r>
              <w:rPr>
                <w:rFonts w:ascii="Calibri" w:hAnsi="Calibri"/>
                <w:sz w:val="20"/>
              </w:rPr>
              <w:t xml:space="preserve">2020T4</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0,330</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0,163</w:t>
            </w:r>
          </w:p>
        </w:tc>
        <w:tc>
          <w:tcPr/>
          <w:p>
            <w:pPr>
              <w:pStyle w:val="Compact"/>
            </w:pPr>
            <w:r>
              <w:rPr>
                <w:rFonts w:ascii="Calibri" w:hAnsi="Calibri"/>
                <w:sz w:val="20"/>
              </w:rPr>
              <w:t xml:space="preserve">2005T2</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0,272</w:t>
            </w:r>
          </w:p>
        </w:tc>
        <w:tc>
          <w:tcPr/>
          <w:p>
            <w:pPr>
              <w:pStyle w:val="Compact"/>
            </w:pPr>
            <w:r>
              <w:rPr>
                <w:rFonts w:ascii="Calibri" w:hAnsi="Calibri"/>
                <w:sz w:val="20"/>
              </w:rPr>
              <w:t xml:space="preserve">0,054</w:t>
            </w:r>
          </w:p>
        </w:tc>
        <w:tc>
          <w:tcPr/>
          <w:p>
            <w:pPr>
              <w:pStyle w:val="Compact"/>
            </w:pPr>
            <w:r>
              <w:rPr>
                <w:rFonts w:ascii="Calibri" w:hAnsi="Calibri"/>
                <w:sz w:val="20"/>
              </w:rPr>
              <w:t xml:space="preserve">ambigua</w:t>
            </w:r>
          </w:p>
        </w:tc>
        <w:tc>
          <w:tcPr/>
          <w:p>
            <w:pPr>
              <w:pStyle w:val="Compact"/>
            </w:pPr>
            <w:r>
              <w:rPr>
                <w:rFonts w:ascii="Calibri" w:hAnsi="Calibri"/>
                <w:sz w:val="20"/>
              </w:rPr>
              <w:t xml:space="preserve">0,852</w:t>
            </w:r>
          </w:p>
        </w:tc>
        <w:tc>
          <w:tcPr/>
          <w:p>
            <w:pPr>
              <w:pStyle w:val="Compact"/>
            </w:pPr>
            <w:r>
              <w:rPr>
                <w:rFonts w:ascii="Calibri" w:hAnsi="Calibri"/>
                <w:sz w:val="20"/>
              </w:rPr>
              <w:t xml:space="preserve">2009T4</w:t>
            </w:r>
          </w:p>
        </w:tc>
      </w:tr>
      <w:tr>
        <w:tc>
          <w:tcPr/>
          <w:p>
            <w:pPr>
              <w:pStyle w:val="Compact"/>
            </w:pPr>
            <w:r>
              <w:rPr>
                <w:rFonts w:ascii="Calibri" w:hAnsi="Calibri"/>
                <w:sz w:val="20"/>
              </w:rPr>
              <w:t xml:space="preserve">Deuda federal bruta</w:t>
            </w:r>
          </w:p>
        </w:tc>
        <w:tc>
          <w:tcPr/>
          <w:p>
            <w:pPr>
              <w:pStyle w:val="Compact"/>
            </w:pPr>
            <w:r>
              <w:rPr>
                <w:rFonts w:ascii="Calibri" w:hAnsi="Calibri"/>
                <w:sz w:val="20"/>
              </w:rPr>
              <w:t xml:space="preserve">0,091</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0,275</w:t>
            </w:r>
          </w:p>
        </w:tc>
        <w:tc>
          <w:tcPr/>
          <w:p>
            <w:pPr>
              <w:pStyle w:val="Compact"/>
            </w:pPr>
            <w:r>
              <w:rPr>
                <w:rFonts w:ascii="Calibri" w:hAnsi="Calibri"/>
                <w:sz w:val="20"/>
              </w:rPr>
              <w:t xml:space="preserve">2005T1</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0,101</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0,396</w:t>
            </w:r>
          </w:p>
        </w:tc>
        <w:tc>
          <w:tcPr/>
          <w:p>
            <w:pPr>
              <w:pStyle w:val="Compact"/>
            </w:pPr>
            <w:r>
              <w:rPr>
                <w:rFonts w:ascii="Calibri" w:hAnsi="Calibri"/>
                <w:sz w:val="20"/>
              </w:rPr>
              <w:t xml:space="preserve">2005T1</w:t>
            </w:r>
          </w:p>
        </w:tc>
      </w:tr>
      <w:tr>
        <w:tc>
          <w:tcPr/>
          <w:p>
            <w:pPr>
              <w:pStyle w:val="Compact"/>
            </w:pPr>
            <w:r>
              <w:rPr>
                <w:rFonts w:ascii="Calibri" w:hAnsi="Calibri"/>
                <w:sz w:val="20"/>
              </w:rPr>
              <w:t xml:space="preserve">Tasa de la FED (nivel)</w:t>
            </w:r>
          </w:p>
        </w:tc>
        <w:tc>
          <w:tcPr/>
          <w:p>
            <w:pPr>
              <w:pStyle w:val="Compact"/>
            </w:pPr>
            <w:r>
              <w:rPr>
                <w:rFonts w:ascii="Calibri" w:hAnsi="Calibri"/>
                <w:sz w:val="20"/>
              </w:rPr>
              <w:t xml:space="preserve">0,014</w:t>
            </w:r>
          </w:p>
        </w:tc>
        <w:tc>
          <w:tcPr/>
          <w:p>
            <w:pPr>
              <w:pStyle w:val="Compact"/>
            </w:pPr>
            <w:r>
              <w:rPr>
                <w:rFonts w:ascii="Calibri" w:hAnsi="Calibri"/>
                <w:sz w:val="20"/>
              </w:rPr>
              <w:t xml:space="preserve">0,046</w:t>
            </w:r>
          </w:p>
        </w:tc>
        <w:tc>
          <w:tcPr/>
          <w:p>
            <w:pPr>
              <w:pStyle w:val="Compact"/>
            </w:pPr>
            <w:r>
              <w:rPr>
                <w:rFonts w:ascii="Calibri" w:hAnsi="Calibri"/>
                <w:sz w:val="20"/>
              </w:rPr>
              <w:t xml:space="preserve">ambigua</w:t>
            </w:r>
          </w:p>
        </w:tc>
        <w:tc>
          <w:tcPr/>
          <w:p>
            <w:pPr>
              <w:pStyle w:val="Compact"/>
            </w:pPr>
            <w:r>
              <w:rPr>
                <w:rFonts w:ascii="Calibri" w:hAnsi="Calibri"/>
                <w:sz w:val="20"/>
              </w:rPr>
              <w:t xml:space="preserve">0,073</w:t>
            </w:r>
          </w:p>
        </w:tc>
        <w:tc>
          <w:tcPr/>
          <w:p>
            <w:pPr>
              <w:pStyle w:val="Compact"/>
            </w:pPr>
            <w:r>
              <w:rPr>
                <w:rFonts w:ascii="Calibri" w:hAnsi="Calibri"/>
                <w:sz w:val="20"/>
              </w:rPr>
              <w:t xml:space="preserve">2007T3</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0,000</w:t>
            </w:r>
          </w:p>
        </w:tc>
        <w:tc>
          <w:tcPr/>
          <w:p>
            <w:pPr>
              <w:pStyle w:val="Compact"/>
            </w:pPr>
            <w:r>
              <w:rPr>
                <w:rFonts w:ascii="Calibri" w:hAnsi="Calibri"/>
                <w:sz w:val="20"/>
              </w:rPr>
              <w:t xml:space="preserve">0,100</w:t>
            </w:r>
          </w:p>
        </w:tc>
        <w:tc>
          <w:tcPr/>
          <w:p>
            <w:pPr>
              <w:pStyle w:val="Compact"/>
            </w:pPr>
            <w:r>
              <w:rPr>
                <w:rFonts w:ascii="Calibri" w:hAnsi="Calibri"/>
                <w:sz w:val="20"/>
              </w:rPr>
              <w:t xml:space="preserve">estacionaria</w:t>
            </w:r>
          </w:p>
        </w:tc>
        <w:tc>
          <w:tcPr/>
          <w:p>
            <w:pPr>
              <w:pStyle w:val="Compact"/>
            </w:pPr>
            <w:r>
              <w:rPr>
                <w:rFonts w:ascii="Calibri" w:hAnsi="Calibri"/>
                <w:sz w:val="20"/>
              </w:rPr>
              <w:t xml:space="preserve">0,049</w:t>
            </w:r>
          </w:p>
        </w:tc>
        <w:tc>
          <w:tcPr/>
          <w:p>
            <w:pPr>
              <w:pStyle w:val="Compact"/>
            </w:pPr>
            <w:r>
              <w:rPr>
                <w:rFonts w:ascii="Calibri" w:hAnsi="Calibri"/>
                <w:sz w:val="20"/>
              </w:rPr>
              <w:t xml:space="preserve">2011T4</w:t>
            </w:r>
          </w:p>
        </w:tc>
      </w:tr>
    </w:tbl>
    <w:p>
      <w:pPr>
        <w:pStyle w:val="BodyText"/>
      </w:pPr>
      <w:r>
        <w:rPr>
          <w:b/>
          <w:bCs/>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w:t>
      </w:r>
    </w:p>
    <w:p>
      <w:pPr>
        <w:pStyle w:val="BodyText"/>
      </w:pPr>
      <w:r>
        <w:rPr>
          <w:b/>
          <w:bCs/>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 nula</w:t>
            </w:r>
          </w:p>
        </w:tc>
        <w:tc>
          <w:tcPr/>
          <w:p>
            <w:pPr>
              <w:pStyle w:val="Compact"/>
            </w:pPr>
            <w:r>
              <w:rPr>
                <w:rFonts w:ascii="Calibri" w:hAnsi="Calibri"/>
                <w:sz w:val="20"/>
              </w:rPr>
              <w:t xml:space="preserve">Traza</w:t>
            </w:r>
          </w:p>
        </w:tc>
        <w:tc>
          <w:tcPr/>
          <w:p>
            <w:pPr>
              <w:pStyle w:val="Compact"/>
            </w:pPr>
            <w:r>
              <w:rPr>
                <w:rFonts w:ascii="Calibri" w:hAnsi="Calibri"/>
                <w:sz w:val="20"/>
              </w:rPr>
              <w:t xml:space="preserve">Valor crítico 5%</w:t>
            </w:r>
          </w:p>
        </w:tc>
        <w:tc>
          <w:tcPr/>
          <w:p>
            <w:pPr>
              <w:pStyle w:val="Compact"/>
            </w:pPr>
            <w:r>
              <w:rPr>
                <w:rFonts w:ascii="Calibri" w:hAnsi="Calibri"/>
                <w:sz w:val="20"/>
              </w:rPr>
              <w:t xml:space="preserve">Rechaza</w:t>
            </w:r>
          </w:p>
        </w:tc>
      </w:tr>
      <w:tr>
        <w:tc>
          <w:tcPr/>
          <w:p>
            <w:pPr>
              <w:pStyle w:val="Compact"/>
            </w:pPr>
            <w:r>
              <w:rPr>
                <w:rFonts w:ascii="Calibri" w:hAnsi="Calibri"/>
                <w:sz w:val="20"/>
              </w:rPr>
              <w:t xml:space="preserve">rango ≤ 0</w:t>
            </w:r>
          </w:p>
        </w:tc>
        <w:tc>
          <w:tcPr/>
          <w:p>
            <w:pPr>
              <w:pStyle w:val="Compact"/>
            </w:pPr>
            <w:r>
              <w:rPr>
                <w:rFonts w:ascii="Calibri" w:hAnsi="Calibri"/>
                <w:sz w:val="20"/>
              </w:rPr>
              <w:t xml:space="preserve">45,0</w:t>
            </w:r>
          </w:p>
        </w:tc>
        <w:tc>
          <w:tcPr/>
          <w:p>
            <w:pPr>
              <w:pStyle w:val="Compact"/>
            </w:pPr>
            <w:r>
              <w:rPr>
                <w:rFonts w:ascii="Calibri" w:hAnsi="Calibri"/>
                <w:sz w:val="20"/>
              </w:rPr>
              <w:t xml:space="preserve">47,9</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1</w:t>
            </w:r>
          </w:p>
        </w:tc>
        <w:tc>
          <w:tcPr/>
          <w:p>
            <w:pPr>
              <w:pStyle w:val="Compact"/>
            </w:pPr>
            <w:r>
              <w:rPr>
                <w:rFonts w:ascii="Calibri" w:hAnsi="Calibri"/>
                <w:sz w:val="20"/>
              </w:rPr>
              <w:t xml:space="preserve">24,0</w:t>
            </w:r>
          </w:p>
        </w:tc>
        <w:tc>
          <w:tcPr/>
          <w:p>
            <w:pPr>
              <w:pStyle w:val="Compact"/>
            </w:pPr>
            <w:r>
              <w:rPr>
                <w:rFonts w:ascii="Calibri" w:hAnsi="Calibri"/>
                <w:sz w:val="20"/>
              </w:rPr>
              <w:t xml:space="preserve">29,8</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2</w:t>
            </w:r>
          </w:p>
        </w:tc>
        <w:tc>
          <w:tcPr/>
          <w:p>
            <w:pPr>
              <w:pStyle w:val="Compact"/>
            </w:pPr>
            <w:r>
              <w:rPr>
                <w:rFonts w:ascii="Calibri" w:hAnsi="Calibri"/>
                <w:sz w:val="20"/>
              </w:rPr>
              <w:t xml:space="preserve">9,6</w:t>
            </w:r>
          </w:p>
        </w:tc>
        <w:tc>
          <w:tcPr/>
          <w:p>
            <w:pPr>
              <w:pStyle w:val="Compact"/>
            </w:pPr>
            <w:r>
              <w:rPr>
                <w:rFonts w:ascii="Calibri" w:hAnsi="Calibri"/>
                <w:sz w:val="20"/>
              </w:rPr>
              <w:t xml:space="preserve">15,5</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3</w:t>
            </w:r>
          </w:p>
        </w:tc>
        <w:tc>
          <w:tcPr/>
          <w:p>
            <w:pPr>
              <w:pStyle w:val="Compact"/>
            </w:pPr>
            <w:r>
              <w:rPr>
                <w:rFonts w:ascii="Calibri" w:hAnsi="Calibri"/>
                <w:sz w:val="20"/>
              </w:rPr>
              <w:t xml:space="preserve">2,9</w:t>
            </w:r>
          </w:p>
        </w:tc>
        <w:tc>
          <w:tcPr/>
          <w:p>
            <w:pPr>
              <w:pStyle w:val="Compact"/>
            </w:pPr>
            <w:r>
              <w:rPr>
                <w:rFonts w:ascii="Calibri" w:hAnsi="Calibri"/>
                <w:sz w:val="20"/>
              </w:rPr>
              <w:t xml:space="preserve">3,8</w:t>
            </w:r>
          </w:p>
        </w:tc>
        <w:tc>
          <w:tcPr/>
          <w:p>
            <w:pPr>
              <w:pStyle w:val="Compact"/>
            </w:pPr>
            <w:r>
              <w:rPr>
                <w:rFonts w:ascii="Calibri" w:hAnsi="Calibri"/>
                <w:sz w:val="20"/>
              </w:rPr>
              <w:t xml:space="preserve">no</w:t>
            </w:r>
          </w:p>
        </w:tc>
      </w:tr>
    </w:tbl>
    <w:bookmarkEnd w:id="116"/>
    <w:bookmarkStart w:id="117" w:name="a.3-selección-del-orden-del-var"/>
    <w:p>
      <w:pPr>
        <w:pStyle w:val="Heading2"/>
      </w:pPr>
      <w:r>
        <w:t xml:space="preserve">A.3 Selección del orden del VAR</w:t>
      </w:r>
    </w:p>
    <w:p>
      <w:pPr>
        <w:pStyle w:val="FirstParagraph"/>
      </w:pPr>
      <w:r>
        <w:t xml:space="preserve">Muestra efectiva común 2000-2025 (102 trimestres) para todos los órdenes (sección 4.5). El punto de partida es el orden que elige el criterio de Schwarz entre los órdenes estables (Ivanov y Kilian, 2005); si sus residuos rechazan la ausencia de autocorrelación, se toma el menor orden mayor que no la rechaza.</w:t>
      </w:r>
    </w:p>
    <w:p>
      <w:pPr>
        <w:pStyle w:val="BodyText"/>
      </w:pPr>
      <w:r>
        <w:rPr>
          <w:b/>
          <w:bCs/>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12,570</w:t>
            </w:r>
          </w:p>
        </w:tc>
        <w:tc>
          <w:tcPr/>
          <w:p>
            <w:pPr>
              <w:pStyle w:val="Compact"/>
            </w:pPr>
            <w:r>
              <w:rPr>
                <w:rFonts w:ascii="Calibri" w:hAnsi="Calibri"/>
                <w:sz w:val="20"/>
              </w:rPr>
              <w:t xml:space="preserve">14,217</w:t>
            </w:r>
          </w:p>
        </w:tc>
        <w:tc>
          <w:tcPr/>
          <w:p>
            <w:pPr>
              <w:pStyle w:val="Compact"/>
            </w:pPr>
            <w:r>
              <w:rPr>
                <w:rFonts w:ascii="Calibri" w:hAnsi="Calibri"/>
                <w:sz w:val="20"/>
              </w:rPr>
              <w:t xml:space="preserve">13,237</w:t>
            </w:r>
          </w:p>
        </w:tc>
        <w:tc>
          <w:tcPr/>
          <w:p>
            <w:pPr>
              <w:pStyle w:val="Compact"/>
            </w:pPr>
            <w:r>
              <w:rPr>
                <w:rFonts w:ascii="Calibri" w:hAnsi="Calibri"/>
                <w:sz w:val="20"/>
              </w:rPr>
              <w:t xml:space="preserve">0,828</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12,315</w:t>
            </w:r>
          </w:p>
        </w:tc>
        <w:tc>
          <w:tcPr/>
          <w:p>
            <w:pPr>
              <w:pStyle w:val="Compact"/>
            </w:pPr>
            <w:r>
              <w:rPr>
                <w:rFonts w:ascii="Calibri" w:hAnsi="Calibri"/>
                <w:sz w:val="20"/>
              </w:rPr>
              <w:t xml:space="preserve">14,374</w:t>
            </w:r>
          </w:p>
        </w:tc>
        <w:tc>
          <w:tcPr/>
          <w:p>
            <w:pPr>
              <w:pStyle w:val="Compact"/>
            </w:pPr>
            <w:r>
              <w:rPr>
                <w:rFonts w:ascii="Calibri" w:hAnsi="Calibri"/>
                <w:sz w:val="20"/>
              </w:rPr>
              <w:t xml:space="preserve">13,149</w:t>
            </w:r>
          </w:p>
        </w:tc>
        <w:tc>
          <w:tcPr/>
          <w:p>
            <w:pPr>
              <w:pStyle w:val="Compact"/>
            </w:pPr>
            <w:r>
              <w:rPr>
                <w:rFonts w:ascii="Calibri" w:hAnsi="Calibri"/>
                <w:sz w:val="20"/>
              </w:rPr>
              <w:t xml:space="preserve">0,849</w:t>
            </w:r>
          </w:p>
        </w:tc>
        <w:tc>
          <w:tcPr/>
          <w:p>
            <w:pPr>
              <w:pStyle w:val="Compact"/>
            </w:pPr>
            <w:r>
              <w:rPr>
                <w:rFonts w:ascii="Calibri" w:hAnsi="Calibri"/>
                <w:sz w:val="20"/>
              </w:rPr>
              <w:t xml:space="preserve">sí</w:t>
            </w:r>
          </w:p>
        </w:tc>
        <w:tc>
          <w:tcPr/>
          <w:p>
            <w:pPr>
              <w:pStyle w:val="Compact"/>
            </w:pPr>
            <w:r>
              <w:rPr>
                <w:rFonts w:ascii="Calibri" w:hAnsi="Calibri"/>
                <w:sz w:val="20"/>
              </w:rPr>
              <w:t xml:space="preserve">0,296</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12,409</w:t>
            </w:r>
          </w:p>
        </w:tc>
        <w:tc>
          <w:tcPr/>
          <w:p>
            <w:pPr>
              <w:pStyle w:val="Compact"/>
            </w:pPr>
            <w:r>
              <w:rPr>
                <w:rFonts w:ascii="Calibri" w:hAnsi="Calibri"/>
                <w:sz w:val="20"/>
              </w:rPr>
              <w:t xml:space="preserve">14,879</w:t>
            </w:r>
          </w:p>
        </w:tc>
        <w:tc>
          <w:tcPr/>
          <w:p>
            <w:pPr>
              <w:pStyle w:val="Compact"/>
            </w:pPr>
            <w:r>
              <w:rPr>
                <w:rFonts w:ascii="Calibri" w:hAnsi="Calibri"/>
                <w:sz w:val="20"/>
              </w:rPr>
              <w:t xml:space="preserve">13,409</w:t>
            </w:r>
          </w:p>
        </w:tc>
        <w:tc>
          <w:tcPr/>
          <w:p>
            <w:pPr>
              <w:pStyle w:val="Compact"/>
            </w:pPr>
            <w:r>
              <w:rPr>
                <w:rFonts w:ascii="Calibri" w:hAnsi="Calibri"/>
                <w:sz w:val="20"/>
              </w:rPr>
              <w:t xml:space="preserve">0,922</w:t>
            </w:r>
          </w:p>
        </w:tc>
        <w:tc>
          <w:tcPr/>
          <w:p>
            <w:pPr>
              <w:pStyle w:val="Compact"/>
            </w:pPr>
            <w:r>
              <w:rPr>
                <w:rFonts w:ascii="Calibri" w:hAnsi="Calibri"/>
                <w:sz w:val="20"/>
              </w:rPr>
              <w:t xml:space="preserve">sí</w:t>
            </w:r>
          </w:p>
        </w:tc>
        <w:tc>
          <w:tcPr/>
          <w:p>
            <w:pPr>
              <w:pStyle w:val="Compact"/>
            </w:pPr>
            <w:r>
              <w:rPr>
                <w:rFonts w:ascii="Calibri" w:hAnsi="Calibri"/>
                <w:sz w:val="20"/>
              </w:rPr>
              <w:t xml:space="preserve">0,141</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12,348</w:t>
            </w:r>
          </w:p>
        </w:tc>
        <w:tc>
          <w:tcPr/>
          <w:p>
            <w:pPr>
              <w:pStyle w:val="Compact"/>
            </w:pPr>
            <w:r>
              <w:rPr>
                <w:rFonts w:ascii="Calibri" w:hAnsi="Calibri"/>
                <w:sz w:val="20"/>
              </w:rPr>
              <w:t xml:space="preserve">15,231</w:t>
            </w:r>
          </w:p>
        </w:tc>
        <w:tc>
          <w:tcPr/>
          <w:p>
            <w:pPr>
              <w:pStyle w:val="Compact"/>
            </w:pPr>
            <w:r>
              <w:rPr>
                <w:rFonts w:ascii="Calibri" w:hAnsi="Calibri"/>
                <w:sz w:val="20"/>
              </w:rPr>
              <w:t xml:space="preserve">13,516</w:t>
            </w:r>
          </w:p>
        </w:tc>
        <w:tc>
          <w:tcPr/>
          <w:p>
            <w:pPr>
              <w:pStyle w:val="Compact"/>
            </w:pPr>
            <w:r>
              <w:rPr>
                <w:rFonts w:ascii="Calibri" w:hAnsi="Calibri"/>
                <w:sz w:val="20"/>
              </w:rPr>
              <w:t xml:space="preserve">0,972</w:t>
            </w:r>
          </w:p>
        </w:tc>
        <w:tc>
          <w:tcPr/>
          <w:p>
            <w:pPr>
              <w:pStyle w:val="Compact"/>
            </w:pPr>
            <w:r>
              <w:rPr>
                <w:rFonts w:ascii="Calibri" w:hAnsi="Calibri"/>
                <w:sz w:val="20"/>
              </w:rPr>
              <w:t xml:space="preserve">sí</w:t>
            </w:r>
          </w:p>
        </w:tc>
        <w:tc>
          <w:tcPr/>
          <w:p>
            <w:pPr>
              <w:pStyle w:val="Compact"/>
            </w:pPr>
            <w:r>
              <w:rPr>
                <w:rFonts w:ascii="Calibri" w:hAnsi="Calibri"/>
                <w:sz w:val="20"/>
              </w:rPr>
              <w:t xml:space="preserve">0,026</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12,241</w:t>
            </w:r>
          </w:p>
        </w:tc>
        <w:tc>
          <w:tcPr/>
          <w:p>
            <w:pPr>
              <w:pStyle w:val="Compact"/>
            </w:pPr>
            <w:r>
              <w:rPr>
                <w:rFonts w:ascii="Calibri" w:hAnsi="Calibri"/>
                <w:sz w:val="20"/>
              </w:rPr>
              <w:t xml:space="preserve">15,535</w:t>
            </w:r>
          </w:p>
        </w:tc>
        <w:tc>
          <w:tcPr/>
          <w:p>
            <w:pPr>
              <w:pStyle w:val="Compact"/>
            </w:pPr>
            <w:r>
              <w:rPr>
                <w:rFonts w:ascii="Calibri" w:hAnsi="Calibri"/>
                <w:sz w:val="20"/>
              </w:rPr>
              <w:t xml:space="preserve">13,575</w:t>
            </w:r>
          </w:p>
        </w:tc>
        <w:tc>
          <w:tcPr/>
          <w:p>
            <w:pPr>
              <w:pStyle w:val="Compact"/>
            </w:pPr>
            <w:r>
              <w:rPr>
                <w:rFonts w:ascii="Calibri" w:hAnsi="Calibri"/>
                <w:sz w:val="20"/>
              </w:rPr>
              <w:t xml:space="preserve">0,998</w:t>
            </w:r>
          </w:p>
        </w:tc>
        <w:tc>
          <w:tcPr/>
          <w:p>
            <w:pPr>
              <w:pStyle w:val="Compact"/>
            </w:pPr>
            <w:r>
              <w:rPr>
                <w:rFonts w:ascii="Calibri" w:hAnsi="Calibri"/>
                <w:sz w:val="20"/>
              </w:rPr>
              <w:t xml:space="preserve">sí</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12,261</w:t>
            </w:r>
          </w:p>
        </w:tc>
        <w:tc>
          <w:tcPr/>
          <w:p>
            <w:pPr>
              <w:pStyle w:val="Compact"/>
            </w:pPr>
            <w:r>
              <w:rPr>
                <w:rFonts w:ascii="Calibri" w:hAnsi="Calibri"/>
                <w:sz w:val="20"/>
              </w:rPr>
              <w:t xml:space="preserve">15,967</w:t>
            </w:r>
          </w:p>
        </w:tc>
        <w:tc>
          <w:tcPr/>
          <w:p>
            <w:pPr>
              <w:pStyle w:val="Compact"/>
            </w:pPr>
            <w:r>
              <w:rPr>
                <w:rFonts w:ascii="Calibri" w:hAnsi="Calibri"/>
                <w:sz w:val="20"/>
              </w:rPr>
              <w:t xml:space="preserve">13,762</w:t>
            </w:r>
          </w:p>
        </w:tc>
        <w:tc>
          <w:tcPr/>
          <w:p>
            <w:pPr>
              <w:pStyle w:val="Compact"/>
            </w:pPr>
            <w:r>
              <w:rPr>
                <w:rFonts w:ascii="Calibri" w:hAnsi="Calibri"/>
                <w:sz w:val="20"/>
              </w:rPr>
              <w:t xml:space="preserve">1,011</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t xml:space="preserve">Con la deuda consolidada con el BCRA (extensión), la misma regla elige 2 rezagos (raíz máxima 0,902, Portmanteau p = 0,208).</w:t>
      </w:r>
    </w:p>
    <w:bookmarkEnd w:id="117"/>
    <w:bookmarkStart w:id="118" w:name="a.4-diagnósticos-de-los-residuos"/>
    <w:p>
      <w:pPr>
        <w:pStyle w:val="Heading2"/>
      </w:pPr>
      <w:r>
        <w:t xml:space="preserve">A.4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federal bruta (principal)</w:t>
            </w:r>
          </w:p>
        </w:tc>
        <w:tc>
          <w:tcPr/>
          <w:p>
            <w:pPr>
              <w:pStyle w:val="Compact"/>
            </w:pPr>
            <w:r>
              <w:rPr>
                <w:rFonts w:ascii="Calibri" w:hAnsi="Calibri"/>
                <w:sz w:val="20"/>
              </w:rPr>
              <w:t xml:space="preserve">consolidada con el BCRA (extensión)</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0,296</w:t>
            </w:r>
          </w:p>
        </w:tc>
        <w:tc>
          <w:tcPr/>
          <w:p>
            <w:pPr>
              <w:pStyle w:val="Compact"/>
            </w:pPr>
            <w:r>
              <w:rPr>
                <w:rFonts w:ascii="Calibri" w:hAnsi="Calibri"/>
                <w:sz w:val="20"/>
              </w:rPr>
              <w:t xml:space="preserve">0,208</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0,988</w:t>
            </w:r>
          </w:p>
        </w:tc>
        <w:tc>
          <w:tcPr/>
          <w:p>
            <w:pPr>
              <w:pStyle w:val="Compact"/>
            </w:pPr>
            <w:r>
              <w:rPr>
                <w:rFonts w:ascii="Calibri" w:hAnsi="Calibri"/>
                <w:sz w:val="20"/>
              </w:rPr>
              <w:t xml:space="preserve">0,991</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0,868</w:t>
            </w:r>
          </w:p>
        </w:tc>
        <w:tc>
          <w:tcPr/>
          <w:p>
            <w:pPr>
              <w:pStyle w:val="Compact"/>
            </w:pPr>
            <w:r>
              <w:rPr>
                <w:rFonts w:ascii="Calibri" w:hAnsi="Calibri"/>
                <w:sz w:val="20"/>
              </w:rPr>
              <w:t xml:space="preserve">0,851</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0,998</w:t>
            </w:r>
          </w:p>
        </w:tc>
        <w:tc>
          <w:tcPr/>
          <w:p>
            <w:pPr>
              <w:pStyle w:val="Compact"/>
            </w:pPr>
            <w:r>
              <w:rPr>
                <w:rFonts w:ascii="Calibri" w:hAnsi="Calibri"/>
                <w:sz w:val="20"/>
              </w:rPr>
              <w:t xml:space="preserve">0,999</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0,114</w:t>
            </w:r>
          </w:p>
        </w:tc>
        <w:tc>
          <w:tcPr/>
          <w:p>
            <w:pPr>
              <w:pStyle w:val="Compact"/>
            </w:pPr>
            <w:r>
              <w:rPr>
                <w:rFonts w:ascii="Calibri" w:hAnsi="Calibri"/>
                <w:sz w:val="20"/>
              </w:rPr>
              <w:t xml:space="preserve">0,108</w:t>
            </w:r>
          </w:p>
        </w:tc>
      </w:tr>
    </w:tbl>
    <w:bookmarkEnd w:id="118"/>
    <w:bookmarkStart w:id="119" w:name="a.5-matriz-de-impacto-estructural"/>
    <w:p>
      <w:pPr>
        <w:pStyle w:val="Heading2"/>
      </w:pPr>
      <w:r>
        <w:t xml:space="preserve">A.5 Matriz de impacto estructural</w:t>
      </w:r>
    </w:p>
    <w:p>
      <w:pPr>
        <w:pStyle w:val="FirstParagraph"/>
      </w:pPr>
      <w:r>
        <w:t xml:space="preserve">Efecto en el mismo trimestre de un</w:t>
      </w:r>
      <w:r>
        <w:t xml:space="preserve"> </w:t>
      </w:r>
      <w:r>
        <w:rPr>
          <w:i/>
          <w:iCs/>
        </w:rPr>
        <w:t xml:space="preserve">shock</w:t>
      </w:r>
      <w:r>
        <w:t xml:space="preserve"> </w:t>
      </w:r>
      <w:r>
        <w:t xml:space="preserve">estructural de un desvío estándar (especificación principal). Los ceros son las restricciones de identificación de la sección 4.4. Los dos</w:t>
      </w:r>
      <w:r>
        <w:t xml:space="preserve"> </w:t>
      </w:r>
      <w:r>
        <w:rPr>
          <w:i/>
          <w:iCs/>
        </w:rPr>
        <w:t xml:space="preserve">shocks</w:t>
      </w:r>
      <w:r>
        <w:t xml:space="preserve"> </w:t>
      </w:r>
      <w:r>
        <w:t xml:space="preserve">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fiscal</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actividad</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1,522</w:t>
            </w:r>
          </w:p>
        </w:tc>
        <w:tc>
          <w:tcPr/>
          <w:p>
            <w:pPr>
              <w:pStyle w:val="Compact"/>
            </w:pPr>
            <w:r>
              <w:rPr>
                <w:rFonts w:ascii="Calibri" w:hAnsi="Calibri"/>
                <w:sz w:val="20"/>
              </w:rPr>
              <w:t xml:space="preserve">0,712</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-0,226</w:t>
            </w:r>
          </w:p>
        </w:tc>
        <w:tc>
          <w:tcPr/>
          <w:p>
            <w:pPr>
              <w:pStyle w:val="Compact"/>
            </w:pPr>
            <w:r>
              <w:rPr>
                <w:rFonts w:ascii="Calibri" w:hAnsi="Calibri"/>
                <w:sz w:val="20"/>
              </w:rPr>
              <w:t xml:space="preserve">2,848</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-119,761</w:t>
            </w:r>
          </w:p>
        </w:tc>
        <w:tc>
          <w:tcPr/>
          <w:p>
            <w:pPr>
              <w:pStyle w:val="Compact"/>
            </w:pPr>
            <w:r>
              <w:rPr>
                <w:rFonts w:ascii="Calibri" w:hAnsi="Calibri"/>
                <w:sz w:val="20"/>
              </w:rPr>
              <w:t xml:space="preserve">-50,001</w:t>
            </w:r>
          </w:p>
        </w:tc>
        <w:tc>
          <w:tcPr/>
          <w:p>
            <w:pPr>
              <w:pStyle w:val="Compact"/>
            </w:pPr>
            <w:r>
              <w:rPr>
                <w:rFonts w:ascii="Calibri" w:hAnsi="Calibri"/>
                <w:sz w:val="20"/>
              </w:rPr>
              <w:t xml:space="preserve">476,137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0,024</w:t>
            </w:r>
          </w:p>
        </w:tc>
        <w:tc>
          <w:tcPr/>
          <w:p>
            <w:pPr>
              <w:pStyle w:val="Compact"/>
            </w:pPr>
            <w:r>
              <w:rPr>
                <w:rFonts w:ascii="Calibri" w:hAnsi="Calibri"/>
                <w:sz w:val="20"/>
              </w:rPr>
              <w:t xml:space="preserve">-0,014</w:t>
            </w:r>
          </w:p>
        </w:tc>
        <w:tc>
          <w:tcPr/>
          <w:p>
            <w:pPr>
              <w:pStyle w:val="Compact"/>
            </w:pPr>
            <w:r>
              <w:rPr>
                <w:rFonts w:ascii="Calibri" w:hAnsi="Calibri"/>
                <w:sz w:val="20"/>
              </w:rPr>
              <w:t xml:space="preserve">0,014</w:t>
            </w:r>
          </w:p>
        </w:tc>
        <w:tc>
          <w:tcPr/>
          <w:p>
            <w:pPr>
              <w:pStyle w:val="Compact"/>
            </w:pPr>
            <w:r>
              <w:rPr>
                <w:rFonts w:ascii="Calibri" w:hAnsi="Calibri"/>
                <w:sz w:val="20"/>
              </w:rPr>
              <w:t xml:space="preserve">0,103</w:t>
            </w:r>
          </w:p>
        </w:tc>
      </w:tr>
    </w:tbl>
    <w:bookmarkEnd w:id="119"/>
    <w:bookmarkStart w:id="120" w:name="a.6-ecuación-del-resultado-primario"/>
    <w:p>
      <w:pPr>
        <w:pStyle w:val="Heading2"/>
      </w:pPr>
      <w:r>
        <w:t xml:space="preserve">A.6 Ecuación del resultado primario</w:t>
      </w:r>
    </w:p>
    <w:p>
      <w:pPr>
        <w:pStyle w:val="FirstParagraph"/>
      </w:pPr>
      <w:r>
        <w:t xml:space="preserve">Ecuación del resultado primario del VARX en forma reducida, especificación principal (MCO, 2000T3-2025T4).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
          <w:iCs/>
        </w:rPr>
        <w:t xml:space="preserve">bootstrap</w:t>
      </w:r>
      <w:r>
        <w:t xml:space="preserve">. El coeficiente de la deuda rezagada es el efecto de impacto sobre el resultado primario trimestral. El multiplicador de largo plazo, que descuenta los rezagos propios del resultado primario, es 0,167, con un intervalo de 90% de [0,057; 0,296].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0,5500</w:t>
            </w:r>
          </w:p>
        </w:tc>
        <w:tc>
          <w:tcPr/>
          <w:p>
            <w:pPr>
              <w:pStyle w:val="Compact"/>
            </w:pPr>
            <w:r>
              <w:rPr>
                <w:rFonts w:ascii="Calibri" w:hAnsi="Calibri"/>
                <w:sz w:val="20"/>
              </w:rPr>
              <w:t xml:space="preserve">0,5865</w:t>
            </w:r>
          </w:p>
        </w:tc>
        <w:tc>
          <w:tcPr/>
          <w:p>
            <w:pPr>
              <w:pStyle w:val="Compact"/>
            </w:pPr>
            <w:r>
              <w:rPr>
                <w:rFonts w:ascii="Calibri" w:hAnsi="Calibri"/>
                <w:sz w:val="20"/>
              </w:rPr>
              <w:t xml:space="preserve">0,348</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-0,5875</w:t>
            </w:r>
          </w:p>
        </w:tc>
        <w:tc>
          <w:tcPr/>
          <w:p>
            <w:pPr>
              <w:pStyle w:val="Compact"/>
            </w:pPr>
            <w:r>
              <w:rPr>
                <w:rFonts w:ascii="Calibri" w:hAnsi="Calibri"/>
                <w:sz w:val="20"/>
              </w:rPr>
              <w:t xml:space="preserve">0,6186</w:t>
            </w:r>
          </w:p>
        </w:tc>
        <w:tc>
          <w:tcPr/>
          <w:p>
            <w:pPr>
              <w:pStyle w:val="Compact"/>
            </w:pPr>
            <w:r>
              <w:rPr>
                <w:rFonts w:ascii="Calibri" w:hAnsi="Calibri"/>
                <w:sz w:val="20"/>
              </w:rPr>
              <w:t xml:space="preserve">0,342</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-0,2068</w:t>
            </w:r>
          </w:p>
        </w:tc>
        <w:tc>
          <w:tcPr/>
          <w:p>
            <w:pPr>
              <w:pStyle w:val="Compact"/>
            </w:pPr>
            <w:r>
              <w:rPr>
                <w:rFonts w:ascii="Calibri" w:hAnsi="Calibri"/>
                <w:sz w:val="20"/>
              </w:rPr>
              <w:t xml:space="preserve">0,5503</w:t>
            </w:r>
          </w:p>
        </w:tc>
        <w:tc>
          <w:tcPr/>
          <w:p>
            <w:pPr>
              <w:pStyle w:val="Compact"/>
            </w:pPr>
            <w:r>
              <w:rPr>
                <w:rFonts w:ascii="Calibri" w:hAnsi="Calibri"/>
                <w:sz w:val="20"/>
              </w:rPr>
              <w:t xml:space="preserve">0,707</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-0,0314</w:t>
            </w:r>
          </w:p>
        </w:tc>
        <w:tc>
          <w:tcPr/>
          <w:p>
            <w:pPr>
              <w:pStyle w:val="Compact"/>
            </w:pPr>
            <w:r>
              <w:rPr>
                <w:rFonts w:ascii="Calibri" w:hAnsi="Calibri"/>
                <w:sz w:val="20"/>
              </w:rPr>
              <w:t xml:space="preserve">0,0322</w:t>
            </w:r>
          </w:p>
        </w:tc>
        <w:tc>
          <w:tcPr/>
          <w:p>
            <w:pPr>
              <w:pStyle w:val="Compact"/>
            </w:pPr>
            <w:r>
              <w:rPr>
                <w:rFonts w:ascii="Calibri" w:hAnsi="Calibri"/>
                <w:sz w:val="20"/>
              </w:rPr>
              <w:t xml:space="preserve">0,330</w:t>
            </w:r>
          </w:p>
        </w:tc>
      </w:tr>
      <w:tr>
        <w:tc>
          <w:tcPr/>
          <w:p>
            <w:pPr>
              <w:pStyle w:val="Compact"/>
            </w:pPr>
            <w:r>
              <w:rPr>
                <w:rFonts w:ascii="Calibri" w:hAnsi="Calibri"/>
                <w:sz w:val="20"/>
              </w:rPr>
              <w:t xml:space="preserve">Deuda federal bruta, rezago 1 (reacción fiscal de impacto)</w:t>
            </w:r>
          </w:p>
        </w:tc>
        <w:tc>
          <w:tcPr/>
          <w:p>
            <w:pPr>
              <w:pStyle w:val="Compact"/>
            </w:pPr>
            <w:r>
              <w:rPr>
                <w:rFonts w:ascii="Calibri" w:hAnsi="Calibri"/>
                <w:sz w:val="20"/>
              </w:rPr>
              <w:t xml:space="preserve">0,0495</w:t>
            </w:r>
          </w:p>
        </w:tc>
        <w:tc>
          <w:tcPr/>
          <w:p>
            <w:pPr>
              <w:pStyle w:val="Compact"/>
            </w:pPr>
            <w:r>
              <w:rPr>
                <w:rFonts w:ascii="Calibri" w:hAnsi="Calibri"/>
                <w:sz w:val="20"/>
              </w:rPr>
              <w:t xml:space="preserve">0,0164</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0,2883</w:t>
            </w:r>
          </w:p>
        </w:tc>
        <w:tc>
          <w:tcPr/>
          <w:p>
            <w:pPr>
              <w:pStyle w:val="Compact"/>
            </w:pPr>
            <w:r>
              <w:rPr>
                <w:rFonts w:ascii="Calibri" w:hAnsi="Calibri"/>
                <w:sz w:val="20"/>
              </w:rPr>
              <w:t xml:space="preserve">0,1034</w:t>
            </w:r>
          </w:p>
        </w:tc>
        <w:tc>
          <w:tcPr/>
          <w:p>
            <w:pPr>
              <w:pStyle w:val="Compact"/>
            </w:pPr>
            <w:r>
              <w:rPr>
                <w:rFonts w:ascii="Calibri" w:hAnsi="Calibri"/>
                <w:sz w:val="20"/>
              </w:rPr>
              <w:t xml:space="preserve">0,005</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0,1128</w:t>
            </w:r>
          </w:p>
        </w:tc>
        <w:tc>
          <w:tcPr/>
          <w:p>
            <w:pPr>
              <w:pStyle w:val="Compact"/>
            </w:pPr>
            <w:r>
              <w:rPr>
                <w:rFonts w:ascii="Calibri" w:hAnsi="Calibri"/>
                <w:sz w:val="20"/>
              </w:rPr>
              <w:t xml:space="preserve">0,0656</w:t>
            </w:r>
          </w:p>
        </w:tc>
        <w:tc>
          <w:tcPr/>
          <w:p>
            <w:pPr>
              <w:pStyle w:val="Compact"/>
            </w:pPr>
            <w:r>
              <w:rPr>
                <w:rFonts w:ascii="Calibri" w:hAnsi="Calibri"/>
                <w:sz w:val="20"/>
              </w:rPr>
              <w:t xml:space="preserve">0,085</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-0,0006</w:t>
            </w:r>
          </w:p>
        </w:tc>
        <w:tc>
          <w:tcPr/>
          <w:p>
            <w:pPr>
              <w:pStyle w:val="Compact"/>
            </w:pPr>
            <w:r>
              <w:rPr>
                <w:rFonts w:ascii="Calibri" w:hAnsi="Calibri"/>
                <w:sz w:val="20"/>
              </w:rPr>
              <w:t xml:space="preserve">0,0004</w:t>
            </w:r>
          </w:p>
        </w:tc>
        <w:tc>
          <w:tcPr/>
          <w:p>
            <w:pPr>
              <w:pStyle w:val="Compact"/>
            </w:pPr>
            <w:r>
              <w:rPr>
                <w:rFonts w:ascii="Calibri" w:hAnsi="Calibri"/>
                <w:sz w:val="20"/>
              </w:rPr>
              <w:t xml:space="preserve">0,113</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3,6875</w:t>
            </w:r>
          </w:p>
        </w:tc>
        <w:tc>
          <w:tcPr/>
          <w:p>
            <w:pPr>
              <w:pStyle w:val="Compact"/>
            </w:pPr>
            <w:r>
              <w:rPr>
                <w:rFonts w:ascii="Calibri" w:hAnsi="Calibri"/>
                <w:sz w:val="20"/>
              </w:rPr>
              <w:t xml:space="preserve">1,6074</w:t>
            </w:r>
          </w:p>
        </w:tc>
        <w:tc>
          <w:tcPr/>
          <w:p>
            <w:pPr>
              <w:pStyle w:val="Compact"/>
            </w:pPr>
            <w:r>
              <w:rPr>
                <w:rFonts w:ascii="Calibri" w:hAnsi="Calibri"/>
                <w:sz w:val="20"/>
              </w:rPr>
              <w:t xml:space="preserve">0,022</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0,4159</w:t>
            </w:r>
          </w:p>
        </w:tc>
        <w:tc>
          <w:tcPr/>
          <w:p>
            <w:pPr>
              <w:pStyle w:val="Compact"/>
            </w:pPr>
            <w:r>
              <w:rPr>
                <w:rFonts w:ascii="Calibri" w:hAnsi="Calibri"/>
                <w:sz w:val="20"/>
              </w:rPr>
              <w:t xml:space="preserve">0,1077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0,1235</w:t>
            </w:r>
          </w:p>
        </w:tc>
        <w:tc>
          <w:tcPr/>
          <w:p>
            <w:pPr>
              <w:pStyle w:val="Compact"/>
            </w:pPr>
            <w:r>
              <w:rPr>
                <w:rFonts w:ascii="Calibri" w:hAnsi="Calibri"/>
                <w:sz w:val="20"/>
              </w:rPr>
              <w:t xml:space="preserve">0,0612</w:t>
            </w:r>
          </w:p>
        </w:tc>
        <w:tc>
          <w:tcPr/>
          <w:p>
            <w:pPr>
              <w:pStyle w:val="Compact"/>
            </w:pPr>
            <w:r>
              <w:rPr>
                <w:rFonts w:ascii="Calibri" w:hAnsi="Calibri"/>
                <w:sz w:val="20"/>
              </w:rPr>
              <w:t xml:space="preserve">0,044</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0,0003</w:t>
            </w:r>
          </w:p>
        </w:tc>
        <w:tc>
          <w:tcPr/>
          <w:p>
            <w:pPr>
              <w:pStyle w:val="Compact"/>
            </w:pPr>
            <w:r>
              <w:rPr>
                <w:rFonts w:ascii="Calibri" w:hAnsi="Calibri"/>
                <w:sz w:val="20"/>
              </w:rPr>
              <w:t xml:space="preserve">0,0004</w:t>
            </w:r>
          </w:p>
        </w:tc>
        <w:tc>
          <w:tcPr/>
          <w:p>
            <w:pPr>
              <w:pStyle w:val="Compact"/>
            </w:pPr>
            <w:r>
              <w:rPr>
                <w:rFonts w:ascii="Calibri" w:hAnsi="Calibri"/>
                <w:sz w:val="20"/>
              </w:rPr>
              <w:t xml:space="preserve">0,452</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-2,7448</w:t>
            </w:r>
          </w:p>
        </w:tc>
        <w:tc>
          <w:tcPr/>
          <w:p>
            <w:pPr>
              <w:pStyle w:val="Compact"/>
            </w:pPr>
            <w:r>
              <w:rPr>
                <w:rFonts w:ascii="Calibri" w:hAnsi="Calibri"/>
                <w:sz w:val="20"/>
              </w:rPr>
              <w:t xml:space="preserve">1,5735</w:t>
            </w:r>
          </w:p>
        </w:tc>
        <w:tc>
          <w:tcPr/>
          <w:p>
            <w:pPr>
              <w:pStyle w:val="Compact"/>
            </w:pPr>
            <w:r>
              <w:rPr>
                <w:rFonts w:ascii="Calibri" w:hAnsi="Calibri"/>
                <w:sz w:val="20"/>
              </w:rPr>
              <w:t xml:space="preserve">0,081</w:t>
            </w:r>
          </w:p>
        </w:tc>
      </w:tr>
    </w:tbl>
    <w:bookmarkEnd w:id="120"/>
    <w:bookmarkStart w:id="121" w:name="Xed04215d0de9ac77779145f331c8c308a56c2f4"/>
    <w:p>
      <w:pPr>
        <w:pStyle w:val="Heading2"/>
      </w:pPr>
      <w:r>
        <w:t xml:space="preserve">A.7 Resultados completos de la especificación principal</w:t>
      </w:r>
    </w:p>
    <w:p>
      <w:pPr>
        <w:pStyle w:val="FirstParagraph"/>
      </w:pPr>
      <w:r>
        <w:t xml:space="preserve">Estimación central con los parámetros de MCO y 20.000 trayectorias (error de Monte Carlo de 0,3 puntos en la probabilidad de 2031); intervalos de Hall con 200 réplicas de parámetros y 1.000 trayectorias cada una. Autovalor máximo del VAR: 0,849.</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Medida</w:t>
            </w:r>
          </w:p>
        </w:tc>
        <w:tc>
          <w:tcPr/>
          <w:p>
            <w:pPr>
              <w:pStyle w:val="Compact"/>
            </w:pPr>
            <w:r>
              <w:rPr>
                <w:rFonts w:ascii="Calibri" w:hAnsi="Calibri"/>
                <w:sz w:val="20"/>
              </w:rPr>
              <w:t xml:space="preserve">Estimación central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No estabilización 2031 (%)</w:t>
            </w:r>
          </w:p>
        </w:tc>
        <w:tc>
          <w:tcPr/>
          <w:p>
            <w:pPr>
              <w:pStyle w:val="Compact"/>
            </w:pPr>
            <w:r>
              <w:rPr>
                <w:rFonts w:ascii="Calibri" w:hAnsi="Calibri"/>
                <w:sz w:val="20"/>
              </w:rPr>
              <w:t xml:space="preserve">32,8</w:t>
            </w:r>
          </w:p>
        </w:tc>
        <w:tc>
          <w:tcPr/>
          <w:p>
            <w:pPr>
              <w:pStyle w:val="Compact"/>
            </w:pPr>
            <w:r>
              <w:rPr>
                <w:rFonts w:ascii="Calibri" w:hAnsi="Calibri"/>
                <w:sz w:val="20"/>
              </w:rPr>
              <w:t xml:space="preserve">[26,8; 37,9]</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31,3</w:t>
            </w:r>
          </w:p>
        </w:tc>
        <w:tc>
          <w:tcPr/>
          <w:p>
            <w:pPr>
              <w:pStyle w:val="Compact"/>
            </w:pPr>
            <w:r>
              <w:rPr>
                <w:rFonts w:ascii="Calibri" w:hAnsi="Calibri"/>
                <w:sz w:val="20"/>
              </w:rPr>
              <w:t xml:space="preserve">[27,0; 35,3]</w:t>
            </w:r>
          </w:p>
        </w:tc>
      </w:tr>
      <w:tr>
        <w:tc>
          <w:tcPr/>
          <w:p>
            <w:pPr>
              <w:pStyle w:val="Compact"/>
            </w:pPr>
            <w:r>
              <w:rPr>
                <w:rFonts w:ascii="Calibri" w:hAnsi="Calibri"/>
                <w:sz w:val="20"/>
              </w:rPr>
              <w:t xml:space="preserve">No estabilización 2031 con el resultado primario simulado (%)</w:t>
            </w:r>
          </w:p>
        </w:tc>
        <w:tc>
          <w:tcPr/>
          <w:p>
            <w:pPr>
              <w:pStyle w:val="Compact"/>
            </w:pPr>
            <w:r>
              <w:rPr>
                <w:rFonts w:ascii="Calibri" w:hAnsi="Calibri"/>
                <w:sz w:val="20"/>
              </w:rPr>
              <w:t xml:space="preserve">35,4</w:t>
            </w:r>
          </w:p>
        </w:tc>
        <w:tc>
          <w:tcPr/>
          <w:p>
            <w:pPr>
              <w:pStyle w:val="Compact"/>
            </w:pPr>
            <w:r>
              <w:rPr>
                <w:rFonts w:ascii="Calibri" w:hAnsi="Calibri"/>
                <w:sz w:val="20"/>
              </w:rPr>
              <w:t xml:space="preserve">[30,3; 40,8]</w:t>
            </w:r>
          </w:p>
        </w:tc>
      </w:tr>
      <w:tr>
        <w:tc>
          <w:tcPr/>
          <w:p>
            <w:pPr>
              <w:pStyle w:val="Compact"/>
            </w:pPr>
            <w:r>
              <w:rPr>
                <w:rFonts w:ascii="Calibri" w:hAnsi="Calibri"/>
                <w:sz w:val="20"/>
              </w:rPr>
              <w:t xml:space="preserve">Probabilidad de que la deuda de 2031 supere a la de 2029 (%)</w:t>
            </w:r>
          </w:p>
        </w:tc>
        <w:tc>
          <w:tcPr/>
          <w:p>
            <w:pPr>
              <w:pStyle w:val="Compact"/>
            </w:pPr>
            <w:r>
              <w:rPr>
                <w:rFonts w:ascii="Calibri" w:hAnsi="Calibri"/>
                <w:sz w:val="20"/>
              </w:rPr>
              <w:t xml:space="preserve">27,5</w:t>
            </w:r>
          </w:p>
        </w:tc>
        <w:tc>
          <w:tcPr/>
          <w:p>
            <w:pPr>
              <w:pStyle w:val="Compact"/>
            </w:pPr>
            <w:r>
              <w:rPr>
                <w:rFonts w:ascii="Calibri" w:hAnsi="Calibri"/>
                <w:sz w:val="20"/>
              </w:rPr>
              <w:t xml:space="preserve">[23,9; 33,1]</w:t>
            </w:r>
          </w:p>
        </w:tc>
      </w:tr>
      <w:tr>
        <w:tc>
          <w:tcPr/>
          <w:p>
            <w:pPr>
              <w:pStyle w:val="Compact"/>
            </w:pPr>
            <w:r>
              <w:rPr>
                <w:rFonts w:ascii="Calibri" w:hAnsi="Calibri"/>
                <w:sz w:val="20"/>
              </w:rPr>
              <w:t xml:space="preserve">Deuda mediana 2031 (% del PIB)</w:t>
            </w:r>
          </w:p>
        </w:tc>
        <w:tc>
          <w:tcPr/>
          <w:p>
            <w:pPr>
              <w:pStyle w:val="Compact"/>
            </w:pPr>
            <w:r>
              <w:rPr>
                <w:rFonts w:ascii="Calibri" w:hAnsi="Calibri"/>
                <w:sz w:val="20"/>
              </w:rPr>
              <w:t xml:space="preserve">52,6</w:t>
            </w:r>
          </w:p>
        </w:tc>
        <w:tc>
          <w:tcPr/>
          <w:p>
            <w:pPr>
              <w:pStyle w:val="Compact"/>
            </w:pPr>
            <w:r>
              <w:rPr>
                <w:rFonts w:ascii="Calibri" w:hAnsi="Calibri"/>
                <w:sz w:val="20"/>
              </w:rPr>
              <w:t xml:space="preserve">[51,3; 56,2]</w:t>
            </w:r>
          </w:p>
        </w:tc>
      </w:tr>
      <w:tr>
        <w:tc>
          <w:tcPr/>
          <w:p>
            <w:pPr>
              <w:pStyle w:val="Compact"/>
            </w:pPr>
            <w:r>
              <w:rPr>
                <w:rFonts w:ascii="Calibri" w:hAnsi="Calibri"/>
                <w:sz w:val="20"/>
              </w:rPr>
              <w:t xml:space="preserve">Deuda media 2035 (% del PIB)</w:t>
            </w:r>
          </w:p>
        </w:tc>
        <w:tc>
          <w:tcPr/>
          <w:p>
            <w:pPr>
              <w:pStyle w:val="Compact"/>
            </w:pPr>
            <w:r>
              <w:rPr>
                <w:rFonts w:ascii="Calibri" w:hAnsi="Calibri"/>
                <w:sz w:val="20"/>
              </w:rPr>
              <w:t xml:space="preserve">44,6</w:t>
            </w:r>
          </w:p>
        </w:tc>
        <w:tc>
          <w:tcPr/>
          <w:p>
            <w:pPr>
              <w:pStyle w:val="Compact"/>
            </w:pPr>
            <w:r>
              <w:rPr>
                <w:rFonts w:ascii="Calibri" w:hAnsi="Calibri"/>
                <w:sz w:val="20"/>
              </w:rPr>
              <w:t xml:space="preserve">[40,1; 52,4]</w:t>
            </w:r>
          </w:p>
        </w:tc>
      </w:tr>
      <w:tr>
        <w:tc>
          <w:tcPr/>
          <w:p>
            <w:pPr>
              <w:pStyle w:val="Compact"/>
            </w:pPr>
            <w:r>
              <w:rPr>
                <w:rFonts w:ascii="Calibri" w:hAnsi="Calibri"/>
                <w:sz w:val="20"/>
              </w:rPr>
              <w:t xml:space="preserve">Ancho del abanico 2031 (p5-p95)</w:t>
            </w:r>
          </w:p>
        </w:tc>
        <w:tc>
          <w:tcPr/>
          <w:p>
            <w:pPr>
              <w:pStyle w:val="Compact"/>
            </w:pPr>
            <w:r>
              <w:rPr>
                <w:rFonts w:ascii="Calibri" w:hAnsi="Calibri"/>
                <w:sz w:val="20"/>
              </w:rPr>
              <w:t xml:space="preserve">48,3</w:t>
            </w:r>
          </w:p>
        </w:tc>
        <w:tc>
          <w:tcPr/>
          <w:p>
            <w:pPr>
              <w:pStyle w:val="Compact"/>
            </w:pPr>
            <w:r>
              <w:rPr>
                <w:rFonts w:ascii="Calibri" w:hAnsi="Calibri"/>
                <w:sz w:val="20"/>
              </w:rPr>
              <w:t xml:space="preserve">[39,9; 63,1]</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8,7</w:t>
            </w:r>
          </w:p>
        </w:tc>
        <w:tc>
          <w:tcPr/>
          <w:p>
            <w:pPr>
              <w:pStyle w:val="Compact"/>
            </w:pPr>
            <w:r>
              <w:rPr>
                <w:rFonts w:ascii="Calibri" w:hAnsi="Calibri"/>
                <w:sz w:val="20"/>
              </w:rPr>
              <w:t xml:space="preserve">[3,8; 17,1]</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12,4</w:t>
            </w:r>
          </w:p>
        </w:tc>
        <w:tc>
          <w:tcPr/>
          <w:p>
            <w:pPr>
              <w:pStyle w:val="Compact"/>
            </w:pPr>
            <w:r>
              <w:rPr>
                <w:rFonts w:ascii="Calibri" w:hAnsi="Calibri"/>
                <w:sz w:val="20"/>
              </w:rPr>
              <w:t xml:space="preserve">[3,6; 21,8]</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32,3</w:t>
            </w:r>
          </w:p>
        </w:tc>
        <w:tc>
          <w:tcPr/>
          <w:p>
            <w:pPr>
              <w:pStyle w:val="Compact"/>
            </w:pPr>
            <w:r>
              <w:rPr>
                <w:rFonts w:ascii="Calibri" w:hAnsi="Calibri"/>
                <w:sz w:val="20"/>
              </w:rPr>
              <w:t xml:space="preserve">[20,0; 48,0]</w:t>
            </w:r>
          </w:p>
        </w:tc>
      </w:tr>
      <w:tr>
        <w:tc>
          <w:tcPr/>
          <w:p>
            <w:pPr>
              <w:pStyle w:val="Compact"/>
            </w:pPr>
            <w:r>
              <w:rPr>
                <w:rFonts w:ascii="Calibri" w:hAnsi="Calibri"/>
                <w:sz w:val="20"/>
              </w:rPr>
              <w:t xml:space="preserve">Varianza 2035: externo, FED y VIX (%)</w:t>
            </w:r>
          </w:p>
        </w:tc>
        <w:tc>
          <w:tcPr/>
          <w:p>
            <w:pPr>
              <w:pStyle w:val="Compact"/>
            </w:pPr>
            <w:r>
              <w:rPr>
                <w:rFonts w:ascii="Calibri" w:hAnsi="Calibri"/>
                <w:sz w:val="20"/>
              </w:rPr>
              <w:t xml:space="preserve">46,6</w:t>
            </w:r>
          </w:p>
        </w:tc>
        <w:tc>
          <w:tcPr/>
          <w:p>
            <w:pPr>
              <w:pStyle w:val="Compact"/>
            </w:pPr>
            <w:r>
              <w:rPr>
                <w:rFonts w:ascii="Calibri" w:hAnsi="Calibri"/>
                <w:sz w:val="20"/>
              </w:rPr>
              <w:t xml:space="preserve">[18,3; 58,6]</w:t>
            </w:r>
          </w:p>
        </w:tc>
      </w:tr>
      <w:tr>
        <w:tc>
          <w:tcPr/>
          <w:p>
            <w:pPr>
              <w:pStyle w:val="Compact"/>
            </w:pPr>
            <w:r>
              <w:rPr>
                <w:rFonts w:ascii="Calibri" w:hAnsi="Calibri"/>
                <w:sz w:val="20"/>
              </w:rPr>
              <w:t xml:space="preserve">No fiscal menos fiscal (puntos)</w:t>
            </w:r>
          </w:p>
        </w:tc>
        <w:tc>
          <w:tcPr/>
          <w:p>
            <w:pPr>
              <w:pStyle w:val="Compact"/>
            </w:pPr>
            <w:r>
              <w:rPr>
                <w:rFonts w:ascii="Calibri" w:hAnsi="Calibri"/>
                <w:sz w:val="20"/>
              </w:rPr>
              <w:t xml:space="preserve">82,6</w:t>
            </w:r>
          </w:p>
        </w:tc>
        <w:tc>
          <w:tcPr/>
          <w:p>
            <w:pPr>
              <w:pStyle w:val="Compact"/>
            </w:pPr>
            <w:r>
              <w:rPr>
                <w:rFonts w:ascii="Calibri" w:hAnsi="Calibri"/>
                <w:sz w:val="20"/>
              </w:rPr>
              <w:t xml:space="preserve">[65,8; 92,4]</w:t>
            </w:r>
          </w:p>
        </w:tc>
      </w:tr>
      <w:tr>
        <w:tc>
          <w:tcPr/>
          <w:p>
            <w:pPr>
              <w:pStyle w:val="Compact"/>
            </w:pPr>
            <w:r>
              <w:rPr>
                <w:rFonts w:ascii="Calibri" w:hAnsi="Calibri"/>
                <w:sz w:val="20"/>
              </w:rPr>
              <w:t xml:space="preserve">FED, nivel 0,50 pp más alto: diferencia en la probabilidad 2035 (pp)</w:t>
            </w:r>
          </w:p>
        </w:tc>
        <w:tc>
          <w:tcPr/>
          <w:p>
            <w:pPr>
              <w:pStyle w:val="Compact"/>
            </w:pPr>
            <w:r>
              <w:rPr>
                <w:rFonts w:ascii="Calibri" w:hAnsi="Calibri"/>
                <w:sz w:val="20"/>
              </w:rPr>
              <w:t xml:space="preserve">1,5</w:t>
            </w:r>
          </w:p>
        </w:tc>
        <w:tc>
          <w:tcPr/>
          <w:p>
            <w:pPr>
              <w:pStyle w:val="Compact"/>
            </w:pPr>
            <w:r>
              <w:rPr>
                <w:rFonts w:ascii="Calibri" w:hAnsi="Calibri"/>
                <w:sz w:val="20"/>
              </w:rPr>
              <w:t xml:space="preserve">[0,5; 2,6]</w:t>
            </w:r>
          </w:p>
        </w:tc>
      </w:tr>
      <w:tr>
        <w:tc>
          <w:tcPr/>
          <w:p>
            <w:pPr>
              <w:pStyle w:val="Compact"/>
            </w:pPr>
            <w:r>
              <w:rPr>
                <w:rFonts w:ascii="Calibri" w:hAnsi="Calibri"/>
                <w:sz w:val="20"/>
              </w:rPr>
              <w:t xml:space="preserve">FED, nivel 0,50 pp más alto: diferencia en la deuda media 2035 (pp del PIB)</w:t>
            </w:r>
          </w:p>
        </w:tc>
        <w:tc>
          <w:tcPr/>
          <w:p>
            <w:pPr>
              <w:pStyle w:val="Compact"/>
            </w:pPr>
            <w:r>
              <w:rPr>
                <w:rFonts w:ascii="Calibri" w:hAnsi="Calibri"/>
                <w:sz w:val="20"/>
              </w:rPr>
              <w:t xml:space="preserve">1,5</w:t>
            </w:r>
          </w:p>
        </w:tc>
        <w:tc>
          <w:tcPr/>
          <w:p>
            <w:pPr>
              <w:pStyle w:val="Compact"/>
            </w:pPr>
            <w:r>
              <w:rPr>
                <w:rFonts w:ascii="Calibri" w:hAnsi="Calibri"/>
                <w:sz w:val="20"/>
              </w:rPr>
              <w:t xml:space="preserve">[0,1; 2,5]</w:t>
            </w:r>
          </w:p>
        </w:tc>
      </w:tr>
      <w:tr>
        <w:tc>
          <w:tcPr/>
          <w:p>
            <w:pPr>
              <w:pStyle w:val="Compact"/>
            </w:pPr>
            <w:r>
              <w:rPr>
                <w:rFonts w:ascii="Calibri" w:hAnsi="Calibri"/>
                <w:sz w:val="20"/>
              </w:rPr>
              <w:t xml:space="preserve">FED, senda 2022-2025: diferencia en la probabilidad 2031 (pp)</w:t>
            </w:r>
          </w:p>
        </w:tc>
        <w:tc>
          <w:tcPr/>
          <w:p>
            <w:pPr>
              <w:pStyle w:val="Compact"/>
            </w:pPr>
            <w:r>
              <w:rPr>
                <w:rFonts w:ascii="Calibri" w:hAnsi="Calibri"/>
                <w:sz w:val="20"/>
              </w:rPr>
              <w:t xml:space="preserve">5,1</w:t>
            </w:r>
          </w:p>
        </w:tc>
        <w:tc>
          <w:tcPr/>
          <w:p>
            <w:pPr>
              <w:pStyle w:val="Compact"/>
            </w:pPr>
            <w:r>
              <w:rPr>
                <w:rFonts w:ascii="Calibri" w:hAnsi="Calibri"/>
                <w:sz w:val="20"/>
              </w:rPr>
              <w:t xml:space="preserve">[-0,2; 9,1]</w:t>
            </w:r>
          </w:p>
        </w:tc>
      </w:tr>
      <w:tr>
        <w:tc>
          <w:tcPr/>
          <w:p>
            <w:pPr>
              <w:pStyle w:val="Compact"/>
            </w:pPr>
            <w:r>
              <w:rPr>
                <w:rFonts w:ascii="Calibri" w:hAnsi="Calibri"/>
                <w:sz w:val="20"/>
              </w:rPr>
              <w:t xml:space="preserve">FED, senda 2022-2025: diferencia en la probabilidad 2035 (pp)</w:t>
            </w:r>
          </w:p>
        </w:tc>
        <w:tc>
          <w:tcPr/>
          <w:p>
            <w:pPr>
              <w:pStyle w:val="Compact"/>
            </w:pPr>
            <w:r>
              <w:rPr>
                <w:rFonts w:ascii="Calibri" w:hAnsi="Calibri"/>
                <w:sz w:val="20"/>
              </w:rPr>
              <w:t xml:space="preserve">11,3</w:t>
            </w:r>
          </w:p>
        </w:tc>
        <w:tc>
          <w:tcPr/>
          <w:p>
            <w:pPr>
              <w:pStyle w:val="Compact"/>
            </w:pPr>
            <w:r>
              <w:rPr>
                <w:rFonts w:ascii="Calibri" w:hAnsi="Calibri"/>
                <w:sz w:val="20"/>
              </w:rPr>
              <w:t xml:space="preserve">[4,4; 17,9]</w:t>
            </w:r>
          </w:p>
        </w:tc>
      </w:tr>
      <w:tr>
        <w:tc>
          <w:tcPr/>
          <w:p>
            <w:pPr>
              <w:pStyle w:val="Compact"/>
            </w:pPr>
            <w:r>
              <w:rPr>
                <w:rFonts w:ascii="Calibri" w:hAnsi="Calibri"/>
                <w:sz w:val="20"/>
              </w:rPr>
              <w:t xml:space="preserve">FED, senda 2022-2025: diferencia en la deuda media 2035 (pp del PIB)</w:t>
            </w:r>
          </w:p>
        </w:tc>
        <w:tc>
          <w:tcPr/>
          <w:p>
            <w:pPr>
              <w:pStyle w:val="Compact"/>
            </w:pPr>
            <w:r>
              <w:rPr>
                <w:rFonts w:ascii="Calibri" w:hAnsi="Calibri"/>
                <w:sz w:val="20"/>
              </w:rPr>
              <w:t xml:space="preserve">12,6</w:t>
            </w:r>
          </w:p>
        </w:tc>
        <w:tc>
          <w:tcPr/>
          <w:p>
            <w:pPr>
              <w:pStyle w:val="Compact"/>
            </w:pPr>
            <w:r>
              <w:rPr>
                <w:rFonts w:ascii="Calibri" w:hAnsi="Calibri"/>
                <w:sz w:val="20"/>
              </w:rPr>
              <w:t xml:space="preserve">[1,2; 21,8]</w:t>
            </w:r>
          </w:p>
        </w:tc>
      </w:tr>
    </w:tbl>
    <w:bookmarkEnd w:id="121"/>
    <w:bookmarkStart w:id="122" w:name="a.8-robustez-completa"/>
    <w:p>
      <w:pPr>
        <w:pStyle w:val="Heading2"/>
      </w:pPr>
      <w:r>
        <w:t xml:space="preserve">A.8 Robustez completa</w:t>
      </w:r>
    </w:p>
    <w:p>
      <w:pPr>
        <w:pStyle w:val="FirstParagraph"/>
      </w:pPr>
      <w:r>
        <w:t xml:space="preserve">Entre corchetes, intervalos de 90% de Hall.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2031 (%)</w:t>
            </w:r>
          </w:p>
        </w:tc>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Ancho 2031</w:t>
            </w:r>
          </w:p>
        </w:tc>
        <w:tc>
          <w:tcPr/>
          <w:p>
            <w:pPr>
              <w:pStyle w:val="Compact"/>
            </w:pPr>
            <w:r>
              <w:rPr>
                <w:rFonts w:ascii="Calibri" w:hAnsi="Calibri"/>
                <w:sz w:val="20"/>
              </w:rPr>
              <w:t xml:space="preserve">No fiscal menos fiscal (puntos)</w:t>
            </w:r>
          </w:p>
        </w:tc>
        <w:tc>
          <w:tcPr/>
          <w:p>
            <w:pPr>
              <w:pStyle w:val="Compact"/>
            </w:pPr>
            <w:r>
              <w:rPr>
                <w:rFonts w:ascii="Calibri" w:hAnsi="Calibri"/>
                <w:sz w:val="20"/>
              </w:rPr>
              <w:t xml:space="preserve">Senda de la FED: probabilidad 2035 (pp)</w:t>
            </w:r>
          </w:p>
        </w:tc>
        <w:tc>
          <w:tcPr/>
          <w:p>
            <w:pPr>
              <w:pStyle w:val="Compact"/>
            </w:pPr>
            <w:r>
              <w:rPr>
                <w:rFonts w:ascii="Calibri" w:hAnsi="Calibri"/>
                <w:sz w:val="20"/>
              </w:rPr>
              <w:t xml:space="preserve">Senda de la FED: deuda 2035 (pp)</w:t>
            </w:r>
          </w:p>
        </w:tc>
      </w:tr>
      <w:tr>
        <w:tc>
          <w:tcPr/>
          <w:p>
            <w:pPr>
              <w:pStyle w:val="Compact"/>
            </w:pPr>
            <w:r>
              <w:rPr>
                <w:rFonts w:ascii="Calibri" w:hAnsi="Calibri"/>
                <w:sz w:val="20"/>
              </w:rPr>
              <w:t xml:space="preserve">Principal (deuda federal bruta)</w:t>
            </w:r>
          </w:p>
        </w:tc>
        <w:tc>
          <w:tcPr/>
          <w:p>
            <w:pPr>
              <w:pStyle w:val="Compact"/>
            </w:pPr>
            <w:r>
              <w:rPr>
                <w:rFonts w:ascii="Calibri" w:hAnsi="Calibri"/>
                <w:sz w:val="20"/>
              </w:rPr>
              <w:t xml:space="preserve">32,8 [26,8; 37,9]</w:t>
            </w:r>
          </w:p>
        </w:tc>
        <w:tc>
          <w:tcPr/>
          <w:p>
            <w:pPr>
              <w:pStyle w:val="Compact"/>
            </w:pPr>
            <w:r>
              <w:rPr>
                <w:rFonts w:ascii="Calibri" w:hAnsi="Calibri"/>
                <w:sz w:val="20"/>
              </w:rPr>
              <w:t xml:space="preserve">31,3 [27,0; 35,3]</w:t>
            </w:r>
          </w:p>
        </w:tc>
        <w:tc>
          <w:tcPr/>
          <w:p>
            <w:pPr>
              <w:pStyle w:val="Compact"/>
            </w:pPr>
            <w:r>
              <w:rPr>
                <w:rFonts w:ascii="Calibri" w:hAnsi="Calibri"/>
                <w:sz w:val="20"/>
              </w:rPr>
              <w:t xml:space="preserve">48,3</w:t>
            </w:r>
          </w:p>
        </w:tc>
        <w:tc>
          <w:tcPr/>
          <w:p>
            <w:pPr>
              <w:pStyle w:val="Compact"/>
            </w:pPr>
            <w:r>
              <w:rPr>
                <w:rFonts w:ascii="Calibri" w:hAnsi="Calibri"/>
                <w:sz w:val="20"/>
              </w:rPr>
              <w:t xml:space="preserve">82,6 [65,8; 92,4]</w:t>
            </w:r>
          </w:p>
        </w:tc>
        <w:tc>
          <w:tcPr/>
          <w:p>
            <w:pPr>
              <w:pStyle w:val="Compact"/>
            </w:pPr>
            <w:r>
              <w:rPr>
                <w:rFonts w:ascii="Calibri" w:hAnsi="Calibri"/>
                <w:sz w:val="20"/>
              </w:rPr>
              <w:t xml:space="preserve">11,3 [4,4; 17,9]</w:t>
            </w:r>
          </w:p>
        </w:tc>
        <w:tc>
          <w:tcPr/>
          <w:p>
            <w:pPr>
              <w:pStyle w:val="Compact"/>
            </w:pPr>
            <w:r>
              <w:rPr>
                <w:rFonts w:ascii="Calibri" w:hAnsi="Calibri"/>
                <w:sz w:val="20"/>
              </w:rPr>
              <w:t xml:space="preserve">12,6 [1,2; 21,8]</w:t>
            </w:r>
          </w:p>
        </w:tc>
      </w:tr>
      <w:tr>
        <w:tc>
          <w:tcPr/>
          <w:p>
            <w:pPr>
              <w:pStyle w:val="Compact"/>
            </w:pPr>
            <w:r>
              <w:rPr>
                <w:rFonts w:ascii="Calibri" w:hAnsi="Calibri"/>
                <w:sz w:val="20"/>
              </w:rPr>
              <w:t xml:space="preserve">Deuda consolidada con el BCRA</w:t>
            </w:r>
          </w:p>
        </w:tc>
        <w:tc>
          <w:tcPr/>
          <w:p>
            <w:pPr>
              <w:pStyle w:val="Compact"/>
            </w:pPr>
            <w:r>
              <w:rPr>
                <w:rFonts w:ascii="Calibri" w:hAnsi="Calibri"/>
                <w:sz w:val="20"/>
              </w:rPr>
              <w:t xml:space="preserve">26,8 [20,3; 31,0]</w:t>
            </w:r>
          </w:p>
        </w:tc>
        <w:tc>
          <w:tcPr/>
          <w:p>
            <w:pPr>
              <w:pStyle w:val="Compact"/>
            </w:pPr>
            <w:r>
              <w:rPr>
                <w:rFonts w:ascii="Calibri" w:hAnsi="Calibri"/>
                <w:sz w:val="20"/>
              </w:rPr>
              <w:t xml:space="preserve">24,1 [20,4; 29,6]</w:t>
            </w:r>
          </w:p>
        </w:tc>
        <w:tc>
          <w:tcPr/>
          <w:p>
            <w:pPr>
              <w:pStyle w:val="Compact"/>
            </w:pPr>
            <w:r>
              <w:rPr>
                <w:rFonts w:ascii="Calibri" w:hAnsi="Calibri"/>
                <w:sz w:val="20"/>
              </w:rPr>
              <w:t xml:space="preserve">38,0</w:t>
            </w:r>
          </w:p>
        </w:tc>
        <w:tc>
          <w:tcPr/>
          <w:p>
            <w:pPr>
              <w:pStyle w:val="Compact"/>
            </w:pPr>
            <w:r>
              <w:rPr>
                <w:rFonts w:ascii="Calibri" w:hAnsi="Calibri"/>
                <w:sz w:val="20"/>
              </w:rPr>
              <w:t xml:space="preserve">67,1 [36,8; 86,1]</w:t>
            </w:r>
          </w:p>
        </w:tc>
        <w:tc>
          <w:tcPr/>
          <w:p>
            <w:pPr>
              <w:pStyle w:val="Compact"/>
            </w:pPr>
            <w:r>
              <w:rPr>
                <w:rFonts w:ascii="Calibri" w:hAnsi="Calibri"/>
                <w:sz w:val="20"/>
              </w:rPr>
              <w:t xml:space="preserve">10,1 [2,5; 16,7]</w:t>
            </w:r>
          </w:p>
        </w:tc>
        <w:tc>
          <w:tcPr/>
          <w:p>
            <w:pPr>
              <w:pStyle w:val="Compact"/>
            </w:pPr>
            <w:r>
              <w:rPr>
                <w:rFonts w:ascii="Calibri" w:hAnsi="Calibri"/>
                <w:sz w:val="20"/>
              </w:rPr>
              <w:t xml:space="preserve">6,7 [-0,3; 12,4]</w:t>
            </w:r>
          </w:p>
        </w:tc>
      </w:tr>
      <w:tr>
        <w:tc>
          <w:tcPr/>
          <w:p>
            <w:pPr>
              <w:pStyle w:val="Compact"/>
            </w:pPr>
            <w:r>
              <w:rPr>
                <w:rFonts w:ascii="Calibri" w:hAnsi="Calibri"/>
                <w:sz w:val="20"/>
              </w:rPr>
              <w:t xml:space="preserve">Resultado primario sin rentas de la propiedad</w:t>
            </w:r>
          </w:p>
        </w:tc>
        <w:tc>
          <w:tcPr/>
          <w:p>
            <w:pPr>
              <w:pStyle w:val="Compact"/>
            </w:pPr>
            <w:r>
              <w:rPr>
                <w:rFonts w:ascii="Calibri" w:hAnsi="Calibri"/>
                <w:sz w:val="20"/>
              </w:rPr>
              <w:t xml:space="preserve">32,4 [26,6; 37,0]</w:t>
            </w:r>
          </w:p>
        </w:tc>
        <w:tc>
          <w:tcPr/>
          <w:p>
            <w:pPr>
              <w:pStyle w:val="Compact"/>
            </w:pPr>
            <w:r>
              <w:rPr>
                <w:rFonts w:ascii="Calibri" w:hAnsi="Calibri"/>
                <w:sz w:val="20"/>
              </w:rPr>
              <w:t xml:space="preserve">31,2 [26,4; 35,6]</w:t>
            </w:r>
          </w:p>
        </w:tc>
        <w:tc>
          <w:tcPr/>
          <w:p>
            <w:pPr>
              <w:pStyle w:val="Compact"/>
            </w:pPr>
            <w:r>
              <w:rPr>
                <w:rFonts w:ascii="Calibri" w:hAnsi="Calibri"/>
                <w:sz w:val="20"/>
              </w:rPr>
              <w:t xml:space="preserve">47,6</w:t>
            </w:r>
          </w:p>
        </w:tc>
        <w:tc>
          <w:tcPr/>
          <w:p>
            <w:pPr>
              <w:pStyle w:val="Compact"/>
            </w:pPr>
            <w:r>
              <w:rPr>
                <w:rFonts w:ascii="Calibri" w:hAnsi="Calibri"/>
                <w:sz w:val="20"/>
              </w:rPr>
              <w:t xml:space="preserve">75,5 [51,7; 86,3]</w:t>
            </w:r>
          </w:p>
        </w:tc>
        <w:tc>
          <w:tcPr/>
          <w:p>
            <w:pPr>
              <w:pStyle w:val="Compact"/>
            </w:pPr>
            <w:r>
              <w:rPr>
                <w:rFonts w:ascii="Calibri" w:hAnsi="Calibri"/>
                <w:sz w:val="20"/>
              </w:rPr>
              <w:t xml:space="preserve">9,6 [2,5; 15,7]</w:t>
            </w:r>
          </w:p>
        </w:tc>
        <w:tc>
          <w:tcPr/>
          <w:p>
            <w:pPr>
              <w:pStyle w:val="Compact"/>
            </w:pPr>
            <w:r>
              <w:rPr>
                <w:rFonts w:ascii="Calibri" w:hAnsi="Calibri"/>
                <w:sz w:val="20"/>
              </w:rPr>
              <w:t xml:space="preserve">9,6 [-0,6; 17,1]</w:t>
            </w:r>
          </w:p>
        </w:tc>
      </w:tr>
      <w:tr>
        <w:tc>
          <w:tcPr/>
          <w:p>
            <w:pPr>
              <w:pStyle w:val="Compact"/>
            </w:pPr>
            <w:r>
              <w:rPr>
                <w:rFonts w:ascii="Calibri" w:hAnsi="Calibri"/>
                <w:sz w:val="20"/>
              </w:rPr>
              <w:t xml:space="preserve">Canal de tasas en pesos</w:t>
            </w:r>
          </w:p>
        </w:tc>
        <w:tc>
          <w:tcPr/>
          <w:p>
            <w:pPr>
              <w:pStyle w:val="Compact"/>
            </w:pPr>
            <w:r>
              <w:rPr>
                <w:rFonts w:ascii="Calibri" w:hAnsi="Calibri"/>
                <w:sz w:val="20"/>
              </w:rPr>
              <w:t xml:space="preserve">33,6 [28,7; 38,3]</w:t>
            </w:r>
          </w:p>
        </w:tc>
        <w:tc>
          <w:tcPr/>
          <w:p>
            <w:pPr>
              <w:pStyle w:val="Compact"/>
            </w:pPr>
            <w:r>
              <w:rPr>
                <w:rFonts w:ascii="Calibri" w:hAnsi="Calibri"/>
                <w:sz w:val="20"/>
              </w:rPr>
              <w:t xml:space="preserve">34,2 [29,8; 39,8]</w:t>
            </w:r>
          </w:p>
        </w:tc>
        <w:tc>
          <w:tcPr/>
          <w:p>
            <w:pPr>
              <w:pStyle w:val="Compact"/>
            </w:pPr>
            <w:r>
              <w:rPr>
                <w:rFonts w:ascii="Calibri" w:hAnsi="Calibri"/>
                <w:sz w:val="20"/>
              </w:rPr>
              <w:t xml:space="preserve">59,9</w:t>
            </w:r>
          </w:p>
        </w:tc>
        <w:tc>
          <w:tcPr/>
          <w:p>
            <w:pPr>
              <w:pStyle w:val="Compact"/>
            </w:pPr>
            <w:r>
              <w:rPr>
                <w:rFonts w:ascii="Calibri" w:hAnsi="Calibri"/>
                <w:sz w:val="20"/>
              </w:rPr>
              <w:t xml:space="preserve">87,1 [74,5; 97,6]</w:t>
            </w:r>
          </w:p>
        </w:tc>
        <w:tc>
          <w:tcPr/>
          <w:p>
            <w:pPr>
              <w:pStyle w:val="Compact"/>
            </w:pPr>
            <w:r>
              <w:rPr>
                <w:rFonts w:ascii="Calibri" w:hAnsi="Calibri"/>
                <w:sz w:val="20"/>
              </w:rPr>
              <w:t xml:space="preserve">11,8 [4,8; 20,9]</w:t>
            </w:r>
          </w:p>
        </w:tc>
        <w:tc>
          <w:tcPr/>
          <w:p>
            <w:pPr>
              <w:pStyle w:val="Compact"/>
            </w:pPr>
            <w:r>
              <w:rPr>
                <w:rFonts w:ascii="Calibri" w:hAnsi="Calibri"/>
                <w:sz w:val="20"/>
              </w:rPr>
              <w:t xml:space="preserve">15,8 [-0,7; 30,4]</w:t>
            </w:r>
          </w:p>
        </w:tc>
      </w:tr>
      <w:tr>
        <w:tc>
          <w:tcPr/>
          <w:p>
            <w:pPr>
              <w:pStyle w:val="Compact"/>
            </w:pPr>
            <w:r>
              <w:rPr>
                <w:rFonts w:ascii="Calibri" w:hAnsi="Calibri"/>
                <w:sz w:val="20"/>
              </w:rPr>
              <w:t xml:space="preserve">Sin retroalimentación de la deuda</w:t>
            </w:r>
          </w:p>
        </w:tc>
        <w:tc>
          <w:tcPr/>
          <w:p>
            <w:pPr>
              <w:pStyle w:val="Compact"/>
            </w:pPr>
            <w:r>
              <w:rPr>
                <w:rFonts w:ascii="Calibri" w:hAnsi="Calibri"/>
                <w:sz w:val="20"/>
              </w:rPr>
              <w:t xml:space="preserve">31,4 [26,0; 36,3]</w:t>
            </w:r>
          </w:p>
        </w:tc>
        <w:tc>
          <w:tcPr/>
          <w:p>
            <w:pPr>
              <w:pStyle w:val="Compact"/>
            </w:pPr>
            <w:r>
              <w:rPr>
                <w:rFonts w:ascii="Calibri" w:hAnsi="Calibri"/>
                <w:sz w:val="20"/>
              </w:rPr>
              <w:t xml:space="preserve">29,5 [24,3; 34,8]</w:t>
            </w:r>
          </w:p>
        </w:tc>
        <w:tc>
          <w:tcPr/>
          <w:p>
            <w:pPr>
              <w:pStyle w:val="Compact"/>
            </w:pPr>
            <w:r>
              <w:rPr>
                <w:rFonts w:ascii="Calibri" w:hAnsi="Calibri"/>
                <w:sz w:val="20"/>
              </w:rPr>
              <w:t xml:space="preserve">55,5</w:t>
            </w:r>
          </w:p>
        </w:tc>
        <w:tc>
          <w:tcPr/>
          <w:p>
            <w:pPr>
              <w:pStyle w:val="Compact"/>
            </w:pPr>
            <w:r>
              <w:rPr>
                <w:rFonts w:ascii="Calibri" w:hAnsi="Calibri"/>
                <w:sz w:val="20"/>
              </w:rPr>
              <w:t xml:space="preserve">81,5 [63,6; 91,4]</w:t>
            </w:r>
          </w:p>
        </w:tc>
        <w:tc>
          <w:tcPr/>
          <w:p>
            <w:pPr>
              <w:pStyle w:val="Compact"/>
            </w:pPr>
            <w:r>
              <w:rPr>
                <w:rFonts w:ascii="Calibri" w:hAnsi="Calibri"/>
                <w:sz w:val="20"/>
              </w:rPr>
              <w:t xml:space="preserve">8,1 [5,6; 10,6]</w:t>
            </w:r>
          </w:p>
        </w:tc>
        <w:tc>
          <w:tcPr/>
          <w:p>
            <w:pPr>
              <w:pStyle w:val="Compact"/>
            </w:pPr>
            <w:r>
              <w:rPr>
                <w:rFonts w:ascii="Calibri" w:hAnsi="Calibri"/>
                <w:sz w:val="20"/>
              </w:rPr>
              <w:t xml:space="preserve">14,3 [8,1; 22,6]</w:t>
            </w:r>
          </w:p>
        </w:tc>
      </w:tr>
      <w:tr>
        <w:tc>
          <w:tcPr/>
          <w:p>
            <w:pPr>
              <w:pStyle w:val="Compact"/>
            </w:pPr>
            <w:r>
              <w:rPr>
                <w:rFonts w:ascii="Calibri" w:hAnsi="Calibri"/>
                <w:sz w:val="20"/>
              </w:rPr>
              <w:t xml:space="preserve">Un rezago (criterio de Schwarz)</w:t>
            </w:r>
          </w:p>
        </w:tc>
        <w:tc>
          <w:tcPr/>
          <w:p>
            <w:pPr>
              <w:pStyle w:val="Compact"/>
            </w:pPr>
            <w:r>
              <w:rPr>
                <w:rFonts w:ascii="Calibri" w:hAnsi="Calibri"/>
                <w:sz w:val="20"/>
              </w:rPr>
              <w:t xml:space="preserve">32,4 [28,5; 38,8]</w:t>
            </w:r>
          </w:p>
        </w:tc>
        <w:tc>
          <w:tcPr/>
          <w:p>
            <w:pPr>
              <w:pStyle w:val="Compact"/>
            </w:pPr>
            <w:r>
              <w:rPr>
                <w:rFonts w:ascii="Calibri" w:hAnsi="Calibri"/>
                <w:sz w:val="20"/>
              </w:rPr>
              <w:t xml:space="preserve">32,6 [26,2; 37,8]</w:t>
            </w:r>
          </w:p>
        </w:tc>
        <w:tc>
          <w:tcPr/>
          <w:p>
            <w:pPr>
              <w:pStyle w:val="Compact"/>
            </w:pPr>
            <w:r>
              <w:rPr>
                <w:rFonts w:ascii="Calibri" w:hAnsi="Calibri"/>
                <w:sz w:val="20"/>
              </w:rPr>
              <w:t xml:space="preserve">49,4</w:t>
            </w:r>
          </w:p>
        </w:tc>
        <w:tc>
          <w:tcPr/>
          <w:p>
            <w:pPr>
              <w:pStyle w:val="Compact"/>
            </w:pPr>
            <w:r>
              <w:rPr>
                <w:rFonts w:ascii="Calibri" w:hAnsi="Calibri"/>
                <w:sz w:val="20"/>
              </w:rPr>
              <w:t xml:space="preserve">90,1 [80,4; 96,0]</w:t>
            </w:r>
          </w:p>
        </w:tc>
        <w:tc>
          <w:tcPr/>
          <w:p>
            <w:pPr>
              <w:pStyle w:val="Compact"/>
            </w:pPr>
            <w:r>
              <w:rPr>
                <w:rFonts w:ascii="Calibri" w:hAnsi="Calibri"/>
                <w:sz w:val="20"/>
              </w:rPr>
              <w:t xml:space="preserve">13,6 [2,4; 21,8]</w:t>
            </w:r>
          </w:p>
        </w:tc>
        <w:tc>
          <w:tcPr/>
          <w:p>
            <w:pPr>
              <w:pStyle w:val="Compact"/>
            </w:pPr>
            <w:r>
              <w:rPr>
                <w:rFonts w:ascii="Calibri" w:hAnsi="Calibri"/>
                <w:sz w:val="20"/>
              </w:rPr>
              <w:t xml:space="preserve">16,2 [-5,9; 30,0]</w:t>
            </w:r>
          </w:p>
        </w:tc>
      </w:tr>
      <w:tr>
        <w:tc>
          <w:tcPr/>
          <w:p>
            <w:pPr>
              <w:pStyle w:val="Compact"/>
            </w:pPr>
            <w:r>
              <w:rPr>
                <w:rFonts w:ascii="Calibri" w:hAnsi="Calibri"/>
                <w:sz w:val="20"/>
              </w:rPr>
              <w:t xml:space="preserve">Tres rezagos</w:t>
            </w:r>
          </w:p>
        </w:tc>
        <w:tc>
          <w:tcPr/>
          <w:p>
            <w:pPr>
              <w:pStyle w:val="Compact"/>
            </w:pPr>
            <w:r>
              <w:rPr>
                <w:rFonts w:ascii="Calibri" w:hAnsi="Calibri"/>
                <w:sz w:val="20"/>
              </w:rPr>
              <w:t xml:space="preserve">30,3 [23,0; 35,1]</w:t>
            </w:r>
          </w:p>
        </w:tc>
        <w:tc>
          <w:tcPr/>
          <w:p>
            <w:pPr>
              <w:pStyle w:val="Compact"/>
            </w:pPr>
            <w:r>
              <w:rPr>
                <w:rFonts w:ascii="Calibri" w:hAnsi="Calibri"/>
                <w:sz w:val="20"/>
              </w:rPr>
              <w:t xml:space="preserve">29,6 [24,2; 35,5]</w:t>
            </w:r>
          </w:p>
        </w:tc>
        <w:tc>
          <w:tcPr/>
          <w:p>
            <w:pPr>
              <w:pStyle w:val="Compact"/>
            </w:pPr>
            <w:r>
              <w:rPr>
                <w:rFonts w:ascii="Calibri" w:hAnsi="Calibri"/>
                <w:sz w:val="20"/>
              </w:rPr>
              <w:t xml:space="preserve">40,8</w:t>
            </w:r>
          </w:p>
        </w:tc>
        <w:tc>
          <w:tcPr/>
          <w:p>
            <w:pPr>
              <w:pStyle w:val="Compact"/>
            </w:pPr>
            <w:r>
              <w:rPr>
                <w:rFonts w:ascii="Calibri" w:hAnsi="Calibri"/>
                <w:sz w:val="20"/>
              </w:rPr>
              <w:t xml:space="preserve">72,3 [46,2; 88,9]</w:t>
            </w:r>
          </w:p>
        </w:tc>
        <w:tc>
          <w:tcPr/>
          <w:p>
            <w:pPr>
              <w:pStyle w:val="Compact"/>
            </w:pPr>
            <w:r>
              <w:rPr>
                <w:rFonts w:ascii="Calibri" w:hAnsi="Calibri"/>
                <w:sz w:val="20"/>
              </w:rPr>
              <w:t xml:space="preserve">10,3 [4,1; 17,1]</w:t>
            </w:r>
          </w:p>
        </w:tc>
        <w:tc>
          <w:tcPr/>
          <w:p>
            <w:pPr>
              <w:pStyle w:val="Compact"/>
            </w:pPr>
            <w:r>
              <w:rPr>
                <w:rFonts w:ascii="Calibri" w:hAnsi="Calibri"/>
                <w:sz w:val="20"/>
              </w:rPr>
              <w:t xml:space="preserve">8,9 [1,5; 16,0]</w:t>
            </w:r>
          </w:p>
        </w:tc>
      </w:tr>
      <w:tr>
        <w:tc>
          <w:tcPr/>
          <w:p>
            <w:pPr>
              <w:pStyle w:val="Compact"/>
            </w:pPr>
            <w:r>
              <w:rPr>
                <w:rFonts w:ascii="Calibri" w:hAnsi="Calibri"/>
                <w:sz w:val="20"/>
              </w:rPr>
              <w:t xml:space="preserve">Cholesky, resultado primario primero</w:t>
            </w:r>
          </w:p>
        </w:tc>
        <w:tc>
          <w:tcPr/>
          <w:p>
            <w:pPr>
              <w:pStyle w:val="Compact"/>
            </w:pPr>
            <w:r>
              <w:rPr>
                <w:rFonts w:ascii="Calibri" w:hAnsi="Calibri"/>
                <w:sz w:val="20"/>
              </w:rPr>
              <w:t xml:space="preserve">32,8 [26,9; 37,9]</w:t>
            </w:r>
          </w:p>
        </w:tc>
        <w:tc>
          <w:tcPr/>
          <w:p>
            <w:pPr>
              <w:pStyle w:val="Compact"/>
            </w:pPr>
            <w:r>
              <w:rPr>
                <w:rFonts w:ascii="Calibri" w:hAnsi="Calibri"/>
                <w:sz w:val="20"/>
              </w:rPr>
              <w:t xml:space="preserve">31,3 [27,0; 35,3]</w:t>
            </w:r>
          </w:p>
        </w:tc>
        <w:tc>
          <w:tcPr/>
          <w:p>
            <w:pPr>
              <w:pStyle w:val="Compact"/>
            </w:pPr>
            <w:r>
              <w:rPr>
                <w:rFonts w:ascii="Calibri" w:hAnsi="Calibri"/>
                <w:sz w:val="20"/>
              </w:rPr>
              <w:t xml:space="preserve">48,3</w:t>
            </w:r>
          </w:p>
        </w:tc>
        <w:tc>
          <w:tcPr/>
          <w:p>
            <w:pPr>
              <w:pStyle w:val="Compact"/>
            </w:pPr>
            <w:r>
              <w:rPr>
                <w:rFonts w:ascii="Calibri" w:hAnsi="Calibri"/>
                <w:sz w:val="20"/>
              </w:rPr>
              <w:t xml:space="preserve">63,9 [31,4; 75,3]</w:t>
            </w:r>
          </w:p>
        </w:tc>
        <w:tc>
          <w:tcPr/>
          <w:p>
            <w:pPr>
              <w:pStyle w:val="Compact"/>
            </w:pPr>
            <w:r>
              <w:rPr>
                <w:rFonts w:ascii="Calibri" w:hAnsi="Calibri"/>
                <w:sz w:val="20"/>
              </w:rPr>
              <w:t xml:space="preserve">11,3 [4,5; 17,9]</w:t>
            </w:r>
          </w:p>
        </w:tc>
        <w:tc>
          <w:tcPr/>
          <w:p>
            <w:pPr>
              <w:pStyle w:val="Compact"/>
            </w:pPr>
            <w:r>
              <w:rPr>
                <w:rFonts w:ascii="Calibri" w:hAnsi="Calibri"/>
                <w:sz w:val="20"/>
              </w:rPr>
              <w:t xml:space="preserve">12,6 [1,2; 21,8]</w:t>
            </w:r>
          </w:p>
        </w:tc>
      </w:tr>
      <w:tr>
        <w:tc>
          <w:tcPr/>
          <w:p>
            <w:pPr>
              <w:pStyle w:val="Compact"/>
            </w:pPr>
            <w:r>
              <w:rPr>
                <w:rFonts w:ascii="Calibri" w:hAnsi="Calibri"/>
                <w:sz w:val="20"/>
              </w:rPr>
              <w:t xml:space="preserve">Cholesky, resultado primario último</w:t>
            </w:r>
          </w:p>
        </w:tc>
        <w:tc>
          <w:tcPr/>
          <w:p>
            <w:pPr>
              <w:pStyle w:val="Compact"/>
            </w:pPr>
            <w:r>
              <w:rPr>
                <w:rFonts w:ascii="Calibri" w:hAnsi="Calibri"/>
                <w:sz w:val="20"/>
              </w:rPr>
              <w:t xml:space="preserve">32,8 [27,0; 37,7]</w:t>
            </w:r>
          </w:p>
        </w:tc>
        <w:tc>
          <w:tcPr/>
          <w:p>
            <w:pPr>
              <w:pStyle w:val="Compact"/>
            </w:pPr>
            <w:r>
              <w:rPr>
                <w:rFonts w:ascii="Calibri" w:hAnsi="Calibri"/>
                <w:sz w:val="20"/>
              </w:rPr>
              <w:t xml:space="preserve">31,3 [27,4; 35,0]</w:t>
            </w:r>
          </w:p>
        </w:tc>
        <w:tc>
          <w:tcPr/>
          <w:p>
            <w:pPr>
              <w:pStyle w:val="Compact"/>
            </w:pPr>
            <w:r>
              <w:rPr>
                <w:rFonts w:ascii="Calibri" w:hAnsi="Calibri"/>
                <w:sz w:val="20"/>
              </w:rPr>
              <w:t xml:space="preserve">48,3</w:t>
            </w:r>
          </w:p>
        </w:tc>
        <w:tc>
          <w:tcPr/>
          <w:p>
            <w:pPr>
              <w:pStyle w:val="Compact"/>
            </w:pPr>
            <w:r>
              <w:rPr>
                <w:rFonts w:ascii="Calibri" w:hAnsi="Calibri"/>
                <w:sz w:val="20"/>
              </w:rPr>
              <w:t xml:space="preserve">95,8 [92,0; 100,0]</w:t>
            </w:r>
          </w:p>
        </w:tc>
        <w:tc>
          <w:tcPr/>
          <w:p>
            <w:pPr>
              <w:pStyle w:val="Compact"/>
            </w:pPr>
            <w:r>
              <w:rPr>
                <w:rFonts w:ascii="Calibri" w:hAnsi="Calibri"/>
                <w:sz w:val="20"/>
              </w:rPr>
              <w:t xml:space="preserve">11,3 [4,9; 18,5]</w:t>
            </w:r>
          </w:p>
        </w:tc>
        <w:tc>
          <w:tcPr/>
          <w:p>
            <w:pPr>
              <w:pStyle w:val="Compact"/>
            </w:pPr>
            <w:r>
              <w:rPr>
                <w:rFonts w:ascii="Calibri" w:hAnsi="Calibri"/>
                <w:sz w:val="20"/>
              </w:rPr>
              <w:t xml:space="preserve">12,6 [1,5; 21,8]</w:t>
            </w:r>
          </w:p>
        </w:tc>
      </w:tr>
      <w:tr>
        <w:tc>
          <w:tcPr/>
          <w:p>
            <w:pPr>
              <w:pStyle w:val="Compact"/>
            </w:pPr>
            <w:r>
              <w:rPr>
                <w:rFonts w:ascii="Calibri" w:hAnsi="Calibri"/>
                <w:sz w:val="20"/>
              </w:rPr>
              <w:t xml:space="preserve">Elasticidad cíclica 0</w:t>
            </w:r>
          </w:p>
        </w:tc>
        <w:tc>
          <w:tcPr/>
          <w:p>
            <w:pPr>
              <w:pStyle w:val="Compact"/>
            </w:pPr>
            <w:r>
              <w:rPr>
                <w:rFonts w:ascii="Calibri" w:hAnsi="Calibri"/>
                <w:sz w:val="20"/>
              </w:rPr>
              <w:t xml:space="preserve">32,8 [26,9; 37,9]</w:t>
            </w:r>
          </w:p>
        </w:tc>
        <w:tc>
          <w:tcPr/>
          <w:p>
            <w:pPr>
              <w:pStyle w:val="Compact"/>
            </w:pPr>
            <w:r>
              <w:rPr>
                <w:rFonts w:ascii="Calibri" w:hAnsi="Calibri"/>
                <w:sz w:val="20"/>
              </w:rPr>
              <w:t xml:space="preserve">31,3 [27,0; 35,3]</w:t>
            </w:r>
          </w:p>
        </w:tc>
        <w:tc>
          <w:tcPr/>
          <w:p>
            <w:pPr>
              <w:pStyle w:val="Compact"/>
            </w:pPr>
            <w:r>
              <w:rPr>
                <w:rFonts w:ascii="Calibri" w:hAnsi="Calibri"/>
                <w:sz w:val="20"/>
              </w:rPr>
              <w:t xml:space="preserve">48,3</w:t>
            </w:r>
          </w:p>
        </w:tc>
        <w:tc>
          <w:tcPr/>
          <w:p>
            <w:pPr>
              <w:pStyle w:val="Compact"/>
            </w:pPr>
            <w:r>
              <w:rPr>
                <w:rFonts w:ascii="Calibri" w:hAnsi="Calibri"/>
                <w:sz w:val="20"/>
              </w:rPr>
              <w:t xml:space="preserve">63,9 [31,4; 75,3]</w:t>
            </w:r>
          </w:p>
        </w:tc>
        <w:tc>
          <w:tcPr/>
          <w:p>
            <w:pPr>
              <w:pStyle w:val="Compact"/>
            </w:pPr>
            <w:r>
              <w:rPr>
                <w:rFonts w:ascii="Calibri" w:hAnsi="Calibri"/>
                <w:sz w:val="20"/>
              </w:rPr>
              <w:t xml:space="preserve">11,3 [4,5; 17,9]</w:t>
            </w:r>
          </w:p>
        </w:tc>
        <w:tc>
          <w:tcPr/>
          <w:p>
            <w:pPr>
              <w:pStyle w:val="Compact"/>
            </w:pPr>
            <w:r>
              <w:rPr>
                <w:rFonts w:ascii="Calibri" w:hAnsi="Calibri"/>
                <w:sz w:val="20"/>
              </w:rPr>
              <w:t xml:space="preserve">12,6 [1,2; 21,8]</w:t>
            </w:r>
          </w:p>
        </w:tc>
      </w:tr>
      <w:tr>
        <w:tc>
          <w:tcPr/>
          <w:p>
            <w:pPr>
              <w:pStyle w:val="Compact"/>
            </w:pPr>
            <w:r>
              <w:rPr>
                <w:rFonts w:ascii="Calibri" w:hAnsi="Calibri"/>
                <w:sz w:val="20"/>
              </w:rPr>
              <w:t xml:space="preserve">Elasticidad cíclica 0,5</w:t>
            </w:r>
          </w:p>
        </w:tc>
        <w:tc>
          <w:tcPr/>
          <w:p>
            <w:pPr>
              <w:pStyle w:val="Compact"/>
            </w:pPr>
            <w:r>
              <w:rPr>
                <w:rFonts w:ascii="Calibri" w:hAnsi="Calibri"/>
                <w:sz w:val="20"/>
              </w:rPr>
              <w:t xml:space="preserve">32,8 [27,1; 38,1]</w:t>
            </w:r>
          </w:p>
        </w:tc>
        <w:tc>
          <w:tcPr/>
          <w:p>
            <w:pPr>
              <w:pStyle w:val="Compact"/>
            </w:pPr>
            <w:r>
              <w:rPr>
                <w:rFonts w:ascii="Calibri" w:hAnsi="Calibri"/>
                <w:sz w:val="20"/>
              </w:rPr>
              <w:t xml:space="preserve">31,3 [27,0; 35,6]</w:t>
            </w:r>
          </w:p>
        </w:tc>
        <w:tc>
          <w:tcPr/>
          <w:p>
            <w:pPr>
              <w:pStyle w:val="Compact"/>
            </w:pPr>
            <w:r>
              <w:rPr>
                <w:rFonts w:ascii="Calibri" w:hAnsi="Calibri"/>
                <w:sz w:val="20"/>
              </w:rPr>
              <w:t xml:space="preserve">48,3</w:t>
            </w:r>
          </w:p>
        </w:tc>
        <w:tc>
          <w:tcPr/>
          <w:p>
            <w:pPr>
              <w:pStyle w:val="Compact"/>
            </w:pPr>
            <w:r>
              <w:rPr>
                <w:rFonts w:ascii="Calibri" w:hAnsi="Calibri"/>
                <w:sz w:val="20"/>
              </w:rPr>
              <w:t xml:space="preserve">96,5 [93,3; 100,0]</w:t>
            </w:r>
          </w:p>
        </w:tc>
        <w:tc>
          <w:tcPr/>
          <w:p>
            <w:pPr>
              <w:pStyle w:val="Compact"/>
            </w:pPr>
            <w:r>
              <w:rPr>
                <w:rFonts w:ascii="Calibri" w:hAnsi="Calibri"/>
                <w:sz w:val="20"/>
              </w:rPr>
              <w:t xml:space="preserve">11,3 [4,5; 18,2]</w:t>
            </w:r>
          </w:p>
        </w:tc>
        <w:tc>
          <w:tcPr/>
          <w:p>
            <w:pPr>
              <w:pStyle w:val="Compact"/>
            </w:pPr>
            <w:r>
              <w:rPr>
                <w:rFonts w:ascii="Calibri" w:hAnsi="Calibri"/>
                <w:sz w:val="20"/>
              </w:rPr>
              <w:t xml:space="preserve">12,6 [1,2; 21,8]</w:t>
            </w:r>
          </w:p>
        </w:tc>
      </w:tr>
      <w:tr>
        <w:tc>
          <w:tcPr/>
          <w:p>
            <w:pPr>
              <w:pStyle w:val="Compact"/>
            </w:pPr>
            <w:r>
              <w:rPr>
                <w:rFonts w:ascii="Calibri" w:hAnsi="Calibri"/>
                <w:sz w:val="20"/>
              </w:rPr>
              <w:t xml:space="preserve">Sin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pPr>
            <w:r>
              <w:rPr>
                <w:rFonts w:ascii="Calibri" w:hAnsi="Calibri"/>
                <w:sz w:val="20"/>
              </w:rPr>
              <w:t xml:space="preserve">32,6 [26,9; 37,6]</w:t>
            </w:r>
          </w:p>
        </w:tc>
        <w:tc>
          <w:tcPr/>
          <w:p>
            <w:pPr>
              <w:pStyle w:val="Compact"/>
            </w:pPr>
            <w:r>
              <w:rPr>
                <w:rFonts w:ascii="Calibri" w:hAnsi="Calibri"/>
                <w:sz w:val="20"/>
              </w:rPr>
              <w:t xml:space="preserve">32,3 [28,3; 37,0]</w:t>
            </w:r>
          </w:p>
        </w:tc>
        <w:tc>
          <w:tcPr/>
          <w:p>
            <w:pPr>
              <w:pStyle w:val="Compact"/>
            </w:pPr>
            <w:r>
              <w:rPr>
                <w:rFonts w:ascii="Calibri" w:hAnsi="Calibri"/>
                <w:sz w:val="20"/>
              </w:rPr>
              <w:t xml:space="preserve">48,0</w:t>
            </w:r>
          </w:p>
        </w:tc>
        <w:tc>
          <w:tcPr/>
          <w:p>
            <w:pPr>
              <w:pStyle w:val="Compact"/>
            </w:pPr>
            <w:r>
              <w:rPr>
                <w:rFonts w:ascii="Calibri" w:hAnsi="Calibri"/>
                <w:sz w:val="20"/>
              </w:rPr>
              <w:t xml:space="preserve">81,4 [63,3; 94,4]</w:t>
            </w:r>
          </w:p>
        </w:tc>
        <w:tc>
          <w:tcPr/>
          <w:p>
            <w:pPr>
              <w:pStyle w:val="Compact"/>
            </w:pPr>
            <w:r>
              <w:rPr>
                <w:rFonts w:ascii="Calibri" w:hAnsi="Calibri"/>
                <w:sz w:val="20"/>
              </w:rPr>
              <w:t xml:space="preserve">11,6 [4,3; 18,8]</w:t>
            </w:r>
          </w:p>
        </w:tc>
        <w:tc>
          <w:tcPr/>
          <w:p>
            <w:pPr>
              <w:pStyle w:val="Compact"/>
            </w:pPr>
            <w:r>
              <w:rPr>
                <w:rFonts w:ascii="Calibri" w:hAnsi="Calibri"/>
                <w:sz w:val="20"/>
              </w:rPr>
              <w:t xml:space="preserve">13,1 [0,9; 23,0]</w:t>
            </w:r>
          </w:p>
        </w:tc>
      </w:tr>
      <w:tr>
        <w:tc>
          <w:tcPr/>
          <w:p>
            <w:pPr>
              <w:pStyle w:val="Compact"/>
            </w:pPr>
            <w:r>
              <w:rPr>
                <w:rFonts w:ascii="Calibri" w:hAnsi="Calibri"/>
                <w:sz w:val="20"/>
              </w:rPr>
              <w:t xml:space="preserve">Datos desde 2004</w:t>
            </w:r>
          </w:p>
        </w:tc>
        <w:tc>
          <w:tcPr/>
          <w:p>
            <w:pPr>
              <w:pStyle w:val="Compact"/>
            </w:pPr>
            <w:r>
              <w:rPr>
                <w:rFonts w:ascii="Calibri" w:hAnsi="Calibri"/>
                <w:sz w:val="20"/>
              </w:rPr>
              <w:t xml:space="preserve">31,9 [27,9; 40,5]</w:t>
            </w:r>
          </w:p>
        </w:tc>
        <w:tc>
          <w:tcPr/>
          <w:p>
            <w:pPr>
              <w:pStyle w:val="Compact"/>
            </w:pPr>
            <w:r>
              <w:rPr>
                <w:rFonts w:ascii="Calibri" w:hAnsi="Calibri"/>
                <w:sz w:val="20"/>
              </w:rPr>
              <w:t xml:space="preserve">32,5 [24,0; 41,7]</w:t>
            </w:r>
          </w:p>
        </w:tc>
        <w:tc>
          <w:tcPr/>
          <w:p>
            <w:pPr>
              <w:pStyle w:val="Compact"/>
            </w:pPr>
            <w:r>
              <w:rPr>
                <w:rFonts w:ascii="Calibri" w:hAnsi="Calibri"/>
                <w:sz w:val="20"/>
              </w:rPr>
              <w:t xml:space="preserve">35,8</w:t>
            </w:r>
          </w:p>
        </w:tc>
        <w:tc>
          <w:tcPr/>
          <w:p>
            <w:pPr>
              <w:pStyle w:val="Compact"/>
            </w:pPr>
            <w:r>
              <w:rPr>
                <w:rFonts w:ascii="Calibri" w:hAnsi="Calibri"/>
                <w:sz w:val="20"/>
              </w:rPr>
              <w:t xml:space="preserve">86,7 [73,5; 97,4]</w:t>
            </w:r>
          </w:p>
        </w:tc>
        <w:tc>
          <w:tcPr/>
          <w:p>
            <w:pPr>
              <w:pStyle w:val="Compact"/>
            </w:pPr>
            <w:r>
              <w:rPr>
                <w:rFonts w:ascii="Calibri" w:hAnsi="Calibri"/>
                <w:sz w:val="20"/>
              </w:rPr>
              <w:t xml:space="preserve">11,0 [-4,8; 17,2]</w:t>
            </w:r>
          </w:p>
        </w:tc>
        <w:tc>
          <w:tcPr/>
          <w:p>
            <w:pPr>
              <w:pStyle w:val="Compact"/>
            </w:pPr>
            <w:r>
              <w:rPr>
                <w:rFonts w:ascii="Calibri" w:hAnsi="Calibri"/>
                <w:sz w:val="20"/>
              </w:rPr>
              <w:t xml:space="preserve">8,4 [-35,0; 16,5]</w:t>
            </w:r>
          </w:p>
        </w:tc>
      </w:tr>
      <w:tr>
        <w:tc>
          <w:tcPr/>
          <w:p>
            <w:pPr>
              <w:pStyle w:val="Compact"/>
            </w:pPr>
            <w:r>
              <w:rPr>
                <w:rFonts w:ascii="Calibri" w:hAnsi="Calibri"/>
                <w:sz w:val="20"/>
              </w:rPr>
              <w:t xml:space="preserve">Sin variables binarias de quiebre</w:t>
            </w:r>
          </w:p>
        </w:tc>
        <w:tc>
          <w:tcPr/>
          <w:p>
            <w:pPr>
              <w:pStyle w:val="Compact"/>
            </w:pPr>
            <w:r>
              <w:rPr>
                <w:rFonts w:ascii="Calibri" w:hAnsi="Calibri"/>
                <w:sz w:val="20"/>
              </w:rPr>
              <w:t xml:space="preserve">31,2 [23,4; 35,5]</w:t>
            </w:r>
          </w:p>
        </w:tc>
        <w:tc>
          <w:tcPr/>
          <w:p>
            <w:pPr>
              <w:pStyle w:val="Compact"/>
            </w:pPr>
            <w:r>
              <w:rPr>
                <w:rFonts w:ascii="Calibri" w:hAnsi="Calibri"/>
                <w:sz w:val="20"/>
              </w:rPr>
              <w:t xml:space="preserve">31,2 [26,0; 35,0]</w:t>
            </w:r>
          </w:p>
        </w:tc>
        <w:tc>
          <w:tcPr/>
          <w:p>
            <w:pPr>
              <w:pStyle w:val="Compact"/>
            </w:pPr>
            <w:r>
              <w:rPr>
                <w:rFonts w:ascii="Calibri" w:hAnsi="Calibri"/>
                <w:sz w:val="20"/>
              </w:rPr>
              <w:t xml:space="preserve">54,8</w:t>
            </w:r>
          </w:p>
        </w:tc>
        <w:tc>
          <w:tcPr/>
          <w:p>
            <w:pPr>
              <w:pStyle w:val="Compact"/>
            </w:pPr>
            <w:r>
              <w:rPr>
                <w:rFonts w:ascii="Calibri" w:hAnsi="Calibri"/>
                <w:sz w:val="20"/>
              </w:rPr>
              <w:t xml:space="preserve">80,5 [61,4; 90,2]</w:t>
            </w:r>
          </w:p>
        </w:tc>
        <w:tc>
          <w:tcPr/>
          <w:p>
            <w:pPr>
              <w:pStyle w:val="Compact"/>
            </w:pPr>
            <w:r>
              <w:rPr>
                <w:rFonts w:ascii="Calibri" w:hAnsi="Calibri"/>
                <w:sz w:val="20"/>
              </w:rPr>
              <w:t xml:space="preserve">13,5 [6,3; 23,2]</w:t>
            </w:r>
          </w:p>
        </w:tc>
        <w:tc>
          <w:tcPr/>
          <w:p>
            <w:pPr>
              <w:pStyle w:val="Compact"/>
            </w:pPr>
            <w:r>
              <w:rPr>
                <w:rFonts w:ascii="Calibri" w:hAnsi="Calibri"/>
                <w:sz w:val="20"/>
              </w:rPr>
              <w:t xml:space="preserve">16,7 [-2,5; 31,8]</w:t>
            </w:r>
          </w:p>
        </w:tc>
      </w:tr>
      <w:tr>
        <w:tc>
          <w:tcPr/>
          <w:p>
            <w:pPr>
              <w:pStyle w:val="Compact"/>
            </w:pPr>
            <w:r>
              <w:rPr>
                <w:rFonts w:ascii="Calibri" w:hAnsi="Calibri"/>
                <w:sz w:val="20"/>
              </w:rPr>
              <w:t xml:space="preserve">Ajuste stock-flujo en cero</w:t>
            </w:r>
          </w:p>
        </w:tc>
        <w:tc>
          <w:tcPr/>
          <w:p>
            <w:pPr>
              <w:pStyle w:val="Compact"/>
            </w:pPr>
            <w:r>
              <w:rPr>
                <w:rFonts w:ascii="Calibri" w:hAnsi="Calibri"/>
                <w:sz w:val="20"/>
              </w:rPr>
              <w:t xml:space="preserve">29,8 [23,3; 34,9]</w:t>
            </w:r>
          </w:p>
        </w:tc>
        <w:tc>
          <w:tcPr/>
          <w:p>
            <w:pPr>
              <w:pStyle w:val="Compact"/>
            </w:pPr>
            <w:r>
              <w:rPr>
                <w:rFonts w:ascii="Calibri" w:hAnsi="Calibri"/>
                <w:sz w:val="20"/>
              </w:rPr>
              <w:t xml:space="preserve">25,5 [22,0; 30,6]</w:t>
            </w:r>
          </w:p>
        </w:tc>
        <w:tc>
          <w:tcPr/>
          <w:p>
            <w:pPr>
              <w:pStyle w:val="Compact"/>
            </w:pPr>
            <w:r>
              <w:rPr>
                <w:rFonts w:ascii="Calibri" w:hAnsi="Calibri"/>
                <w:sz w:val="20"/>
              </w:rPr>
              <w:t xml:space="preserve">44,4</w:t>
            </w:r>
          </w:p>
        </w:tc>
        <w:tc>
          <w:tcPr/>
          <w:p>
            <w:pPr>
              <w:pStyle w:val="Compact"/>
            </w:pPr>
            <w:r>
              <w:rPr>
                <w:rFonts w:ascii="Calibri" w:hAnsi="Calibri"/>
                <w:sz w:val="20"/>
              </w:rPr>
              <w:t xml:space="preserve">80,0 [60,7; 89,5]</w:t>
            </w:r>
          </w:p>
        </w:tc>
        <w:tc>
          <w:tcPr/>
          <w:p>
            <w:pPr>
              <w:pStyle w:val="Compact"/>
            </w:pPr>
            <w:r>
              <w:rPr>
                <w:rFonts w:ascii="Calibri" w:hAnsi="Calibri"/>
                <w:sz w:val="20"/>
              </w:rPr>
              <w:t xml:space="preserve">10,5 [3,7; 16,8]</w:t>
            </w:r>
          </w:p>
        </w:tc>
        <w:tc>
          <w:tcPr/>
          <w:p>
            <w:pPr>
              <w:pStyle w:val="Compact"/>
            </w:pPr>
            <w:r>
              <w:rPr>
                <w:rFonts w:ascii="Calibri" w:hAnsi="Calibri"/>
                <w:sz w:val="20"/>
              </w:rPr>
              <w:t xml:space="preserve">10,1 [0,7; 17,7]</w:t>
            </w:r>
          </w:p>
        </w:tc>
      </w:tr>
      <w:tr>
        <w:tc>
          <w:tcPr/>
          <w:p>
            <w:pPr>
              <w:pStyle w:val="Compact"/>
            </w:pPr>
            <w:r>
              <w:rPr>
                <w:rFonts w:ascii="Calibri" w:hAnsi="Calibri"/>
                <w:sz w:val="20"/>
              </w:rPr>
              <w:t xml:space="preserve">λ = 0,15</w:t>
            </w:r>
          </w:p>
        </w:tc>
        <w:tc>
          <w:tcPr/>
          <w:p>
            <w:pPr>
              <w:pStyle w:val="Compact"/>
            </w:pPr>
            <w:r>
              <w:rPr>
                <w:rFonts w:ascii="Calibri" w:hAnsi="Calibri"/>
                <w:sz w:val="20"/>
              </w:rPr>
              <w:t xml:space="preserve">32,2 [25,5; 37,3]</w:t>
            </w:r>
          </w:p>
        </w:tc>
        <w:tc>
          <w:tcPr/>
          <w:p>
            <w:pPr>
              <w:pStyle w:val="Compact"/>
            </w:pPr>
            <w:r>
              <w:rPr>
                <w:rFonts w:ascii="Calibri" w:hAnsi="Calibri"/>
                <w:sz w:val="20"/>
              </w:rPr>
              <w:t xml:space="preserve">30,3 [25,5; 34,5]</w:t>
            </w:r>
          </w:p>
        </w:tc>
        <w:tc>
          <w:tcPr/>
          <w:p>
            <w:pPr>
              <w:pStyle w:val="Compact"/>
            </w:pPr>
            <w:r>
              <w:rPr>
                <w:rFonts w:ascii="Calibri" w:hAnsi="Calibri"/>
                <w:sz w:val="20"/>
              </w:rPr>
              <w:t xml:space="preserve">44,1</w:t>
            </w:r>
          </w:p>
        </w:tc>
        <w:tc>
          <w:tcPr/>
          <w:p>
            <w:pPr>
              <w:pStyle w:val="Compact"/>
            </w:pPr>
            <w:r>
              <w:rPr>
                <w:rFonts w:ascii="Calibri" w:hAnsi="Calibri"/>
                <w:sz w:val="20"/>
              </w:rPr>
              <w:t xml:space="preserve">81,6 [63,8; 91,6]</w:t>
            </w:r>
          </w:p>
        </w:tc>
        <w:tc>
          <w:tcPr/>
          <w:p>
            <w:pPr>
              <w:pStyle w:val="Compact"/>
            </w:pPr>
            <w:r>
              <w:rPr>
                <w:rFonts w:ascii="Calibri" w:hAnsi="Calibri"/>
                <w:sz w:val="20"/>
              </w:rPr>
              <w:t xml:space="preserve">8,3 [2,8; 13,6]</w:t>
            </w:r>
          </w:p>
        </w:tc>
        <w:tc>
          <w:tcPr/>
          <w:p>
            <w:pPr>
              <w:pStyle w:val="Compact"/>
            </w:pPr>
            <w:r>
              <w:rPr>
                <w:rFonts w:ascii="Calibri" w:hAnsi="Calibri"/>
                <w:sz w:val="20"/>
              </w:rPr>
              <w:t xml:space="preserve">8,5 [0,6; 15,1]</w:t>
            </w:r>
          </w:p>
        </w:tc>
      </w:tr>
      <w:tr>
        <w:tc>
          <w:tcPr/>
          <w:p>
            <w:pPr>
              <w:pStyle w:val="Compact"/>
            </w:pPr>
            <w:r>
              <w:rPr>
                <w:rFonts w:ascii="Calibri" w:hAnsi="Calibri"/>
                <w:sz w:val="20"/>
              </w:rPr>
              <w:t xml:space="preserve">λ = 0,40</w:t>
            </w:r>
          </w:p>
        </w:tc>
        <w:tc>
          <w:tcPr/>
          <w:p>
            <w:pPr>
              <w:pStyle w:val="Compact"/>
            </w:pPr>
            <w:r>
              <w:rPr>
                <w:rFonts w:ascii="Calibri" w:hAnsi="Calibri"/>
                <w:sz w:val="20"/>
              </w:rPr>
              <w:t xml:space="preserve">33,1 [27,6; 38,2]</w:t>
            </w:r>
          </w:p>
        </w:tc>
        <w:tc>
          <w:tcPr/>
          <w:p>
            <w:pPr>
              <w:pStyle w:val="Compact"/>
            </w:pPr>
            <w:r>
              <w:rPr>
                <w:rFonts w:ascii="Calibri" w:hAnsi="Calibri"/>
                <w:sz w:val="20"/>
              </w:rPr>
              <w:t xml:space="preserve">31,8 [28,0; 36,2]</w:t>
            </w:r>
          </w:p>
        </w:tc>
        <w:tc>
          <w:tcPr/>
          <w:p>
            <w:pPr>
              <w:pStyle w:val="Compact"/>
            </w:pPr>
            <w:r>
              <w:rPr>
                <w:rFonts w:ascii="Calibri" w:hAnsi="Calibri"/>
                <w:sz w:val="20"/>
              </w:rPr>
              <w:t xml:space="preserve">51,4</w:t>
            </w:r>
          </w:p>
        </w:tc>
        <w:tc>
          <w:tcPr/>
          <w:p>
            <w:pPr>
              <w:pStyle w:val="Compact"/>
            </w:pPr>
            <w:r>
              <w:rPr>
                <w:rFonts w:ascii="Calibri" w:hAnsi="Calibri"/>
                <w:sz w:val="20"/>
              </w:rPr>
              <w:t xml:space="preserve">83,3 [67,0; 94,8]</w:t>
            </w:r>
          </w:p>
        </w:tc>
        <w:tc>
          <w:tcPr/>
          <w:p>
            <w:pPr>
              <w:pStyle w:val="Compact"/>
            </w:pPr>
            <w:r>
              <w:rPr>
                <w:rFonts w:ascii="Calibri" w:hAnsi="Calibri"/>
                <w:sz w:val="20"/>
              </w:rPr>
              <w:t xml:space="preserve">13,2 [5,3; 21,6]</w:t>
            </w:r>
          </w:p>
        </w:tc>
        <w:tc>
          <w:tcPr/>
          <w:p>
            <w:pPr>
              <w:pStyle w:val="Compact"/>
            </w:pPr>
            <w:r>
              <w:rPr>
                <w:rFonts w:ascii="Calibri" w:hAnsi="Calibri"/>
                <w:sz w:val="20"/>
              </w:rPr>
              <w:t xml:space="preserve">15,5 [1,9; 26,7]</w:t>
            </w:r>
          </w:p>
        </w:tc>
      </w:tr>
      <w:tr>
        <w:tc>
          <w:tcPr/>
          <w:p>
            <w:pPr>
              <w:pStyle w:val="Compact"/>
            </w:pPr>
            <w:r>
              <w:rPr>
                <w:rFonts w:ascii="Calibri" w:hAnsi="Calibri"/>
                <w:sz w:val="20"/>
              </w:rPr>
              <w:t xml:space="preserve">Escenario del FMI de 2025</w:t>
            </w:r>
          </w:p>
        </w:tc>
        <w:tc>
          <w:tcPr/>
          <w:p>
            <w:pPr>
              <w:pStyle w:val="Compact"/>
            </w:pPr>
            <w:r>
              <w:rPr>
                <w:rFonts w:ascii="Calibri" w:hAnsi="Calibri"/>
                <w:sz w:val="20"/>
              </w:rPr>
              <w:t xml:space="preserve">30,4 [24,0; 35,6]</w:t>
            </w:r>
          </w:p>
        </w:tc>
        <w:tc>
          <w:tcPr/>
          <w:p>
            <w:pPr>
              <w:pStyle w:val="Compact"/>
            </w:pPr>
            <w:r>
              <w:rPr>
                <w:rFonts w:ascii="Calibri" w:hAnsi="Calibri"/>
                <w:sz w:val="20"/>
              </w:rPr>
              <w:t xml:space="preserve">26,0 [21,4; 30,7]</w:t>
            </w:r>
          </w:p>
        </w:tc>
        <w:tc>
          <w:tcPr/>
          <w:p>
            <w:pPr>
              <w:pStyle w:val="Compact"/>
            </w:pPr>
            <w:r>
              <w:rPr>
                <w:rFonts w:ascii="Calibri" w:hAnsi="Calibri"/>
                <w:sz w:val="20"/>
              </w:rPr>
              <w:t xml:space="preserve">45,6</w:t>
            </w:r>
          </w:p>
        </w:tc>
        <w:tc>
          <w:tcPr/>
          <w:p>
            <w:pPr>
              <w:pStyle w:val="Compact"/>
            </w:pPr>
            <w:r>
              <w:rPr>
                <w:rFonts w:ascii="Calibri" w:hAnsi="Calibri"/>
                <w:sz w:val="20"/>
              </w:rPr>
              <w:t xml:space="preserve">81,6 [63,9; 90,9]</w:t>
            </w:r>
          </w:p>
        </w:tc>
        <w:tc>
          <w:tcPr/>
          <w:p>
            <w:pPr>
              <w:pStyle w:val="Compact"/>
            </w:pPr>
            <w:r>
              <w:rPr>
                <w:rFonts w:ascii="Calibri" w:hAnsi="Calibri"/>
                <w:sz w:val="20"/>
              </w:rPr>
              <w:t xml:space="preserve">8,8 [3,5; 14,5]</w:t>
            </w:r>
          </w:p>
        </w:tc>
        <w:tc>
          <w:tcPr/>
          <w:p>
            <w:pPr>
              <w:pStyle w:val="Compact"/>
            </w:pPr>
            <w:r>
              <w:rPr>
                <w:rFonts w:ascii="Calibri" w:hAnsi="Calibri"/>
                <w:sz w:val="20"/>
              </w:rPr>
              <w:t xml:space="preserve">8,6 [1,1; 15,7]</w:t>
            </w:r>
          </w:p>
        </w:tc>
      </w:tr>
      <w:tr>
        <w:tc>
          <w:tcPr/>
          <w:p>
            <w:pPr>
              <w:pStyle w:val="Compact"/>
            </w:pPr>
            <w:r>
              <w:rPr>
                <w:rFonts w:ascii="Calibri" w:hAnsi="Calibri"/>
                <w:sz w:val="20"/>
              </w:rPr>
              <w:t xml:space="preserve">Parámetros corregidos por sesgo (Kilian, 1998)</w:t>
            </w:r>
          </w:p>
        </w:tc>
        <w:tc>
          <w:tcPr/>
          <w:p>
            <w:pPr>
              <w:pStyle w:val="Compact"/>
            </w:pPr>
            <w:r>
              <w:rPr>
                <w:rFonts w:ascii="Calibri" w:hAnsi="Calibri"/>
                <w:sz w:val="20"/>
              </w:rPr>
              <w:t xml:space="preserve">31,3 [24,2; 36,0]</w:t>
            </w:r>
          </w:p>
        </w:tc>
        <w:tc>
          <w:tcPr/>
          <w:p>
            <w:pPr>
              <w:pStyle w:val="Compact"/>
            </w:pPr>
            <w:r>
              <w:rPr>
                <w:rFonts w:ascii="Calibri" w:hAnsi="Calibri"/>
                <w:sz w:val="20"/>
              </w:rPr>
              <w:t xml:space="preserve">31,1 [27,2; 35,7]</w:t>
            </w:r>
          </w:p>
        </w:tc>
        <w:tc>
          <w:tcPr/>
          <w:p>
            <w:pPr>
              <w:pStyle w:val="Compact"/>
            </w:pPr>
            <w:r>
              <w:rPr>
                <w:rFonts w:ascii="Calibri" w:hAnsi="Calibri"/>
                <w:sz w:val="20"/>
              </w:rPr>
              <w:t xml:space="preserve">52,1</w:t>
            </w:r>
          </w:p>
        </w:tc>
        <w:tc>
          <w:tcPr/>
          <w:p>
            <w:pPr>
              <w:pStyle w:val="Compact"/>
            </w:pPr>
            <w:r>
              <w:rPr>
                <w:rFonts w:ascii="Calibri" w:hAnsi="Calibri"/>
                <w:sz w:val="20"/>
              </w:rPr>
              <w:t xml:space="preserve">61,3 [32,7; 100,0]</w:t>
            </w:r>
          </w:p>
        </w:tc>
        <w:tc>
          <w:tcPr/>
          <w:p>
            <w:pPr>
              <w:pStyle w:val="Compact"/>
            </w:pPr>
            <w:r>
              <w:rPr>
                <w:rFonts w:ascii="Calibri" w:hAnsi="Calibri"/>
                <w:sz w:val="20"/>
              </w:rPr>
              <w:t xml:space="preserve">12,8 [1,6; 20,8]</w:t>
            </w:r>
          </w:p>
        </w:tc>
        <w:tc>
          <w:tcPr/>
          <w:p>
            <w:pPr>
              <w:pStyle w:val="Compact"/>
            </w:pPr>
            <w:r>
              <w:rPr>
                <w:rFonts w:ascii="Calibri" w:hAnsi="Calibri"/>
                <w:sz w:val="20"/>
              </w:rPr>
              <w:t xml:space="preserve">11,4 [-15,6; 17,9]</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pPr>
            <w:r>
              <w:rPr>
                <w:rFonts w:ascii="Calibri" w:hAnsi="Calibri"/>
                <w:sz w:val="20"/>
              </w:rPr>
              <w:t xml:space="preserve">16,6</w:t>
            </w:r>
          </w:p>
        </w:tc>
        <w:tc>
          <w:tcPr/>
          <w:p>
            <w:pPr>
              <w:pStyle w:val="Compact"/>
            </w:pPr>
            <w:r>
              <w:rPr>
                <w:rFonts w:ascii="Calibri" w:hAnsi="Calibri"/>
                <w:sz w:val="20"/>
              </w:rPr>
              <w:t xml:space="preserve">15,1</w:t>
            </w:r>
          </w:p>
        </w:tc>
        <w:tc>
          <w:tcPr/>
          <w:p>
            <w:pPr>
              <w:pStyle w:val="Compact"/>
            </w:pPr>
            <w:r>
              <w:rPr>
                <w:rFonts w:ascii="Calibri" w:hAnsi="Calibri"/>
                <w:sz w:val="20"/>
              </w:rPr>
              <w:t xml:space="preserve">151,1</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pPr>
            <w:r>
              <w:rPr>
                <w:rFonts w:ascii="Calibri" w:hAnsi="Calibri"/>
                <w:sz w:val="20"/>
              </w:rPr>
              <w:t xml:space="preserve">15,3</w:t>
            </w:r>
          </w:p>
        </w:tc>
        <w:tc>
          <w:tcPr/>
          <w:p>
            <w:pPr>
              <w:pStyle w:val="Compact"/>
            </w:pPr>
            <w:r>
              <w:rPr>
                <w:rFonts w:ascii="Calibri" w:hAnsi="Calibri"/>
                <w:sz w:val="20"/>
              </w:rPr>
              <w:t xml:space="preserve">12,3</w:t>
            </w:r>
          </w:p>
        </w:tc>
        <w:tc>
          <w:tcPr/>
          <w:p>
            <w:pPr>
              <w:pStyle w:val="Compact"/>
            </w:pPr>
            <w:r>
              <w:rPr>
                <w:rFonts w:ascii="Calibri" w:hAnsi="Calibri"/>
                <w:sz w:val="20"/>
              </w:rPr>
              <w:t xml:space="preserve">103,4</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1,0</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c>
          <w:tcPr/>
          <w:p>
            <w:pPr>
              <w:pStyle w:val="Compact"/>
            </w:pPr>
            <w:r>
              <w:rPr>
                <w:rFonts w:ascii="Calibri" w:hAnsi="Calibri"/>
                <w:sz w:val="20"/>
              </w:rPr>
              <w:t xml:space="preserve">no aplica</w:t>
            </w:r>
          </w:p>
        </w:tc>
      </w:tr>
    </w:tbl>
    <w:bookmarkEnd w:id="122"/>
    <w:bookmarkEnd w:id="123"/>
    <w:bookmarkStart w:id="124" w:name="referencias"/>
    <w:p>
      <w:pPr>
        <w:pStyle w:val="Heading1"/>
      </w:pPr>
      <w:r>
        <w:t xml:space="preserve">Referencias</w:t>
      </w:r>
    </w:p>
    <w:p>
      <w:pPr>
        <w:pStyle w:val="Compact"/>
        <w:numPr>
          <w:ilvl w:val="0"/>
          <w:numId w:val="1008"/>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w:t>
      </w:r>
      <w:r>
        <w:t xml:space="preserve"> </w:t>
      </w:r>
      <w:r>
        <w:rPr>
          <w:i/>
          <w:iCs/>
        </w:rPr>
        <w:t xml:space="preserve">60</w:t>
      </w:r>
      <w:r>
        <w:t xml:space="preserve">, 8-28. https://doi.org/10.1016/j.jimonfin.2015.03.007</w:t>
      </w:r>
    </w:p>
    <w:p>
      <w:pPr>
        <w:pStyle w:val="Compact"/>
        <w:numPr>
          <w:ilvl w:val="0"/>
          <w:numId w:val="1008"/>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08"/>
        </w:numPr>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Compact"/>
        <w:numPr>
          <w:ilvl w:val="0"/>
          <w:numId w:val="1008"/>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08"/>
        </w:numPr>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Compact"/>
        <w:numPr>
          <w:ilvl w:val="0"/>
          <w:numId w:val="1008"/>
        </w:numPr>
      </w:pPr>
      <w:r>
        <w:t xml:space="preserve">Banco Central de la República Argentina [BCRA].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08"/>
        </w:numPr>
      </w:pPr>
      <w:r>
        <w:t xml:space="preserve">Banco Central de la República Argentina [BCRA].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08"/>
        </w:numPr>
      </w:pPr>
      <w:r>
        <w:t xml:space="preserve">Banco Central de la República Argentina [BCRA].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08"/>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08"/>
        </w:numPr>
      </w:pPr>
      <w:r>
        <w:t xml:space="preserve">Blanchard, O. (2019). Public debt and low interest rates.</w:t>
      </w:r>
      <w:r>
        <w:t xml:space="preserve"> </w:t>
      </w:r>
      <w:r>
        <w:rPr>
          <w:i/>
          <w:iCs/>
        </w:rPr>
        <w:t xml:space="preserve">American Economic Review</w:t>
      </w:r>
      <w:r>
        <w:t xml:space="preserve">,</w:t>
      </w:r>
      <w:r>
        <w:t xml:space="preserve"> </w:t>
      </w:r>
      <w:r>
        <w:rPr>
          <w:i/>
          <w:iCs/>
        </w:rPr>
        <w:t xml:space="preserve">109</w:t>
      </w:r>
      <w:r>
        <w:t xml:space="preserve">(4), 1197-1229. https://doi.org/10.1257/aer.109.4.1197</w:t>
      </w:r>
    </w:p>
    <w:p>
      <w:pPr>
        <w:pStyle w:val="Compact"/>
        <w:numPr>
          <w:ilvl w:val="0"/>
          <w:numId w:val="1008"/>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Compact"/>
        <w:numPr>
          <w:ilvl w:val="0"/>
          <w:numId w:val="1008"/>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08"/>
        </w:numPr>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Compact"/>
        <w:numPr>
          <w:ilvl w:val="0"/>
          <w:numId w:val="1008"/>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08"/>
        </w:numPr>
      </w:pPr>
      <w:r>
        <w:t xml:space="preserve">Bohn, H. (2007). Are stationarity and cointegration restrictions really necessary for the intertemporal budget constraint?</w:t>
      </w:r>
      <w:r>
        <w:t xml:space="preserve"> </w:t>
      </w:r>
      <w:r>
        <w:rPr>
          <w:i/>
          <w:iCs/>
        </w:rPr>
        <w:t xml:space="preserve">Journal of Monetary Economics</w:t>
      </w:r>
      <w:r>
        <w:t xml:space="preserve">,</w:t>
      </w:r>
      <w:r>
        <w:t xml:space="preserve"> </w:t>
      </w:r>
      <w:r>
        <w:rPr>
          <w:i/>
          <w:iCs/>
        </w:rPr>
        <w:t xml:space="preserve">54</w:t>
      </w:r>
      <w:r>
        <w:t xml:space="preserve">(7), 1837-1847. https://doi.org/10.1016/j.jmoneco.2006.12.012</w:t>
      </w:r>
    </w:p>
    <w:p>
      <w:pPr>
        <w:pStyle w:val="Compact"/>
        <w:numPr>
          <w:ilvl w:val="0"/>
          <w:numId w:val="1008"/>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w:t>
      </w:r>
      <w:r>
        <w:t xml:space="preserve"> </w:t>
      </w:r>
      <w:r>
        <w:rPr>
          <w:i/>
          <w:iCs/>
        </w:rPr>
        <w:t xml:space="preserve">30</w:t>
      </w:r>
      <w:r>
        <w:t xml:space="preserve">(62), 1-18. https://nulan.mdp.edu.ar/id/eprint/4109/1/FACES-30-62-bohoslavsky-cantamutto.pdf</w:t>
      </w:r>
    </w:p>
    <w:p>
      <w:pPr>
        <w:pStyle w:val="Compact"/>
        <w:numPr>
          <w:ilvl w:val="0"/>
          <w:numId w:val="1008"/>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 https://ecb.europa.eu/pub/pdf/scpops/ecbop185.bg.pdf</w:t>
      </w:r>
    </w:p>
    <w:p>
      <w:pPr>
        <w:pStyle w:val="Compact"/>
        <w:numPr>
          <w:ilvl w:val="0"/>
          <w:numId w:val="1008"/>
        </w:numPr>
      </w:pPr>
      <w:r>
        <w:t xml:space="preserve">Braun, O., y Joy, L. (1968). A model of economic stagnation: A case study of the Argentine economy.</w:t>
      </w:r>
      <w:r>
        <w:t xml:space="preserve"> </w:t>
      </w:r>
      <w:r>
        <w:rPr>
          <w:i/>
          <w:iCs/>
        </w:rPr>
        <w:t xml:space="preserve">The Economic Journal</w:t>
      </w:r>
      <w:r>
        <w:t xml:space="preserve">,</w:t>
      </w:r>
      <w:r>
        <w:t xml:space="preserve"> </w:t>
      </w:r>
      <w:r>
        <w:rPr>
          <w:i/>
          <w:iCs/>
        </w:rPr>
        <w:t xml:space="preserve">78</w:t>
      </w:r>
      <w:r>
        <w:t xml:space="preserve">(312), 868-887. https://doi.org/10.2307/2229183</w:t>
      </w:r>
    </w:p>
    <w:p>
      <w:pPr>
        <w:pStyle w:val="Compact"/>
        <w:numPr>
          <w:ilvl w:val="0"/>
          <w:numId w:val="1008"/>
        </w:numPr>
      </w:pPr>
      <w:r>
        <w:t xml:space="preserve">Brüggemann, R., Jentsch, C., y Trenkler, C. (2016). Inference in VARs with conditional heteroskedasticity of unknown form.</w:t>
      </w:r>
      <w:r>
        <w:t xml:space="preserve"> </w:t>
      </w:r>
      <w:r>
        <w:rPr>
          <w:i/>
          <w:iCs/>
        </w:rPr>
        <w:t xml:space="preserve">Journal of Econometrics</w:t>
      </w:r>
      <w:r>
        <w:t xml:space="preserve">,</w:t>
      </w:r>
      <w:r>
        <w:t xml:space="preserve"> </w:t>
      </w:r>
      <w:r>
        <w:rPr>
          <w:i/>
          <w:iCs/>
        </w:rPr>
        <w:t xml:space="preserve">191</w:t>
      </w:r>
      <w:r>
        <w:t xml:space="preserve">(1), 69-85. https://doi.org/10.1016/j.jeconom.2015.10.004</w:t>
      </w:r>
    </w:p>
    <w:p>
      <w:pPr>
        <w:pStyle w:val="Compact"/>
        <w:numPr>
          <w:ilvl w:val="0"/>
          <w:numId w:val="1008"/>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Compact"/>
        <w:numPr>
          <w:ilvl w:val="0"/>
          <w:numId w:val="1008"/>
        </w:numPr>
      </w:pPr>
      <w:r>
        <w:t xml:space="preserve">Canova, F. (2005). The transmission of US shocks to Latin America.</w:t>
      </w:r>
      <w:r>
        <w:t xml:space="preserve"> </w:t>
      </w:r>
      <w:r>
        <w:rPr>
          <w:i/>
          <w:iCs/>
        </w:rPr>
        <w:t xml:space="preserve">Journal of Applied Econometrics</w:t>
      </w:r>
      <w:r>
        <w:t xml:space="preserve">,</w:t>
      </w:r>
      <w:r>
        <w:t xml:space="preserve"> </w:t>
      </w:r>
      <w:r>
        <w:rPr>
          <w:i/>
          <w:iCs/>
        </w:rPr>
        <w:t xml:space="preserve">20</w:t>
      </w:r>
      <w:r>
        <w:t xml:space="preserve">(2), 229-251. https://doi.org/10.1002/jae.837</w:t>
      </w:r>
    </w:p>
    <w:p>
      <w:pPr>
        <w:pStyle w:val="Compact"/>
        <w:numPr>
          <w:ilvl w:val="0"/>
          <w:numId w:val="1008"/>
        </w:numPr>
      </w:pPr>
      <w:r>
        <w:t xml:space="preserve">Cantamutto, F. J., y Féliz, M. (2021). Argentina entre la sostenibilidad de la deuda y la vida.</w:t>
      </w:r>
      <w:r>
        <w:t xml:space="preserve"> </w:t>
      </w:r>
      <w:r>
        <w:rPr>
          <w:i/>
          <w:iCs/>
        </w:rPr>
        <w:t xml:space="preserve">Revista Nuestramérica</w:t>
      </w:r>
      <w:r>
        <w:t xml:space="preserve">,</w:t>
      </w:r>
      <w:r>
        <w:t xml:space="preserve"> </w:t>
      </w:r>
      <w:r>
        <w:rPr>
          <w:i/>
          <w:iCs/>
        </w:rPr>
        <w:t xml:space="preserve">9</w:t>
      </w:r>
      <w:r>
        <w:t xml:space="preserve">(17), e6167845.</w:t>
      </w:r>
    </w:p>
    <w:p>
      <w:pPr>
        <w:pStyle w:val="Compact"/>
        <w:numPr>
          <w:ilvl w:val="0"/>
          <w:numId w:val="1008"/>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08"/>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Compact"/>
        <w:numPr>
          <w:ilvl w:val="0"/>
          <w:numId w:val="1008"/>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pStyle w:val="Compact"/>
        <w:numPr>
          <w:ilvl w:val="0"/>
          <w:numId w:val="1008"/>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08"/>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08"/>
        </w:numPr>
      </w:pPr>
      <w:r>
        <w:t xml:space="preserve">Cushman, D. O., y Zha, T. (1997). Identifying monetary policy in a small open economy under flexible exchange rates.</w:t>
      </w:r>
      <w:r>
        <w:t xml:space="preserve"> </w:t>
      </w:r>
      <w:r>
        <w:rPr>
          <w:i/>
          <w:iCs/>
        </w:rPr>
        <w:t xml:space="preserve">Journal of Monetary Economics</w:t>
      </w:r>
      <w:r>
        <w:t xml:space="preserve">,</w:t>
      </w:r>
      <w:r>
        <w:t xml:space="preserve"> </w:t>
      </w:r>
      <w:r>
        <w:rPr>
          <w:i/>
          <w:iCs/>
        </w:rPr>
        <w:t xml:space="preserve">39</w:t>
      </w:r>
      <w:r>
        <w:t xml:space="preserve">(3), 433-448. https://doi.org/10.1016/S0304-3932(97)00029-9</w:t>
      </w:r>
    </w:p>
    <w:p>
      <w:pPr>
        <w:pStyle w:val="Compact"/>
        <w:numPr>
          <w:ilvl w:val="0"/>
          <w:numId w:val="1008"/>
        </w:numPr>
      </w:pPr>
      <w:r>
        <w:t xml:space="preserve">Damill, M., Frenkel, R., y Rapetti, M. (2015). Macroeconomic policy in Argentina during 2002-2013.</w:t>
      </w:r>
      <w:r>
        <w:t xml:space="preserve"> </w:t>
      </w:r>
      <w:r>
        <w:rPr>
          <w:i/>
          <w:iCs/>
        </w:rPr>
        <w:t xml:space="preserve">Comparative Economic Studies</w:t>
      </w:r>
      <w:r>
        <w:t xml:space="preserve">,</w:t>
      </w:r>
      <w:r>
        <w:t xml:space="preserve"> </w:t>
      </w:r>
      <w:r>
        <w:rPr>
          <w:i/>
          <w:iCs/>
        </w:rPr>
        <w:t xml:space="preserve">57</w:t>
      </w:r>
      <w:r>
        <w:t xml:space="preserve">(3), 369-400. https://doi.org/10.1057/ces.2015.3</w:t>
      </w:r>
    </w:p>
    <w:p>
      <w:pPr>
        <w:pStyle w:val="Compact"/>
        <w:numPr>
          <w:ilvl w:val="0"/>
          <w:numId w:val="1008"/>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08"/>
        </w:numPr>
      </w:pPr>
      <w:r>
        <w:t xml:space="preserve">Diamand, M. (1972). La estructura productiva desequilibrada argentina y el tipo de cambio.</w:t>
      </w:r>
      <w:r>
        <w:t xml:space="preserve"> </w:t>
      </w:r>
      <w:r>
        <w:rPr>
          <w:i/>
          <w:iCs/>
        </w:rPr>
        <w:t xml:space="preserve">Desarrollo Económico</w:t>
      </w:r>
      <w:r>
        <w:t xml:space="preserve">,</w:t>
      </w:r>
      <w:r>
        <w:t xml:space="preserve"> </w:t>
      </w:r>
      <w:r>
        <w:rPr>
          <w:i/>
          <w:iCs/>
        </w:rPr>
        <w:t xml:space="preserve">12</w:t>
      </w:r>
      <w:r>
        <w:t xml:space="preserve">(45), 25-47. https://doi.org/10.2307/3465991</w:t>
      </w:r>
    </w:p>
    <w:p>
      <w:pPr>
        <w:pStyle w:val="Compact"/>
        <w:numPr>
          <w:ilvl w:val="0"/>
          <w:numId w:val="1008"/>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08"/>
        </w:numPr>
      </w:pPr>
      <w:r>
        <w:t xml:space="preserve">Dickey, D. A., y Fuller, W. A. (1979). Distribution of the estimators for autoregressive time series with a unit root.</w:t>
      </w:r>
      <w:r>
        <w:t xml:space="preserve"> </w:t>
      </w:r>
      <w:r>
        <w:rPr>
          <w:i/>
          <w:iCs/>
        </w:rPr>
        <w:t xml:space="preserve">Journal of the American Statistical Association</w:t>
      </w:r>
      <w:r>
        <w:t xml:space="preserve">,</w:t>
      </w:r>
      <w:r>
        <w:t xml:space="preserve"> </w:t>
      </w:r>
      <w:r>
        <w:rPr>
          <w:i/>
          <w:iCs/>
        </w:rPr>
        <w:t xml:space="preserve">74</w:t>
      </w:r>
      <w:r>
        <w:t xml:space="preserve">(366), 427-431. https://doi.org/10.2307/2286348</w:t>
      </w:r>
    </w:p>
    <w:p>
      <w:pPr>
        <w:pStyle w:val="Compact"/>
        <w:numPr>
          <w:ilvl w:val="0"/>
          <w:numId w:val="1008"/>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pStyle w:val="Compact"/>
        <w:numPr>
          <w:ilvl w:val="0"/>
          <w:numId w:val="1008"/>
        </w:numPr>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 https://doi.org/10.2307/1912773</w:t>
      </w:r>
    </w:p>
    <w:p>
      <w:pPr>
        <w:pStyle w:val="Compact"/>
        <w:numPr>
          <w:ilvl w:val="0"/>
          <w:numId w:val="1008"/>
        </w:numPr>
      </w:pPr>
      <w:r>
        <w:t xml:space="preserve">Everaert, G., y Jansen, S. (2018). On the estimation of panel fiscal reaction functions: Heterogeneity or fiscal fatigue?</w:t>
      </w:r>
      <w:r>
        <w:t xml:space="preserve"> </w:t>
      </w:r>
      <w:r>
        <w:rPr>
          <w:i/>
          <w:iCs/>
        </w:rPr>
        <w:t xml:space="preserve">Economic Modelling</w:t>
      </w:r>
      <w:r>
        <w:t xml:space="preserve">,</w:t>
      </w:r>
      <w:r>
        <w:t xml:space="preserve"> </w:t>
      </w:r>
      <w:r>
        <w:rPr>
          <w:i/>
          <w:iCs/>
        </w:rPr>
        <w:t xml:space="preserve">70</w:t>
      </w:r>
      <w:r>
        <w:t xml:space="preserve">, 87-96. https://doi.org/10.1016/j.econmod.2017.10.014</w:t>
      </w:r>
    </w:p>
    <w:p>
      <w:pPr>
        <w:pStyle w:val="Compact"/>
        <w:numPr>
          <w:ilvl w:val="0"/>
          <w:numId w:val="1008"/>
        </w:numPr>
      </w:pPr>
      <w:r>
        <w:t xml:space="preserve">Favero, C., y Giavazzi, F. (2007).</w:t>
      </w:r>
      <w:r>
        <w:t xml:space="preserve"> </w:t>
      </w:r>
      <w:r>
        <w:rPr>
          <w:i/>
          <w:iCs/>
        </w:rPr>
        <w:t xml:space="preserve">Debt and the effects of fiscal policy</w:t>
      </w:r>
      <w:r>
        <w:t xml:space="preserve"> </w:t>
      </w:r>
      <w:r>
        <w:t xml:space="preserve">(NBER Working Paper No. 12822). National Bureau of Economic Research. https://doi.org/10.3386/w12822</w:t>
      </w:r>
    </w:p>
    <w:p>
      <w:pPr>
        <w:pStyle w:val="Compact"/>
        <w:numPr>
          <w:ilvl w:val="0"/>
          <w:numId w:val="1008"/>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08"/>
        </w:numPr>
      </w:pPr>
      <w:r>
        <w:t xml:space="preserve">Fondo Monetario Internacional [FMI]. (2021).</w:t>
      </w:r>
      <w:r>
        <w:t xml:space="preserve"> </w:t>
      </w:r>
      <w:r>
        <w:rPr>
          <w:i/>
          <w:iCs/>
        </w:rPr>
        <w:t xml:space="preserve">Review of the debt sustainability framework for market access countries</w:t>
      </w:r>
      <w:r>
        <w:t xml:space="preserve"> </w:t>
      </w:r>
      <w:r>
        <w:t xml:space="preserve">(IMF Policy Paper).</w:t>
      </w:r>
    </w:p>
    <w:p>
      <w:pPr>
        <w:pStyle w:val="Compact"/>
        <w:numPr>
          <w:ilvl w:val="0"/>
          <w:numId w:val="1008"/>
        </w:numPr>
      </w:pPr>
      <w:r>
        <w:t xml:space="preserve">Fondo Monetario Internacional [FMI].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08"/>
        </w:numPr>
      </w:pPr>
      <w:r>
        <w:t xml:space="preserve">Fondo Monetario Internacional [FMI]. (2025).</w:t>
      </w:r>
      <w:r>
        <w:t xml:space="preserve"> </w:t>
      </w:r>
      <w:r>
        <w:rPr>
          <w:i/>
          <w:iCs/>
        </w:rPr>
        <w:t xml:space="preserve">Argentina: Request for an extended arrangement under the Extended Fund Facility</w:t>
      </w:r>
      <w:r>
        <w:t xml:space="preserve"> </w:t>
      </w:r>
      <w:r>
        <w:t xml:space="preserve">(IMF Country Report No. 25/95).</w:t>
      </w:r>
    </w:p>
    <w:p>
      <w:pPr>
        <w:pStyle w:val="Compact"/>
        <w:numPr>
          <w:ilvl w:val="0"/>
          <w:numId w:val="1008"/>
        </w:numPr>
      </w:pPr>
      <w:r>
        <w:t xml:space="preserve">Fondo Monetario Internacional [FMI].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w:t>
      </w:r>
    </w:p>
    <w:p>
      <w:pPr>
        <w:pStyle w:val="Compact"/>
        <w:numPr>
          <w:ilvl w:val="0"/>
          <w:numId w:val="1008"/>
        </w:numPr>
      </w:pPr>
      <w:r>
        <w:t xml:space="preserve">Fondo Monetario Internacional [FMI] y Mecanismo Europeo de Estabilidad [ESM].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08"/>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Compact"/>
        <w:numPr>
          <w:ilvl w:val="0"/>
          <w:numId w:val="1008"/>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 OECD Publishing.</w:t>
      </w:r>
    </w:p>
    <w:p>
      <w:pPr>
        <w:pStyle w:val="Compact"/>
        <w:numPr>
          <w:ilvl w:val="0"/>
          <w:numId w:val="1008"/>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pStyle w:val="Compact"/>
        <w:numPr>
          <w:ilvl w:val="0"/>
          <w:numId w:val="1008"/>
        </w:numPr>
      </w:pPr>
      <w:r>
        <w:t xml:space="preserve">Hakkio, C. S., y Rush, M. (1991). Is the budget deficit</w:t>
      </w:r>
      <w:r>
        <w:t xml:space="preserve"> </w:t>
      </w:r>
      <w:r>
        <w:t xml:space="preserve">“too large?”</w:t>
      </w:r>
      <w:r>
        <w:t xml:space="preserve"> </w:t>
      </w:r>
      <w:r>
        <w:rPr>
          <w:i/>
          <w:iCs/>
        </w:rPr>
        <w:t xml:space="preserve">Economic Inquiry</w:t>
      </w:r>
      <w:r>
        <w:t xml:space="preserve">,</w:t>
      </w:r>
      <w:r>
        <w:t xml:space="preserve"> </w:t>
      </w:r>
      <w:r>
        <w:rPr>
          <w:i/>
          <w:iCs/>
        </w:rPr>
        <w:t xml:space="preserve">29</w:t>
      </w:r>
      <w:r>
        <w:t xml:space="preserve">(3), 429-445. https://doi.org/10.1111/j.1465-7295.1991.tb00837.x</w:t>
      </w:r>
    </w:p>
    <w:p>
      <w:pPr>
        <w:pStyle w:val="Compact"/>
        <w:numPr>
          <w:ilvl w:val="0"/>
          <w:numId w:val="1008"/>
        </w:numPr>
      </w:pPr>
      <w:r>
        <w:t xml:space="preserve">Hall, P. (1992).</w:t>
      </w:r>
      <w:r>
        <w:t xml:space="preserve"> </w:t>
      </w:r>
      <w:r>
        <w:rPr>
          <w:i/>
          <w:iCs/>
        </w:rPr>
        <w:t xml:space="preserve">The bootstrap and Edgeworth expansion</w:t>
      </w:r>
      <w:r>
        <w:t xml:space="preserve">. Springer. https://doi.org/10.1007/978-1-4612-4384-7</w:t>
      </w:r>
    </w:p>
    <w:p>
      <w:pPr>
        <w:pStyle w:val="Compact"/>
        <w:numPr>
          <w:ilvl w:val="0"/>
          <w:numId w:val="1008"/>
        </w:numPr>
      </w:pPr>
      <w:r>
        <w:t xml:space="preserve">Hébert, B., y Schreger, J. (2017). The costs of sovereign default: Evidence from Argentina.</w:t>
      </w:r>
      <w:r>
        <w:t xml:space="preserve"> </w:t>
      </w:r>
      <w:r>
        <w:rPr>
          <w:i/>
          <w:iCs/>
        </w:rPr>
        <w:t xml:space="preserve">American Economic Review</w:t>
      </w:r>
      <w:r>
        <w:t xml:space="preserve">,</w:t>
      </w:r>
      <w:r>
        <w:t xml:space="preserve"> </w:t>
      </w:r>
      <w:r>
        <w:rPr>
          <w:i/>
          <w:iCs/>
        </w:rPr>
        <w:t xml:space="preserve">107</w:t>
      </w:r>
      <w:r>
        <w:t xml:space="preserve">(10), 3119-3145. https://doi.org/10.1257/aer.20151667</w:t>
      </w:r>
    </w:p>
    <w:p>
      <w:pPr>
        <w:pStyle w:val="Compact"/>
        <w:numPr>
          <w:ilvl w:val="0"/>
          <w:numId w:val="1008"/>
        </w:numPr>
      </w:pPr>
      <w:r>
        <w:t xml:space="preserve">Hodrick, R. J., y Prescott, E. C. (1997). Postwar U.S. business cycles: An empirical investigation.</w:t>
      </w:r>
      <w:r>
        <w:t xml:space="preserve"> </w:t>
      </w:r>
      <w:r>
        <w:rPr>
          <w:i/>
          <w:iCs/>
        </w:rPr>
        <w:t xml:space="preserve">Journal of Money, Credit and Banking</w:t>
      </w:r>
      <w:r>
        <w:t xml:space="preserve">,</w:t>
      </w:r>
      <w:r>
        <w:t xml:space="preserve"> </w:t>
      </w:r>
      <w:r>
        <w:rPr>
          <w:i/>
          <w:iCs/>
        </w:rPr>
        <w:t xml:space="preserve">29</w:t>
      </w:r>
      <w:r>
        <w:t xml:space="preserve">(1), 1-16. https://doi.org/10.2307/2953682</w:t>
      </w:r>
    </w:p>
    <w:p>
      <w:pPr>
        <w:pStyle w:val="Compact"/>
        <w:numPr>
          <w:ilvl w:val="0"/>
          <w:numId w:val="1008"/>
        </w:numPr>
      </w:pPr>
      <w:r>
        <w:t xml:space="preserve">Hosking, J. R. M. (1980). The multivariate portmanteau statistic.</w:t>
      </w:r>
      <w:r>
        <w:t xml:space="preserve"> </w:t>
      </w:r>
      <w:r>
        <w:rPr>
          <w:i/>
          <w:iCs/>
        </w:rPr>
        <w:t xml:space="preserve">Journal of the American Statistical Association</w:t>
      </w:r>
      <w:r>
        <w:t xml:space="preserve">,</w:t>
      </w:r>
      <w:r>
        <w:t xml:space="preserve"> </w:t>
      </w:r>
      <w:r>
        <w:rPr>
          <w:i/>
          <w:iCs/>
        </w:rPr>
        <w:t xml:space="preserve">75</w:t>
      </w:r>
      <w:r>
        <w:t xml:space="preserve">(371), 602-608. https://doi.org/10.1080/01621459.1980.10477520</w:t>
      </w:r>
    </w:p>
    <w:p>
      <w:pPr>
        <w:pStyle w:val="Compact"/>
        <w:numPr>
          <w:ilvl w:val="0"/>
          <w:numId w:val="1008"/>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08"/>
        </w:numPr>
      </w:pPr>
      <w:r>
        <w:t xml:space="preserve">Ivanov, V., y Kilian, L. (2005). A practitioner’s guide to lag order selection for VAR impulse response analysis.</w:t>
      </w:r>
      <w:r>
        <w:t xml:space="preserve"> </w:t>
      </w:r>
      <w:r>
        <w:rPr>
          <w:i/>
          <w:iCs/>
        </w:rPr>
        <w:t xml:space="preserve">Studies in Nonlinear Dynamics and Econometrics</w:t>
      </w:r>
      <w:r>
        <w:t xml:space="preserve">,</w:t>
      </w:r>
      <w:r>
        <w:t xml:space="preserve"> </w:t>
      </w:r>
      <w:r>
        <w:rPr>
          <w:i/>
          <w:iCs/>
        </w:rPr>
        <w:t xml:space="preserve">9</w:t>
      </w:r>
      <w:r>
        <w:t xml:space="preserve">(1), artículo 2. https://doi.org/10.2202/1558-3708.1219</w:t>
      </w:r>
    </w:p>
    <w:p>
      <w:pPr>
        <w:pStyle w:val="Compact"/>
        <w:numPr>
          <w:ilvl w:val="0"/>
          <w:numId w:val="1008"/>
        </w:numPr>
      </w:pPr>
      <w:r>
        <w:t xml:space="preserve">Jarque, C. M., y Bera, A. K. (1987). A test for normality of observations and regression residuals.</w:t>
      </w:r>
      <w:r>
        <w:t xml:space="preserve"> </w:t>
      </w:r>
      <w:r>
        <w:rPr>
          <w:i/>
          <w:iCs/>
        </w:rPr>
        <w:t xml:space="preserve">International Statistical Review</w:t>
      </w:r>
      <w:r>
        <w:t xml:space="preserve">,</w:t>
      </w:r>
      <w:r>
        <w:t xml:space="preserve"> </w:t>
      </w:r>
      <w:r>
        <w:rPr>
          <w:i/>
          <w:iCs/>
        </w:rPr>
        <w:t xml:space="preserve">55</w:t>
      </w:r>
      <w:r>
        <w:t xml:space="preserve">(2), 163-172. https://doi.org/10.2307/1403192</w:t>
      </w:r>
    </w:p>
    <w:p>
      <w:pPr>
        <w:pStyle w:val="Compact"/>
        <w:numPr>
          <w:ilvl w:val="0"/>
          <w:numId w:val="1008"/>
        </w:numPr>
      </w:pPr>
      <w:r>
        <w:t xml:space="preserve">Johansen, S. (1991). Estimation and hypothesis testing of cointegration vectors in Gaussian vector autoregressive models.</w:t>
      </w:r>
      <w:r>
        <w:t xml:space="preserve"> </w:t>
      </w:r>
      <w:r>
        <w:rPr>
          <w:i/>
          <w:iCs/>
        </w:rPr>
        <w:t xml:space="preserve">Econometrica</w:t>
      </w:r>
      <w:r>
        <w:t xml:space="preserve">,</w:t>
      </w:r>
      <w:r>
        <w:t xml:space="preserve"> </w:t>
      </w:r>
      <w:r>
        <w:rPr>
          <w:i/>
          <w:iCs/>
        </w:rPr>
        <w:t xml:space="preserve">59</w:t>
      </w:r>
      <w:r>
        <w:t xml:space="preserve">(6), 1551-1580. https://doi.org/10.2307/2938278</w:t>
      </w:r>
    </w:p>
    <w:p>
      <w:pPr>
        <w:pStyle w:val="Compact"/>
        <w:numPr>
          <w:ilvl w:val="0"/>
          <w:numId w:val="1008"/>
        </w:numPr>
      </w:pPr>
      <w:r>
        <w:t xml:space="preserve">Johansen, S., Mosconi, R., y Nielsen, B. (2000). Cointegration analysis in the presence of structural breaks in the deterministic trend.</w:t>
      </w:r>
      <w:r>
        <w:t xml:space="preserve"> </w:t>
      </w:r>
      <w:r>
        <w:rPr>
          <w:i/>
          <w:iCs/>
        </w:rPr>
        <w:t xml:space="preserve">The Econometrics Journal</w:t>
      </w:r>
      <w:r>
        <w:t xml:space="preserve">,</w:t>
      </w:r>
      <w:r>
        <w:t xml:space="preserve"> </w:t>
      </w:r>
      <w:r>
        <w:rPr>
          <w:i/>
          <w:iCs/>
        </w:rPr>
        <w:t xml:space="preserve">3</w:t>
      </w:r>
      <w:r>
        <w:t xml:space="preserve">(2), 216-249. https://doi.org/10.1111/1368-423X.00047</w:t>
      </w:r>
    </w:p>
    <w:p>
      <w:pPr>
        <w:pStyle w:val="Compact"/>
        <w:numPr>
          <w:ilvl w:val="0"/>
          <w:numId w:val="1008"/>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https://doi.org/10.3386/w26297</w:t>
      </w:r>
    </w:p>
    <w:p>
      <w:pPr>
        <w:pStyle w:val="Compact"/>
        <w:numPr>
          <w:ilvl w:val="0"/>
          <w:numId w:val="1008"/>
        </w:numPr>
      </w:pPr>
      <w:r>
        <w:t xml:space="preserve">Kaminsky, G., Lizondo, S., y Reinhart, C. M. (1998). Leading indicators of currency crises.</w:t>
      </w:r>
      <w:r>
        <w:t xml:space="preserve"> </w:t>
      </w:r>
      <w:r>
        <w:rPr>
          <w:i/>
          <w:iCs/>
        </w:rPr>
        <w:t xml:space="preserve">IMF Staff Papers</w:t>
      </w:r>
      <w:r>
        <w:t xml:space="preserve">,</w:t>
      </w:r>
      <w:r>
        <w:t xml:space="preserve"> </w:t>
      </w:r>
      <w:r>
        <w:rPr>
          <w:i/>
          <w:iCs/>
        </w:rPr>
        <w:t xml:space="preserve">45</w:t>
      </w:r>
      <w:r>
        <w:t xml:space="preserve">(1), 1-48. https://doi.org/10.2307/3867328</w:t>
      </w:r>
    </w:p>
    <w:p>
      <w:pPr>
        <w:pStyle w:val="Compact"/>
        <w:numPr>
          <w:ilvl w:val="0"/>
          <w:numId w:val="1008"/>
        </w:numPr>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Compact"/>
        <w:numPr>
          <w:ilvl w:val="0"/>
          <w:numId w:val="1008"/>
        </w:numPr>
      </w:pPr>
      <w:r>
        <w:t xml:space="preserve">Kwiatkowski, D., Phillips, P. C. B., Schmidt, P., y Shin, Y. (1992). Testing the null hypothesis of stationarity against the alternative of a unit root.</w:t>
      </w:r>
      <w:r>
        <w:t xml:space="preserve"> </w:t>
      </w:r>
      <w:r>
        <w:rPr>
          <w:i/>
          <w:iCs/>
        </w:rPr>
        <w:t xml:space="preserve">Journal of Econometrics</w:t>
      </w:r>
      <w:r>
        <w:t xml:space="preserve">,</w:t>
      </w:r>
      <w:r>
        <w:t xml:space="preserve"> </w:t>
      </w:r>
      <w:r>
        <w:rPr>
          <w:i/>
          <w:iCs/>
        </w:rPr>
        <w:t xml:space="preserve">54</w:t>
      </w:r>
      <w:r>
        <w:t xml:space="preserve">(1-3), 159-178. https://doi.org/10.1016/0304-4076(92)90104-Y</w:t>
      </w:r>
    </w:p>
    <w:p>
      <w:pPr>
        <w:pStyle w:val="Compact"/>
        <w:numPr>
          <w:ilvl w:val="0"/>
          <w:numId w:val="1008"/>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w:t>
      </w:r>
      <w:r>
        <w:t xml:space="preserve">,</w:t>
      </w:r>
      <w:r>
        <w:t xml:space="preserve"> </w:t>
      </w:r>
      <w:r>
        <w:rPr>
          <w:i/>
          <w:iCs/>
        </w:rPr>
        <w:t xml:space="preserve">27</w:t>
      </w:r>
      <w:r>
        <w:t xml:space="preserve">(1), 129-147. https://doi.org/10.1016/0304-3932(91)90007-B</w:t>
      </w:r>
    </w:p>
    <w:p>
      <w:pPr>
        <w:pStyle w:val="Compact"/>
        <w:numPr>
          <w:ilvl w:val="0"/>
          <w:numId w:val="1008"/>
        </w:numPr>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Compact"/>
        <w:numPr>
          <w:ilvl w:val="0"/>
          <w:numId w:val="1008"/>
        </w:numPr>
      </w:pPr>
      <w:r>
        <w:t xml:space="preserve">Ley 27.612 de Fortalecimiento de la Sostenibilidad de la Deuda Pública. (2021, 3 de marzo). Boletín Oficial de la República Argentina. https://www.argentina.gob.ar/normativa/nacional/norma-347532/texto</w:t>
      </w:r>
    </w:p>
    <w:p>
      <w:pPr>
        <w:pStyle w:val="Compact"/>
        <w:numPr>
          <w:ilvl w:val="0"/>
          <w:numId w:val="1008"/>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08"/>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Compact"/>
        <w:numPr>
          <w:ilvl w:val="0"/>
          <w:numId w:val="1008"/>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w:t>
      </w:r>
      <w:r>
        <w:t xml:space="preserve"> </w:t>
      </w:r>
      <w:r>
        <w:rPr>
          <w:i/>
          <w:iCs/>
        </w:rPr>
        <w:t xml:space="preserve">18</w:t>
      </w:r>
      <w:r>
        <w:t xml:space="preserve">(2), 133-177.</w:t>
      </w:r>
    </w:p>
    <w:p>
      <w:pPr>
        <w:pStyle w:val="Compact"/>
        <w:numPr>
          <w:ilvl w:val="0"/>
          <w:numId w:val="1008"/>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w:t>
      </w:r>
    </w:p>
    <w:p>
      <w:pPr>
        <w:pStyle w:val="Compact"/>
        <w:numPr>
          <w:ilvl w:val="0"/>
          <w:numId w:val="1008"/>
        </w:numPr>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Compact"/>
        <w:numPr>
          <w:ilvl w:val="0"/>
          <w:numId w:val="1008"/>
        </w:numPr>
      </w:pPr>
      <w:r>
        <w:t xml:space="preserve">Oficina de Presupuesto del Congreso [OPC]. (2026).</w:t>
      </w:r>
      <w:r>
        <w:t xml:space="preserve"> </w:t>
      </w:r>
      <w:r>
        <w:rPr>
          <w:i/>
          <w:iCs/>
        </w:rPr>
        <w:t xml:space="preserve">Operaciones de deuda pública, julio 2026</w:t>
      </w:r>
      <w:r>
        <w:t xml:space="preserve">.</w:t>
      </w:r>
    </w:p>
    <w:p>
      <w:pPr>
        <w:pStyle w:val="Compact"/>
        <w:numPr>
          <w:ilvl w:val="0"/>
          <w:numId w:val="1008"/>
        </w:numPr>
      </w:pPr>
      <w:r>
        <w:t xml:space="preserve">Perron, P. (1989). The great crash, the oil price shock, and the unit root hypothesis.</w:t>
      </w:r>
      <w:r>
        <w:t xml:space="preserve"> </w:t>
      </w:r>
      <w:r>
        <w:rPr>
          <w:i/>
          <w:iCs/>
        </w:rPr>
        <w:t xml:space="preserve">Econometrica</w:t>
      </w:r>
      <w:r>
        <w:t xml:space="preserve">,</w:t>
      </w:r>
      <w:r>
        <w:t xml:space="preserve"> </w:t>
      </w:r>
      <w:r>
        <w:rPr>
          <w:i/>
          <w:iCs/>
        </w:rPr>
        <w:t xml:space="preserve">57</w:t>
      </w:r>
      <w:r>
        <w:t xml:space="preserve">(6), 1361-1401. https://doi.org/10.2307/1913712</w:t>
      </w:r>
    </w:p>
    <w:p>
      <w:pPr>
        <w:pStyle w:val="Compact"/>
        <w:numPr>
          <w:ilvl w:val="0"/>
          <w:numId w:val="1008"/>
        </w:numPr>
      </w:pPr>
      <w:r>
        <w:t xml:space="preserve">Pesaran, M. H., y Smith, R. (1995). Estimating long-run relationships from dynamic heterogeneous panels.</w:t>
      </w:r>
      <w:r>
        <w:t xml:space="preserve"> </w:t>
      </w:r>
      <w:r>
        <w:rPr>
          <w:i/>
          <w:iCs/>
        </w:rPr>
        <w:t xml:space="preserve">Journal of Econometrics</w:t>
      </w:r>
      <w:r>
        <w:t xml:space="preserve">,</w:t>
      </w:r>
      <w:r>
        <w:t xml:space="preserve"> </w:t>
      </w:r>
      <w:r>
        <w:rPr>
          <w:i/>
          <w:iCs/>
        </w:rPr>
        <w:t xml:space="preserve">68</w:t>
      </w:r>
      <w:r>
        <w:t xml:space="preserve">(1), 79-113. https://doi.org/10.1016/0304-4076(94)01644-F</w:t>
      </w:r>
    </w:p>
    <w:p>
      <w:pPr>
        <w:pStyle w:val="Compact"/>
        <w:numPr>
          <w:ilvl w:val="0"/>
          <w:numId w:val="1008"/>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pStyle w:val="Compact"/>
        <w:numPr>
          <w:ilvl w:val="0"/>
          <w:numId w:val="1008"/>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08"/>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08"/>
        </w:numPr>
      </w:pPr>
      <w:r>
        <w:t xml:space="preserve">Reinhart, C. M., Rogoff, K. S., y Savastano, M. A. (2003). Debt intolerance.</w:t>
      </w:r>
      <w:r>
        <w:t xml:space="preserve"> </w:t>
      </w:r>
      <w:r>
        <w:rPr>
          <w:i/>
          <w:iCs/>
        </w:rPr>
        <w:t xml:space="preserve">Brookings Papers on Economic Activity</w:t>
      </w:r>
      <w:r>
        <w:t xml:space="preserve">,</w:t>
      </w:r>
      <w:r>
        <w:t xml:space="preserve"> </w:t>
      </w:r>
      <w:r>
        <w:rPr>
          <w:i/>
          <w:iCs/>
        </w:rPr>
        <w:t xml:space="preserve">2003</w:t>
      </w:r>
      <w:r>
        <w:t xml:space="preserve">(1), 1-74. https://doi.org/10.1353/eca.2003.0018</w:t>
      </w:r>
    </w:p>
    <w:p>
      <w:pPr>
        <w:pStyle w:val="Compact"/>
        <w:numPr>
          <w:ilvl w:val="0"/>
          <w:numId w:val="1008"/>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08"/>
        </w:numPr>
      </w:pPr>
      <w:r>
        <w:t xml:space="preserve">Rey, H. (2013).</w:t>
      </w:r>
      <w:r>
        <w:t xml:space="preserve"> </w:t>
      </w:r>
      <w:r>
        <w:rPr>
          <w:i/>
          <w:iCs/>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pStyle w:val="Compact"/>
        <w:numPr>
          <w:ilvl w:val="0"/>
          <w:numId w:val="1008"/>
        </w:numPr>
      </w:pPr>
      <w:r>
        <w:t xml:space="preserve">Rigobon, R. (2003). Identification through heteroskedasticity.</w:t>
      </w:r>
      <w:r>
        <w:t xml:space="preserve"> </w:t>
      </w:r>
      <w:r>
        <w:rPr>
          <w:i/>
          <w:iCs/>
        </w:rPr>
        <w:t xml:space="preserve">The Review of Economics and Statistics</w:t>
      </w:r>
      <w:r>
        <w:t xml:space="preserve">,</w:t>
      </w:r>
      <w:r>
        <w:t xml:space="preserve"> </w:t>
      </w:r>
      <w:r>
        <w:rPr>
          <w:i/>
          <w:iCs/>
        </w:rPr>
        <w:t xml:space="preserve">85</w:t>
      </w:r>
      <w:r>
        <w:t xml:space="preserve">(4), 777-792. https://doi.org/10.1162/003465303772815727</w:t>
      </w:r>
    </w:p>
    <w:p>
      <w:pPr>
        <w:pStyle w:val="Compact"/>
        <w:numPr>
          <w:ilvl w:val="0"/>
          <w:numId w:val="1008"/>
        </w:numPr>
      </w:pPr>
      <w:r>
        <w:t xml:space="preserve">Rigobon, R., y Sack, B. (2004). The impact of monetary policy on asset prices.</w:t>
      </w:r>
      <w:r>
        <w:t xml:space="preserve"> </w:t>
      </w:r>
      <w:r>
        <w:rPr>
          <w:i/>
          <w:iCs/>
        </w:rPr>
        <w:t xml:space="preserve">Journal of Monetary Economics</w:t>
      </w:r>
      <w:r>
        <w:t xml:space="preserve">,</w:t>
      </w:r>
      <w:r>
        <w:t xml:space="preserve"> </w:t>
      </w:r>
      <w:r>
        <w:rPr>
          <w:i/>
          <w:iCs/>
        </w:rPr>
        <w:t xml:space="preserve">51</w:t>
      </w:r>
      <w:r>
        <w:t xml:space="preserve">(8), 1553-1575. https://doi.org/10.1016/j.jmoneco.2004.02.004</w:t>
      </w:r>
    </w:p>
    <w:p>
      <w:pPr>
        <w:pStyle w:val="Compact"/>
        <w:numPr>
          <w:ilvl w:val="0"/>
          <w:numId w:val="1008"/>
        </w:numPr>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Compact"/>
        <w:numPr>
          <w:ilvl w:val="0"/>
          <w:numId w:val="1008"/>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08"/>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08"/>
        </w:numPr>
      </w:pPr>
      <w:r>
        <w:t xml:space="preserve">Sargent, T. J., y Wallace, N. (1981). Some unpleasant monetarist arithmetic.</w:t>
      </w:r>
      <w:r>
        <w:t xml:space="preserve"> </w:t>
      </w:r>
      <w:r>
        <w:rPr>
          <w:i/>
          <w:iCs/>
        </w:rPr>
        <w:t xml:space="preserve">Federal Reserve Bank of Minneapolis Quarterly Review</w:t>
      </w:r>
      <w:r>
        <w:t xml:space="preserve">,</w:t>
      </w:r>
      <w:r>
        <w:t xml:space="preserve"> </w:t>
      </w:r>
      <w:r>
        <w:rPr>
          <w:i/>
          <w:iCs/>
        </w:rPr>
        <w:t xml:space="preserve">5</w:t>
      </w:r>
      <w:r>
        <w:t xml:space="preserve">(3), 1-17.</w:t>
      </w:r>
    </w:p>
    <w:p>
      <w:pPr>
        <w:pStyle w:val="Compact"/>
        <w:numPr>
          <w:ilvl w:val="0"/>
          <w:numId w:val="1008"/>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08"/>
        </w:numPr>
      </w:pPr>
      <w:r>
        <w:t xml:space="preserve">Sims, C. A., Stock, J. H., y Watson, M. W. (1990). Inference in linear time series models with some unit roots.</w:t>
      </w:r>
      <w:r>
        <w:t xml:space="preserve"> </w:t>
      </w:r>
      <w:r>
        <w:rPr>
          <w:i/>
          <w:iCs/>
        </w:rPr>
        <w:t xml:space="preserve">Econometrica</w:t>
      </w:r>
      <w:r>
        <w:t xml:space="preserve">,</w:t>
      </w:r>
      <w:r>
        <w:t xml:space="preserve"> </w:t>
      </w:r>
      <w:r>
        <w:rPr>
          <w:i/>
          <w:iCs/>
        </w:rPr>
        <w:t xml:space="preserve">58</w:t>
      </w:r>
      <w:r>
        <w:t xml:space="preserve">(1), 113-144. https://doi.org/10.2307/2938337</w:t>
      </w:r>
    </w:p>
    <w:p>
      <w:pPr>
        <w:pStyle w:val="Compact"/>
        <w:numPr>
          <w:ilvl w:val="0"/>
          <w:numId w:val="1008"/>
        </w:numPr>
      </w:pPr>
      <w:r>
        <w:t xml:space="preserve">Thirlwall, A. P. (1979). The balance of payments constraint as an explanation of international growth rate differences.</w:t>
      </w:r>
      <w:r>
        <w:t xml:space="preserve"> </w:t>
      </w:r>
      <w:r>
        <w:rPr>
          <w:i/>
          <w:iCs/>
        </w:rPr>
        <w:t xml:space="preserve">Banca Nazionale del Lavoro Quarterly Review</w:t>
      </w:r>
      <w:r>
        <w:t xml:space="preserve">,</w:t>
      </w:r>
      <w:r>
        <w:t xml:space="preserve"> </w:t>
      </w:r>
      <w:r>
        <w:rPr>
          <w:i/>
          <w:iCs/>
        </w:rPr>
        <w:t xml:space="preserve">32</w:t>
      </w:r>
      <w:r>
        <w:t xml:space="preserve">(128), 45-53.</w:t>
      </w:r>
    </w:p>
    <w:p>
      <w:pPr>
        <w:pStyle w:val="Compact"/>
        <w:numPr>
          <w:ilvl w:val="0"/>
          <w:numId w:val="1008"/>
        </w:numPr>
      </w:pPr>
      <w:r>
        <w:t xml:space="preserve">Trehan, B., y Walsh, C. E. (1991). Testing intertemporal budget constraints: Theory and applications to U.S. federal budget and current account deficits.</w:t>
      </w:r>
      <w:r>
        <w:t xml:space="preserve"> </w:t>
      </w:r>
      <w:r>
        <w:rPr>
          <w:i/>
          <w:iCs/>
        </w:rPr>
        <w:t xml:space="preserve">Journal of Money, Credit and Banking</w:t>
      </w:r>
      <w:r>
        <w:t xml:space="preserve">,</w:t>
      </w:r>
      <w:r>
        <w:t xml:space="preserve"> </w:t>
      </w:r>
      <w:r>
        <w:rPr>
          <w:i/>
          <w:iCs/>
        </w:rPr>
        <w:t xml:space="preserve">23</w:t>
      </w:r>
      <w:r>
        <w:t xml:space="preserve">(2), 206-223. https://doi.org/10.2307/1992777</w:t>
      </w:r>
    </w:p>
    <w:p>
      <w:pPr>
        <w:pStyle w:val="Compact"/>
        <w:numPr>
          <w:ilvl w:val="0"/>
          <w:numId w:val="1008"/>
        </w:numPr>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Compact"/>
        <w:numPr>
          <w:ilvl w:val="0"/>
          <w:numId w:val="1008"/>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w:t>
      </w:r>
      <w:r>
        <w:t xml:space="preserve"> </w:t>
      </w:r>
      <w:r>
        <w:rPr>
          <w:i/>
          <w:iCs/>
        </w:rPr>
        <w:t xml:space="preserve">9</w:t>
      </w:r>
      <w:r>
        <w:t xml:space="preserve">(número especial 1), 103-124. https://doi.org/10.2478/jcbtp-2020-0025</w:t>
      </w:r>
    </w:p>
    <w:p>
      <w:pPr>
        <w:pStyle w:val="Compact"/>
        <w:numPr>
          <w:ilvl w:val="0"/>
          <w:numId w:val="1008"/>
        </w:numPr>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p>
      <w:pPr>
        <w:pStyle w:val="Compact"/>
        <w:numPr>
          <w:ilvl w:val="0"/>
          <w:numId w:val="1008"/>
        </w:numPr>
      </w:pPr>
      <w:r>
        <w:t xml:space="preserve">Zivot, E., y Andrews, D. W. K. (1992). Further evidence on the great crash, the oil-price shock, and the unit-root hypothesis.</w:t>
      </w:r>
      <w:r>
        <w:t xml:space="preserve"> </w:t>
      </w:r>
      <w:r>
        <w:rPr>
          <w:i/>
          <w:iCs/>
        </w:rPr>
        <w:t xml:space="preserve">Journal of Business and Economic Statistics</w:t>
      </w:r>
      <w:r>
        <w:t xml:space="preserve">,</w:t>
      </w:r>
      <w:r>
        <w:t xml:space="preserve"> </w:t>
      </w:r>
      <w:r>
        <w:rPr>
          <w:i/>
          <w:iCs/>
        </w:rPr>
        <w:t xml:space="preserve">10</w:t>
      </w:r>
      <w:r>
        <w:t xml:space="preserve">(3), 251-270. https://doi.org/10.1080/07350015.1992.10509904</w:t>
      </w:r>
    </w:p>
    <w:p>
      <w:r>
        <w:pict>
          <v:rect style="width:0;height:1.5pt" o:hralign="center" o:hrstd="t" o:hr="t"/>
        </w:pict>
      </w:r>
    </w:p>
    <w:bookmarkEnd w:id="124"/>
    <w:bookmarkStart w:id="131" w:name="X94fa00cbba88d80644c76c995e4abd03512405e"/>
    <w:p>
      <w:pPr>
        <w:pStyle w:val="Heading1"/>
      </w:pPr>
      <w:r>
        <w:t xml:space="preserve">Notas para el grupo (no forman parte del texto de la tesis)</w:t>
      </w:r>
    </w:p>
    <w:bookmarkStart w:id="125" w:name="Xe7002bb9638089656e0a1b406a1cb785342ca29"/>
    <w:p>
      <w:pPr>
        <w:pStyle w:val="Heading2"/>
      </w:pPr>
      <w:r>
        <w:t xml:space="preserve">Nota 1. Criterio de H1b (actualizado el 12/10/2026)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
          <w:bCs/>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
          <w:bCs/>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
          <w:bCs/>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25"/>
    <w:bookmarkStart w:id="126"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0,504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que excluyen el cero (Capítulo 6).</w:t>
      </w:r>
    </w:p>
    <w:bookmarkEnd w:id="126"/>
    <w:bookmarkStart w:id="127" w:name="Xdc62a78a0129496ecd1fbc5ea8002834bc8b4bf"/>
    <w:p>
      <w:pPr>
        <w:pStyle w:val="Heading2"/>
      </w:pPr>
      <w:r>
        <w:t xml:space="preserve">Nota 3. Cambios respecto de la versión anterior del texto</w:t>
      </w:r>
    </w:p>
    <w:p>
      <w:pPr>
        <w:pStyle w:val="FirstParagraph"/>
      </w:pPr>
      <w:r>
        <w:rPr>
          <w:b/>
          <w:bCs/>
        </w:rPr>
        <w:t xml:space="preserve">Introducción:</w:t>
      </w:r>
    </w:p>
    <w:p>
      <w:pPr>
        <w:pStyle w:val="Compact"/>
        <w:numPr>
          <w:ilvl w:val="0"/>
          <w:numId w:val="1009"/>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09"/>
        </w:numPr>
      </w:pPr>
      <w:r>
        <w:rPr>
          <w:b/>
          <w:bCs/>
        </w:rPr>
        <w:t xml:space="preserve">Citas corregidas:</w:t>
      </w:r>
    </w:p>
    <w:p>
      <w:pPr>
        <w:pStyle w:val="Compact"/>
        <w:numPr>
          <w:ilvl w:val="1"/>
          <w:numId w:val="1010"/>
        </w:numPr>
      </w:pPr>
      <w:r>
        <w:t xml:space="preserve">Reinhart et al. (2003) se usa ahora para la intolerancia a la deuda.</w:t>
      </w:r>
    </w:p>
    <w:p>
      <w:pPr>
        <w:pStyle w:val="Compact"/>
        <w:numPr>
          <w:ilvl w:val="1"/>
          <w:numId w:val="1010"/>
        </w:numPr>
      </w:pPr>
      <w:r>
        <w:t xml:space="preserve">Mendoza y Oviedo (2009), para la incertidumbre y el límite de deuda.</w:t>
      </w:r>
    </w:p>
    <w:p>
      <w:pPr>
        <w:pStyle w:val="Compact"/>
        <w:numPr>
          <w:ilvl w:val="1"/>
          <w:numId w:val="1010"/>
        </w:numPr>
      </w:pPr>
      <w:r>
        <w:t xml:space="preserve">La fatiga fiscal pasa a Ghosh et al. (2013).</w:t>
      </w:r>
    </w:p>
    <w:p>
      <w:pPr>
        <w:pStyle w:val="Compact"/>
        <w:numPr>
          <w:ilvl w:val="1"/>
          <w:numId w:val="1010"/>
        </w:numPr>
      </w:pPr>
      <w:r>
        <w:t xml:space="preserve">Ando et al. queda con año 2025.</w:t>
      </w:r>
    </w:p>
    <w:p>
      <w:pPr>
        <w:pStyle w:val="Compact"/>
        <w:numPr>
          <w:ilvl w:val="1"/>
          <w:numId w:val="1010"/>
        </w:numPr>
      </w:pPr>
      <w:r>
        <w:t xml:space="preserve">Se sacan Garud y la tesis propia.</w:t>
      </w:r>
    </w:p>
    <w:p>
      <w:pPr>
        <w:pStyle w:val="Compact"/>
        <w:numPr>
          <w:ilvl w:val="0"/>
          <w:numId w:val="1009"/>
        </w:numPr>
      </w:pPr>
      <w:r>
        <w:rPr>
          <w:b/>
          <w:bCs/>
        </w:rPr>
        <w:t xml:space="preserve">Canal cuasifiscal del shock de la FED:</w:t>
      </w:r>
      <w:r>
        <w:t xml:space="preserve"> </w:t>
      </w:r>
      <w:r>
        <w:t xml:space="preserve">se redacta en pasado.</w:t>
      </w:r>
    </w:p>
    <w:p>
      <w:pPr>
        <w:pStyle w:val="Compact"/>
        <w:numPr>
          <w:ilvl w:val="0"/>
          <w:numId w:val="1009"/>
        </w:numPr>
      </w:pPr>
      <w:r>
        <w:rPr>
          <w:b/>
          <w:bCs/>
        </w:rPr>
        <w:t xml:space="preserve">Pregunta e hipótesis:</w:t>
      </w:r>
      <w:r>
        <w:t xml:space="preserve"> </w:t>
      </w:r>
      <w:r>
        <w:t xml:space="preserve">se acorta la pregunta, se agregan seis objetivos específicos, y H1a mantiene su concepto central con un criterio de contraste explícito (Capítulo 4).</w:t>
      </w:r>
    </w:p>
    <w:p>
      <w:pPr>
        <w:pStyle w:val="Compact"/>
        <w:numPr>
          <w:ilvl w:val="0"/>
          <w:numId w:val="1009"/>
        </w:numPr>
      </w:pPr>
      <w:r>
        <w:rPr>
          <w:b/>
          <w:bCs/>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los datos empiezan en 1999.</w:t>
      </w:r>
    </w:p>
    <w:p>
      <w:pPr>
        <w:pStyle w:val="Compact"/>
        <w:numPr>
          <w:ilvl w:val="0"/>
          <w:numId w:val="1009"/>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11"/>
        </w:numPr>
      </w:pPr>
      <w:r>
        <w:rPr>
          <w:b/>
          <w:bCs/>
        </w:rPr>
        <w:t xml:space="preserve">Fusión con el texto LaTeX:</w:t>
      </w:r>
      <w:r>
        <w:t xml:space="preserve"> </w:t>
      </w:r>
      <w:r>
        <w:t xml:space="preserve">se fusionaron los ocho ejes del LaTeX con la versión anterior, incluido el párrafo sobre Everaert y Jansen.</w:t>
      </w:r>
    </w:p>
    <w:p>
      <w:pPr>
        <w:pStyle w:val="Compact"/>
        <w:numPr>
          <w:ilvl w:val="0"/>
          <w:numId w:val="1011"/>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11"/>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12"/>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
          <w:iCs/>
        </w:rPr>
        <w:t xml:space="preserve">shocks</w:t>
      </w:r>
      <w:r>
        <w:t xml:space="preserve"> </w:t>
      </w:r>
      <w:r>
        <w:t xml:space="preserve">identificados cuyo resultado es la métrica del FMI sobre su propio perímetro y escenario, con el perímetro consolidado como extensión.</w:t>
      </w:r>
    </w:p>
    <w:p>
      <w:pPr>
        <w:pStyle w:val="Compact"/>
        <w:numPr>
          <w:ilvl w:val="0"/>
          <w:numId w:val="1012"/>
        </w:numPr>
      </w:pPr>
      <w:r>
        <w:rPr>
          <w:b/>
          <w:bCs/>
        </w:rPr>
        <w:t xml:space="preserve">Párrafo cortado:</w:t>
      </w:r>
      <w:r>
        <w:t xml:space="preserve"> </w:t>
      </w:r>
      <w:r>
        <w:t xml:space="preserve">el párrafo sobre la subordinación del BCRA, que estaba cortado, se completó y quedó marcado para verificar.</w:t>
      </w:r>
    </w:p>
    <w:bookmarkEnd w:id="127"/>
    <w:bookmarkStart w:id="128" w:name="X5356dde57f307558a0c9819d9bda278c8d20a6f"/>
    <w:p>
      <w:pPr>
        <w:pStyle w:val="Heading2"/>
      </w:pPr>
      <w:r>
        <w:t xml:space="preserve">Nota 3b. Qué se hizo con cada comentario de Pablo y cada punto de la propuesta metodológica</w:t>
      </w:r>
    </w:p>
    <w:p>
      <w:pPr>
        <w:pStyle w:val="FirstParagraph"/>
      </w:pPr>
      <w:r>
        <w:rPr>
          <w:b/>
          <w:bCs/>
        </w:rPr>
        <w:t xml:space="preserve">Comentarios de Pablo sobre Introducción y Antecedentes (PDF anotado del 15/9/2026)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Comentario</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Dar citas para el patrón histórico de crisis de deuda</w:t>
            </w:r>
          </w:p>
        </w:tc>
        <w:tc>
          <w:tcPr/>
          <w:p>
            <w:pPr>
              <w:pStyle w:val="Compact"/>
            </w:pPr>
            <w:r>
              <w:rPr>
                <w:rFonts w:ascii="Calibri" w:hAnsi="Calibri"/>
                <w:sz w:val="20"/>
              </w:rPr>
              <w:t xml:space="preserve">Comín Comín (2014), Reinhart y Rogoff (2009), Díaz Alejandro (1970), della Paolera y Taylor (2001), Rapoport (2020)</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La frase sobre que la solvencia no depende solo del saldo fiscal necesita cita</w:t>
            </w:r>
          </w:p>
        </w:tc>
        <w:tc>
          <w:tcPr/>
          <w:p>
            <w:pPr>
              <w:pStyle w:val="Compact"/>
            </w:pPr>
            <w:r>
              <w:rPr>
                <w:rFonts w:ascii="Calibri" w:hAnsi="Calibri"/>
                <w:sz w:val="20"/>
              </w:rPr>
              <w:t xml:space="preserve">Ando et al. (2025), Calvo et al. (2003), Levy Yeyati y Sturzenegger (2023)</w:t>
            </w:r>
          </w:p>
        </w:tc>
        <w:tc>
          <w:tcPr/>
          <w:p>
            <w:pPr>
              <w:pStyle w:val="Compact"/>
            </w:pPr>
            <w:r>
              <w:rPr>
                <w:rFonts w:ascii="Calibri" w:hAnsi="Calibri"/>
                <w:sz w:val="20"/>
              </w:rPr>
              <w:t xml:space="preserve">1.2</w:t>
            </w:r>
          </w:p>
        </w:tc>
      </w:tr>
      <w:tr>
        <w:tc>
          <w:tcPr/>
          <w:p>
            <w:pPr>
              <w:pStyle w:val="Compac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“reabre un interrogante decisivo”</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“Frente a este dilema”</w:t>
            </w:r>
          </w:p>
        </w:tc>
        <w:tc>
          <w:tcPr/>
          <w:p>
            <w:pPr>
              <w:pStyle w:val="Compact"/>
            </w:pPr>
            <w:r>
              <w:rPr>
                <w:rFonts w:ascii="Calibri" w:hAnsi="Calibri"/>
                <w:sz w:val="20"/>
              </w:rPr>
              <w:t xml:space="preserve">Reescrito</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Sacar la parte de</w:t>
            </w:r>
            <w:r>
              <w:rPr>
                <w:rFonts w:ascii="Calibri" w:hAnsi="Calibri"/>
                <w:sz w:val="20"/>
              </w:rPr>
              <w:t xml:space="preserve"> </w:t>
            </w:r>
            <w:r>
              <w:rPr>
                <w:rFonts w:ascii="Calibri" w:hAnsi="Calibri"/>
                <w:sz w:val="20"/>
              </w:rPr>
              <w:t xml:space="preserve">“margen de solvencia para honrar los compromisos”</w:t>
            </w:r>
            <w:r>
              <w:rPr>
                <w:rFonts w:ascii="Calibri" w:hAnsi="Calibri"/>
                <w:sz w:val="20"/>
              </w:rPr>
              <w:t xml:space="preserve"> </w:t>
            </w:r>
            <w:r>
              <w:rPr>
                <w:rFonts w:ascii="Calibri" w:hAnsi="Calibri"/>
                <w:sz w:val="20"/>
              </w:rPr>
              <w:t xml:space="preserve">del objetivo</w:t>
            </w:r>
          </w:p>
        </w:tc>
        <w:tc>
          <w:tcPr/>
          <w:p>
            <w:pPr>
              <w:pStyle w:val="Compact"/>
            </w:pPr>
            <w:r>
              <w:rPr>
                <w:rFonts w:ascii="Calibri" w:hAnsi="Calibri"/>
                <w:sz w:val="20"/>
              </w:rPr>
              <w:t xml:space="preserve">Sacada; el objetivo quedó en evaluar la dinámica y estimar la probabilidad de no estabilización</w:t>
            </w:r>
          </w:p>
        </w:tc>
        <w:tc>
          <w:tcPr/>
          <w:p>
            <w:pPr>
              <w:pStyle w:val="Compact"/>
            </w:pPr>
            <w:r>
              <w:rPr>
                <w:rFonts w:ascii="Calibri" w:hAnsi="Calibri"/>
                <w:sz w:val="20"/>
              </w:rPr>
              <w:t xml:space="preserve">1.4</w:t>
            </w:r>
          </w:p>
        </w:tc>
      </w:tr>
      <w:tr>
        <w:tc>
          <w:tcPr/>
          <w:p>
            <w:pPr>
              <w:pStyle w:val="Compact"/>
            </w:pPr>
            <w:r>
              <w:rPr>
                <w:rFonts w:ascii="Calibri" w:hAnsi="Calibri"/>
                <w:sz w:val="20"/>
              </w:rPr>
              <w:t xml:space="preserve">No escribir entre rayas (delata la IA)</w:t>
            </w:r>
          </w:p>
        </w:tc>
        <w:tc>
          <w:tcPr/>
          <w:p>
            <w:pPr>
              <w:pStyle w:val="Compact"/>
            </w:pPr>
            <w:r>
              <w:rPr>
                <w:rFonts w:ascii="Calibri" w:hAnsi="Calibri"/>
                <w:sz w:val="20"/>
              </w:rPr>
              <w:t xml:space="preserve">No queda ninguna raya en la tesis</w:t>
            </w:r>
          </w:p>
        </w:tc>
        <w:tc>
          <w:tcPr/>
          <w:p>
            <w:pPr>
              <w:pStyle w:val="Compact"/>
            </w:pPr>
            <w:r>
              <w:rPr>
                <w:rFonts w:ascii="Calibri" w:hAnsi="Calibri"/>
                <w:sz w:val="20"/>
              </w:rPr>
              <w:t xml:space="preserve">Todo el texto</w:t>
            </w:r>
          </w:p>
        </w:tc>
      </w:tr>
      <w:tr>
        <w:tc>
          <w:tcPr/>
          <w:p>
            <w:pPr>
              <w:pStyle w:val="Compact"/>
            </w:pPr>
            <w:r>
              <w:rPr>
                <w:rFonts w:ascii="Calibri" w:hAnsi="Calibri"/>
                <w:i/>
                <w:iCs/>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rFonts w:ascii="Calibri" w:hAnsi="Calibri"/>
                <w:i/>
                <w:iCs/>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pPr>
            <w:r>
              <w:rPr>
                <w:rFonts w:ascii="Calibri" w:hAnsi="Calibri"/>
                <w:sz w:val="20"/>
              </w:rPr>
              <w:t xml:space="preserve">Hecho</w:t>
            </w:r>
          </w:p>
        </w:tc>
        <w:tc>
          <w:tcPr/>
          <w:p>
            <w:pPr>
              <w:pStyle w:val="Compact"/>
            </w:pPr>
            <w:r>
              <w:rPr>
                <w:rFonts w:ascii="Calibri" w:hAnsi="Calibri"/>
                <w:sz w:val="20"/>
              </w:rPr>
              <w:t xml:space="preserve">Introducción y 2.5</w:t>
            </w:r>
          </w:p>
        </w:tc>
      </w:tr>
      <w:tr>
        <w:tc>
          <w:tcPr/>
          <w:p>
            <w:pPr>
              <w:pStyle w:val="Compac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“de 36,5% a 50,8%”</w:t>
            </w:r>
          </w:p>
        </w:tc>
        <w:tc>
          <w:tcPr/>
          <w:p>
            <w:pPr>
              <w:pStyle w:val="Compact"/>
            </w:pPr>
            <w:r>
              <w:rPr>
                <w:rFonts w:ascii="Calibri" w:hAnsi="Calibri"/>
                <w:sz w:val="20"/>
              </w:rPr>
              <w:t xml:space="preserve">Sacado</w:t>
            </w:r>
          </w:p>
        </w:tc>
        <w:tc>
          <w:tcPr/>
          <w:p>
            <w:pPr>
              <w:pStyle w:val="Compact"/>
            </w:pPr>
            <w:r>
              <w:rPr>
                <w:rFonts w:ascii="Calibri" w:hAnsi="Calibri"/>
                <w:sz w:val="20"/>
              </w:rPr>
              <w:t xml:space="preserve">2.7</w:t>
            </w:r>
          </w:p>
        </w:tc>
      </w:tr>
      <w:tr>
        <w:tc>
          <w:tcPr/>
          <w:p>
            <w:pPr>
              <w:pStyle w:val="Compact"/>
            </w:pPr>
            <w:r>
              <w:rPr>
                <w:rFonts w:ascii="Calibri" w:hAnsi="Calibri"/>
                <w:sz w:val="20"/>
              </w:rPr>
              <w:t xml:space="preserve">Cerrar Antecedentes con por qué esta metodología y estas variables (no se probó, cambió el contexto, hay una variable nueva)</w:t>
            </w:r>
          </w:p>
        </w:tc>
        <w:tc>
          <w:tcPr/>
          <w:p>
            <w:pPr>
              <w:pStyle w:val="Compac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pPr>
            <w:r>
              <w:rPr>
                <w:rFonts w:ascii="Calibri" w:hAnsi="Calibri"/>
                <w:sz w:val="20"/>
              </w:rPr>
              <w:t xml:space="preserve">2.9</w:t>
            </w:r>
          </w:p>
        </w:tc>
      </w:tr>
    </w:tbl>
    <w:p>
      <w:pPr>
        <w:pStyle w:val="BodyText"/>
      </w:pPr>
      <w:r>
        <w:rPr>
          <w:b/>
          <w:bCs/>
        </w:rPr>
        <w:t xml:space="preserve">Decisiones de reuniones con Pablo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Decisión</w:t>
            </w:r>
          </w:p>
        </w:tc>
        <w:tc>
          <w:tcPr/>
          <w:p>
            <w:pPr>
              <w:pStyle w:val="Compact"/>
            </w:pPr>
            <w:r>
              <w:rPr>
                <w:rFonts w:ascii="Calibri" w:hAnsi="Calibri"/>
                <w:sz w:val="20"/>
              </w:rPr>
              <w:t xml:space="preserve">Cómo quedó</w:t>
            </w:r>
          </w:p>
        </w:tc>
      </w:tr>
      <w:tr>
        <w:tc>
          <w:tcPr/>
          <w:p>
            <w:pPr>
              <w:pStyle w:val="Compact"/>
            </w:pPr>
            <w:r>
              <w:rPr>
                <w:rFonts w:ascii="Calibri" w:hAnsi="Calibri"/>
                <w:sz w:val="20"/>
              </w:rPr>
              <w:t xml:space="preserve">No nombrar la</w:t>
            </w:r>
            <w:r>
              <w:rPr>
                <w:rFonts w:ascii="Calibri" w:hAnsi="Calibri"/>
                <w:sz w:val="20"/>
              </w:rPr>
              <w:t xml:space="preserve"> </w:t>
            </w:r>
            <w:r>
              <w:rPr>
                <w:rFonts w:ascii="Calibri" w:hAnsi="Calibri"/>
                <w:sz w:val="20"/>
              </w:rPr>
              <w:t xml:space="preserve">“ventana única”</w:t>
            </w:r>
            <w:r>
              <w:rPr>
                <w:rFonts w:ascii="Calibri" w:hAnsi="Calibri"/>
                <w:sz w:val="20"/>
              </w:rPr>
              <w:t xml:space="preserve"> </w:t>
            </w:r>
            <w:r>
              <w:rPr>
                <w:rFonts w:ascii="Calibri" w:hAnsi="Calibri"/>
                <w:sz w:val="20"/>
              </w:rPr>
              <w:t xml:space="preserve">(18/9)</w:t>
            </w:r>
          </w:p>
        </w:tc>
        <w:tc>
          <w:tcPr/>
          <w:p>
            <w:pPr>
              <w:pStyle w:val="Compact"/>
            </w:pPr>
            <w:r>
              <w:rPr>
                <w:rFonts w:ascii="Calibri" w:hAnsi="Calibri"/>
                <w:sz w:val="20"/>
              </w:rPr>
              <w:t xml:space="preserve">No aparece; se habla de</w:t>
            </w:r>
            <w:r>
              <w:rPr>
                <w:rFonts w:ascii="Calibri" w:hAnsi="Calibri"/>
                <w:sz w:val="20"/>
              </w:rPr>
              <w:t xml:space="preserve"> </w:t>
            </w:r>
            <w:r>
              <w:rPr>
                <w:rFonts w:ascii="Calibri" w:hAnsi="Calibri"/>
                <w:sz w:val="20"/>
              </w:rPr>
              <w:t xml:space="preserve">“muestra de estimación”</w:t>
            </w:r>
          </w:p>
        </w:tc>
      </w:tr>
      <w:tr>
        <w:tc>
          <w:tcPr/>
          <w:p>
            <w:pPr>
              <w:pStyle w:val="Compact"/>
            </w:pPr>
            <w:r>
              <w:rPr>
                <w:rFonts w:ascii="Calibri" w:hAnsi="Calibri"/>
                <w:sz w:val="20"/>
              </w:rPr>
              <w:t xml:space="preserve">No discutir en el texto si el riesgo país es endógeno (17/9)</w:t>
            </w:r>
          </w:p>
        </w:tc>
        <w:tc>
          <w:tcPr/>
          <w:p>
            <w:pPr>
              <w:pStyle w:val="Compact"/>
            </w:pPr>
            <w:r>
              <w:rPr>
                <w:rFonts w:ascii="Calibri" w:hAnsi="Calibri"/>
                <w:sz w:val="20"/>
              </w:rPr>
              <w:t xml:space="preserve">No aparece; queda como respuesta oral en la guía de defensa</w:t>
            </w:r>
          </w:p>
        </w:tc>
      </w:tr>
      <w:tr>
        <w:tc>
          <w:tcPr/>
          <w:p>
            <w:pPr>
              <w:pStyle w:val="Compac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“donde gira todo”</w:t>
            </w:r>
          </w:p>
        </w:tc>
        <w:tc>
          <w:tcPr/>
          <w:p>
            <w:pPr>
              <w:pStyle w:val="Compact"/>
            </w:pPr>
            <w:r>
              <w:rPr>
                <w:rFonts w:ascii="Calibri" w:hAnsi="Calibri"/>
                <w:sz w:val="20"/>
              </w:rPr>
              <w:t xml:space="preserve">Secciones 4.4 (identificación) y 4.3 (canales de la FED)</w:t>
            </w:r>
          </w:p>
        </w:tc>
      </w:tr>
      <w:tr>
        <w:tc>
          <w:tcPr/>
          <w:p>
            <w:pPr>
              <w:pStyle w:val="Compact"/>
            </w:pPr>
            <w:r>
              <w:rPr>
                <w:rFonts w:ascii="Calibri" w:hAnsi="Calibri"/>
                <w:sz w:val="20"/>
              </w:rPr>
              <w:t xml:space="preserve">Panel Argentina-Chile como 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Bajar la extensión</w:t>
            </w:r>
          </w:p>
        </w:tc>
        <w:tc>
          <w:tcPr/>
          <w:p>
            <w:pPr>
              <w:pStyle w:val="Compact"/>
            </w:pPr>
            <w:r>
              <w:rPr>
                <w:rFonts w:ascii="Calibri" w:hAnsi="Calibri"/>
                <w:sz w:val="20"/>
              </w:rPr>
              <w:t xml:space="preserve">La tabla completa de robustez pasó al Apéndice (A.8) y los ejes 2, 3 y 8 de Antecedentes se redujeron a lo esencial</w:t>
            </w:r>
          </w:p>
        </w:tc>
      </w:tr>
    </w:tbl>
    <w:p>
      <w:pPr>
        <w:pStyle w:val="BodyText"/>
      </w:pPr>
      <w:r>
        <w:rPr>
          <w:b/>
          <w:bCs/>
        </w:rPr>
        <w:t xml:space="preserve">Propuesta metodológica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Propuesta</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ADF y KPSS para raíz unitaria, Zivot-Andrews y Bai-Perron para quiebres</w:t>
            </w:r>
          </w:p>
        </w:tc>
        <w:tc>
          <w:tcPr/>
          <w:p>
            <w:pPr>
              <w:pStyle w:val="Compact"/>
            </w:pPr>
            <w:r>
              <w:rPr>
                <w:rFonts w:ascii="Calibri" w:hAnsi="Calibri"/>
                <w:sz w:val="20"/>
              </w:rPr>
              <w:t xml:space="preserve">Hecho; los quiebres de Bai-Perron entran como variables binarias</w:t>
            </w:r>
          </w:p>
        </w:tc>
        <w:tc>
          <w:tcPr/>
          <w:p>
            <w:pPr>
              <w:pStyle w:val="Compact"/>
            </w:pPr>
            <w:r>
              <w:rPr>
                <w:rFonts w:ascii="Calibri" w:hAnsi="Calibri"/>
                <w:sz w:val="20"/>
              </w:rPr>
              <w:t xml:space="preserve">4.2, 6.1 y A.1</w:t>
            </w:r>
          </w:p>
        </w:tc>
      </w:tr>
      <w:tr>
        <w:tc>
          <w:tcPr/>
          <w:p>
            <w:pPr>
              <w:pStyle w:val="Compact"/>
            </w:pPr>
            <w:r>
              <w:rPr>
                <w:rFonts w:ascii="Calibri" w:hAnsi="Calibri"/>
                <w:sz w:val="20"/>
              </w:rPr>
              <w:t xml:space="preserve">Selección de rezagos por AIC y BIC con residuos sin autocorrelación</w:t>
            </w:r>
          </w:p>
        </w:tc>
        <w:tc>
          <w:tcPr/>
          <w:p>
            <w:pPr>
              <w:pStyle w:val="Compac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se usan 2 rezagos (Portmanteau p = 0,296), el mismo orden que elige Hannan-Quinn</w:t>
            </w:r>
          </w:p>
        </w:tc>
        <w:tc>
          <w:tcPr/>
          <w:p>
            <w:pPr>
              <w:pStyle w:val="Compact"/>
            </w:pPr>
            <w:r>
              <w:rPr>
                <w:rFonts w:ascii="Calibri" w:hAnsi="Calibri"/>
                <w:sz w:val="20"/>
              </w:rPr>
              <w:t xml:space="preserve">4.5 y A.3</w:t>
            </w:r>
          </w:p>
        </w:tc>
      </w:tr>
      <w:tr>
        <w:tc>
          <w:tcPr/>
          <w:p>
            <w:pPr>
              <w:pStyle w:val="Compact"/>
            </w:pPr>
            <w:r>
              <w:rPr>
                <w:rFonts w:ascii="Calibri" w:hAnsi="Calibri"/>
                <w:sz w:val="20"/>
              </w:rPr>
              <w:t xml:space="preserve">Variables binarias por quiebres</w:t>
            </w:r>
          </w:p>
        </w:tc>
        <w:tc>
          <w:tcPr/>
          <w:p>
            <w:pPr>
              <w:pStyle w:val="Compact"/>
            </w:pPr>
            <w:r>
              <w:rPr>
                <w:rFonts w:ascii="Calibri" w:hAnsi="Calibri"/>
                <w:sz w:val="20"/>
              </w:rPr>
              <w:t xml:space="preserve">Hecho</w:t>
            </w:r>
          </w:p>
        </w:tc>
        <w:tc>
          <w:tcPr/>
          <w:p>
            <w:pPr>
              <w:pStyle w:val="Compact"/>
            </w:pPr>
            <w:r>
              <w:rPr>
                <w:rFonts w:ascii="Calibri" w:hAnsi="Calibri"/>
                <w:sz w:val="20"/>
              </w:rPr>
              <w:t xml:space="preserve">4.2</w:t>
            </w:r>
          </w:p>
        </w:tc>
      </w:tr>
      <w:tr>
        <w:tc>
          <w:tcPr/>
          <w:p>
            <w:pPr>
              <w:pStyle w:val="Compac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“esponja contable”</w:t>
            </w:r>
            <w:r>
              <w:rPr>
                <w:rFonts w:ascii="Calibri" w:hAnsi="Calibri"/>
                <w:sz w:val="20"/>
              </w:rPr>
              <w:t xml:space="preserve"> </w:t>
            </w:r>
            <w:r>
              <w:rPr>
                <w:rFonts w:ascii="Calibri" w:hAnsi="Calibri"/>
                <w:sz w:val="20"/>
              </w:rPr>
              <w:t xml:space="preserve">(retroalimentación)</w:t>
            </w:r>
          </w:p>
        </w:tc>
        <w:tc>
          <w:tcPr/>
          <w:p>
            <w:pPr>
              <w:pStyle w:val="Compac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sube el EMBI+ 15,5 puntos básicos, con un intervalo de 90% que incluye el cero (−4,2 a 29,7)</w:t>
            </w:r>
          </w:p>
        </w:tc>
        <w:tc>
          <w:tcPr/>
          <w:p>
            <w:pPr>
              <w:pStyle w:val="Compact"/>
            </w:pPr>
            <w:r>
              <w:rPr>
                <w:rFonts w:ascii="Calibri" w:hAnsi="Calibri"/>
                <w:sz w:val="20"/>
              </w:rPr>
              <w:t xml:space="preserve">6.1</w:t>
            </w:r>
          </w:p>
        </w:tc>
      </w:tr>
      <w:tr>
        <w:tc>
          <w:tcPr/>
          <w:p>
            <w:pPr>
              <w:pStyle w:val="Compact"/>
            </w:pPr>
            <w:r>
              <w:rPr>
                <w:rFonts w:ascii="Calibri" w:hAnsi="Calibri"/>
                <w:sz w:val="20"/>
              </w:rPr>
              <w:t xml:space="preserve">Contraste con y sin retroalimentación</w:t>
            </w:r>
          </w:p>
        </w:tc>
        <w:tc>
          <w:tcPr/>
          <w:p>
            <w:pPr>
              <w:pStyle w:val="Compact"/>
            </w:pPr>
            <w:r>
              <w:rPr>
                <w:rFonts w:ascii="Calibri" w:hAnsi="Calibri"/>
                <w:sz w:val="20"/>
              </w:rPr>
              <w:t xml:space="preserve">Hecho: sin retroalimentación, la probabilidad de no estabilización de 2031 es 31,4%, frente a 32,8% con ella</w:t>
            </w:r>
          </w:p>
        </w:tc>
        <w:tc>
          <w:tcPr/>
          <w:p>
            <w:pPr>
              <w:pStyle w:val="Compact"/>
            </w:pPr>
            <w:r>
              <w:rPr>
                <w:rFonts w:ascii="Calibri" w:hAnsi="Calibri"/>
                <w:sz w:val="20"/>
              </w:rPr>
              <w:t xml:space="preserve">6.6 y A.8</w:t>
            </w:r>
          </w:p>
        </w:tc>
      </w:tr>
      <w:tr>
        <w:tc>
          <w:tcPr/>
          <w:p>
            <w:pPr>
              <w:pStyle w:val="Compact"/>
            </w:pPr>
            <w:r>
              <w:rPr>
                <w:rFonts w:ascii="Calibri" w:hAnsi="Calibri"/>
                <w:sz w:val="20"/>
              </w:rPr>
              <w:t xml:space="preserve">Cholesky con orden crecimiento, TCRM, EMBI+, resultado primario</w:t>
            </w:r>
          </w:p>
        </w:tc>
        <w:tc>
          <w:tcPr/>
          <w:p>
            <w:pPr>
              <w:pStyle w:val="Compact"/>
            </w:pPr>
            <w:r>
              <w:rPr>
                <w:rFonts w:ascii="Calibri" w:hAnsi="Calibri"/>
                <w:sz w:val="20"/>
              </w:rPr>
              <w:t xml:space="preserve">Como robustez; la identificación principal es Blanchard y Perotti, la que validaron Pablo y el equipo</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Opción B: tasa en dólares desde el EMBI+ y tasa en pesos aparte</w:t>
            </w:r>
          </w:p>
        </w:tc>
        <w:tc>
          <w:tcPr/>
          <w:p>
            <w:pPr>
              <w:pStyle w:val="Compact"/>
            </w:pPr>
            <w:r>
              <w:rPr>
                <w:rFonts w:ascii="Calibri" w:hAnsi="Calibri"/>
                <w:sz w:val="20"/>
              </w:rPr>
              <w:t xml:space="preserve">Es la especificación principal; la variante con el riesgo país en la tasa en pesos se informa como robustez</w:t>
            </w:r>
          </w:p>
        </w:tc>
        <w:tc>
          <w:tcPr/>
          <w:p>
            <w:pPr>
              <w:pStyle w:val="Compact"/>
            </w:pPr>
            <w:r>
              <w:rPr>
                <w:rFonts w:ascii="Calibri" w:hAnsi="Calibri"/>
                <w:sz w:val="20"/>
              </w:rPr>
              <w:t xml:space="preserve">4.6 y 6.6</w:t>
            </w:r>
          </w:p>
        </w:tc>
      </w:tr>
      <w:tr>
        <w:tc>
          <w:tcPr/>
          <w:p>
            <w:pPr>
              <w:pStyle w:val="Compact"/>
            </w:pPr>
            <w:r>
              <w:rPr>
                <w:rFonts w:ascii="Calibri" w:hAnsi="Calibri"/>
                <w:sz w:val="20"/>
              </w:rPr>
              <w:t xml:space="preserve">Shock de la FED con la tasa sombra</w:t>
            </w:r>
          </w:p>
        </w:tc>
        <w:tc>
          <w:tcPr/>
          <w:p>
            <w:pPr>
              <w:pStyle w:val="Compact"/>
            </w:pPr>
            <w:r>
              <w:rPr>
                <w:rFonts w:ascii="Calibri" w:hAnsi="Calibri"/>
                <w:sz w:val="20"/>
              </w:rPr>
              <w:t xml:space="preserve">Hecho (Wu y Xia, 2016), con el empalme de 2022T1 calculado con la tasa efectiva en ambos trimestres</w:t>
            </w:r>
          </w:p>
        </w:tc>
        <w:tc>
          <w:tcPr/>
          <w:p>
            <w:pPr>
              <w:pStyle w:val="Compact"/>
            </w:pPr>
            <w:r>
              <w:rPr>
                <w:rFonts w:ascii="Calibri" w:hAnsi="Calibri"/>
                <w:sz w:val="20"/>
              </w:rPr>
              <w:t xml:space="preserve">5.4</w:t>
            </w:r>
          </w:p>
        </w:tc>
      </w:tr>
      <w:tr>
        <w:tc>
          <w:tcPr/>
          <w:p>
            <w:pPr>
              <w:pStyle w:val="Compact"/>
            </w:pPr>
            <w:r>
              <w:rPr>
                <w:rFonts w:ascii="Calibri" w:hAnsi="Calibri"/>
                <w:sz w:val="20"/>
              </w:rPr>
              <w:t xml:space="preserve">Shocks de la FED identificados por la literatura (alta frecuencia)</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Términos de intercambio (Lanteri, 2019)</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Probabilidad de que la deuda supere 100% del PIB</w:t>
            </w:r>
          </w:p>
        </w:tc>
        <w:tc>
          <w:tcPr/>
          <w:p>
            <w:pPr>
              <w:pStyle w:val="Compact"/>
            </w:pPr>
            <w:r>
              <w:rPr>
                <w:rFonts w:ascii="Calibri" w:hAnsi="Calibri"/>
                <w:sz w:val="20"/>
              </w:rPr>
              <w:t xml:space="preserve">Reemplazada por la métrica del FMI, porque el 100% no tiene fuente</w:t>
            </w:r>
          </w:p>
        </w:tc>
        <w:tc>
          <w:tcPr/>
          <w:p>
            <w:pPr>
              <w:pStyle w:val="Compact"/>
            </w:pPr>
            <w:r>
              <w:rPr>
                <w:rFonts w:ascii="Calibri" w:hAnsi="Calibri"/>
                <w:sz w:val="20"/>
              </w:rPr>
              <w:t xml:space="preserve">4.7</w:t>
            </w:r>
          </w:p>
        </w:tc>
      </w:tr>
      <w:tr>
        <w:tc>
          <w:tcPr/>
          <w:p>
            <w:pPr>
              <w:pStyle w:val="Compact"/>
            </w:pPr>
            <w:r>
              <w:rPr>
                <w:rFonts w:ascii="Calibri" w:hAnsi="Calibri"/>
                <w:sz w:val="20"/>
              </w:rPr>
              <w:t xml:space="preserve">Módulo de balanza de pagos</w:t>
            </w:r>
          </w:p>
        </w:tc>
        <w:tc>
          <w:tcPr/>
          <w:p>
            <w:pPr>
              <w:pStyle w:val="Compact"/>
            </w:pPr>
            <w:r>
              <w:rPr>
                <w:rFonts w:ascii="Calibri" w:hAnsi="Calibri"/>
                <w:sz w:val="20"/>
              </w:rPr>
              <w:t xml:space="preserve">Fuera del alcance (es otra tesis); 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Restricciones de signo y Blanchard-Quah</w:t>
            </w:r>
          </w:p>
        </w:tc>
        <w:tc>
          <w:tcPr/>
          <w:p>
            <w:pPr>
              <w:pStyle w:val="Compact"/>
            </w:pPr>
            <w:r>
              <w:rPr>
                <w:rFonts w:ascii="Calibri" w:hAnsi="Calibri"/>
                <w:sz w:val="20"/>
              </w:rPr>
              <w:t xml:space="preserve">No se usan: la neutralidad de largo plazo del TCRM es difícil de sostener para Argentina</w:t>
            </w:r>
          </w:p>
        </w:tc>
        <w:tc>
          <w:tcPr/>
          <w:p>
            <w:pPr>
              <w:pStyle w:val="Compact"/>
            </w:pPr>
            <w:r>
              <w:rPr>
                <w:rFonts w:ascii="Calibri" w:hAnsi="Calibri"/>
                <w:sz w:val="20"/>
              </w:rPr>
              <w:t xml:space="preserve">Guía de defensa</w:t>
            </w:r>
          </w:p>
        </w:tc>
      </w:tr>
      <w:tr>
        <w:tc>
          <w:tcPr/>
          <w:p>
            <w:pPr>
              <w:pStyle w:val="Compact"/>
            </w:pPr>
            <w:r>
              <w:rPr>
                <w:rFonts w:ascii="Calibri" w:hAnsi="Calibri"/>
                <w:sz w:val="20"/>
              </w:rPr>
              <w:t xml:space="preserve">X-13 para desestacionalizar</w:t>
            </w:r>
          </w:p>
        </w:tc>
        <w:tc>
          <w:tcPr/>
          <w:p>
            <w:pPr>
              <w:pStyle w:val="Compact"/>
            </w:pPr>
            <w:r>
              <w:rPr>
                <w:rFonts w:ascii="Calibri" w:hAnsi="Calibri"/>
                <w:sz w:val="20"/>
              </w:rPr>
              <w:t xml:space="preserve">Se usan variables binarias estacionales</w:t>
            </w:r>
          </w:p>
        </w:tc>
        <w:tc>
          <w:tcPr/>
          <w:p>
            <w:pPr>
              <w:pStyle w:val="Compact"/>
            </w:pPr>
            <w:r>
              <w:rPr>
                <w:rFonts w:ascii="Calibri" w:hAnsi="Calibri"/>
                <w:sz w:val="20"/>
              </w:rPr>
              <w:t xml:space="preserve">4.2</w:t>
            </w:r>
          </w:p>
        </w:tc>
      </w:tr>
    </w:tbl>
    <w:bookmarkEnd w:id="128"/>
    <w:bookmarkStart w:id="129"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Decisión</w:t>
            </w:r>
          </w:p>
        </w:tc>
        <w:tc>
          <w:tcPr/>
          <w:p>
            <w:pPr>
              <w:pStyle w:val="Compact"/>
            </w:pPr>
            <w:r>
              <w:rPr>
                <w:rFonts w:ascii="Calibri" w:hAnsi="Calibri"/>
                <w:sz w:val="20"/>
              </w:rPr>
              <w:t xml:space="preserve">Cómo quedó</w:t>
            </w:r>
          </w:p>
        </w:tc>
      </w:tr>
      <w:tr>
        <w:tc>
          <w:tcPr/>
          <w:p>
            <w:pPr>
              <w:pStyle w:val="Compact"/>
            </w:pPr>
            <w:r>
              <w:rPr>
                <w:rFonts w:ascii="Calibri" w:hAnsi="Calibri"/>
                <w:sz w:val="20"/>
              </w:rPr>
              <w:t xml:space="preserve">Perímetro principal (D1)</w:t>
            </w:r>
          </w:p>
        </w:tc>
        <w:tc>
          <w:tcPr/>
          <w:p>
            <w:pPr>
              <w:pStyle w:val="Compac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pPr>
            <w:r>
              <w:rPr>
                <w:rFonts w:ascii="Calibri" w:hAnsi="Calibri"/>
                <w:sz w:val="20"/>
              </w:rPr>
              <w:t xml:space="preserve">Muestra (D2)</w:t>
            </w:r>
          </w:p>
        </w:tc>
        <w:tc>
          <w:tcPr/>
          <w:p>
            <w:pPr>
              <w:pStyle w:val="Compact"/>
            </w:pPr>
            <w:r>
              <w:rPr>
                <w:rFonts w:ascii="Calibri" w:hAnsi="Calibri"/>
                <w:sz w:val="20"/>
              </w:rPr>
              <w:t xml:space="preserve">Datos desde 1999T1, todos con fuente publicada; muestra efectiva 2000T3-2025T4 (102 trimestres)</w:t>
            </w:r>
          </w:p>
        </w:tc>
      </w:tr>
      <w:tr>
        <w:tc>
          <w:tcPr/>
          <w:p>
            <w:pPr>
              <w:pStyle w:val="Compact"/>
            </w:pPr>
            <w:r>
              <w:rPr>
                <w:rFonts w:ascii="Calibri" w:hAnsi="Calibri"/>
                <w:sz w:val="20"/>
              </w:rPr>
              <w:t xml:space="preserve">Rezagos (D3)</w:t>
            </w:r>
          </w:p>
        </w:tc>
        <w:tc>
          <w:tcPr/>
          <w:p>
            <w:pPr>
              <w:pStyle w:val="Compact"/>
            </w:pPr>
            <w:r>
              <w:rPr>
                <w:rFonts w:ascii="Calibri" w:hAnsi="Calibri"/>
                <w:sz w:val="20"/>
              </w:rPr>
              <w:t xml:space="preserve">2, por la regla de Schwarz con residuos sin autocorrelación</w:t>
            </w:r>
          </w:p>
        </w:tc>
      </w:tr>
      <w:tr>
        <w:tc>
          <w:tcPr/>
          <w:p>
            <w:pPr>
              <w:pStyle w:val="Compact"/>
            </w:pPr>
            <w:r>
              <w:rPr>
                <w:rFonts w:ascii="Calibri" w:hAnsi="Calibri"/>
                <w:sz w:val="20"/>
              </w:rPr>
              <w:t xml:space="preserve">Resultado primario (D4)</w:t>
            </w:r>
          </w:p>
        </w:tc>
        <w:tc>
          <w:tcPr/>
          <w:p>
            <w:pPr>
              <w:pStyle w:val="Compact"/>
            </w:pPr>
            <w:r>
              <w:rPr>
                <w:rFonts w:ascii="Calibri" w:hAnsi="Calibri"/>
                <w:sz w:val="20"/>
              </w:rPr>
              <w:t xml:space="preserve">Con rentas de la propiedad para la deuda federal (definición del FMI); sin rentas para la consolidada</w:t>
            </w:r>
          </w:p>
        </w:tc>
      </w:tr>
      <w:tr>
        <w:tc>
          <w:tcPr/>
          <w:p>
            <w:pPr>
              <w:pStyle w:val="Compact"/>
            </w:pPr>
            <w:r>
              <w:rPr>
                <w:rFonts w:ascii="Calibri" w:hAnsi="Calibri"/>
                <w:sz w:val="20"/>
              </w:rPr>
              <w:t xml:space="preserve">Inferencia (D7 y D8)</w:t>
            </w:r>
          </w:p>
        </w:tc>
        <w:tc>
          <w:tcPr/>
          <w:p>
            <w:pPr>
              <w:pStyle w:val="Compact"/>
            </w:pPr>
            <w:r>
              <w:rPr>
                <w:rFonts w:ascii="Calibri" w:hAnsi="Calibri"/>
                <w:sz w:val="20"/>
              </w:rPr>
              <w:t xml:space="preserve">Remuestreo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pPr>
            <w:r>
              <w:rPr>
                <w:rFonts w:ascii="Calibri" w:hAnsi="Calibri"/>
                <w:sz w:val="20"/>
              </w:rPr>
              <w:t xml:space="preserve">H1a (D10)</w:t>
            </w:r>
          </w:p>
        </w:tc>
        <w:tc>
          <w:tcPr/>
          <w:p>
            <w:pPr>
              <w:pStyle w:val="Compact"/>
            </w:pPr>
            <w:r>
              <w:rPr>
                <w:rFonts w:ascii="Calibri" w:hAnsi="Calibri"/>
                <w:sz w:val="20"/>
              </w:rPr>
              <w:t xml:space="preserve">Vuelve el criterio original (descomposición de la varianza); se cumple en las 19 especificaciones. El cálculo de suficiencia del superávit queda como complemento descriptivo, sin criterio de contraste</w:t>
            </w:r>
          </w:p>
        </w:tc>
      </w:tr>
      <w:tr>
        <w:tc>
          <w:tcPr/>
          <w:p>
            <w:pPr>
              <w:pStyle w:val="Compact"/>
            </w:pPr>
            <w:r>
              <w:rPr>
                <w:rFonts w:ascii="Calibri" w:hAnsi="Calibri"/>
                <w:sz w:val="20"/>
              </w:rPr>
              <w:t xml:space="preserve">H1b (D11)</w:t>
            </w:r>
          </w:p>
        </w:tc>
        <w:tc>
          <w:tcPr/>
          <w:p>
            <w:pPr>
              <w:pStyle w:val="Compact"/>
            </w:pPr>
            <w:r>
              <w:rPr>
                <w:rFonts w:ascii="Calibri" w:hAnsi="Calibri"/>
                <w:sz w:val="20"/>
              </w:rPr>
              <w:t xml:space="preserve">Mismo perímetro, punto de partida, escenario y métrica que el FMI; se cumple en las 19 especificaciones</w:t>
            </w:r>
          </w:p>
        </w:tc>
      </w:tr>
      <w:tr>
        <w:tc>
          <w:tcPr/>
          <w:p>
            <w:pPr>
              <w:pStyle w:val="Compact"/>
            </w:pPr>
            <w:r>
              <w:rPr>
                <w:rFonts w:ascii="Calibri" w:hAnsi="Calibri"/>
                <w:sz w:val="20"/>
              </w:rPr>
              <w:t xml:space="preserve">H2 (D12)</w:t>
            </w:r>
          </w:p>
        </w:tc>
        <w:tc>
          <w:tcPr/>
          <w:p>
            <w:pPr>
              <w:pStyle w:val="Compact"/>
            </w:pPr>
            <w:r>
              <w:rPr>
                <w:rFonts w:ascii="Calibri" w:hAnsi="Calibri"/>
                <w:sz w:val="20"/>
              </w:rPr>
              <w:t xml:space="preserve">Criterio sin cambios; respaldada en el efecto sobre la probabilidad, no en el mecanismo</w:t>
            </w:r>
          </w:p>
        </w:tc>
      </w:tr>
      <w:tr>
        <w:tc>
          <w:tcPr/>
          <w:p>
            <w:pPr>
              <w:pStyle w:val="Compact"/>
            </w:pPr>
            <w:r>
              <w:rPr>
                <w:rFonts w:ascii="Calibri" w:hAnsi="Calibri"/>
                <w:sz w:val="20"/>
              </w:rPr>
              <w:t xml:space="preserve">Título (D13)</w:t>
            </w:r>
          </w:p>
        </w:tc>
        <w:tc>
          <w:tcPr/>
          <w:p>
            <w:pPr>
              <w:pStyle w:val="Compact"/>
            </w:pPr>
            <w:r>
              <w:rPr>
                <w:rFonts w:ascii="Calibri" w:hAnsi="Calibri"/>
                <w:sz w:val="20"/>
              </w:rPr>
              <w:t xml:space="preserve">“Probabilidad de no estabilización de la deuda pública argentina, 2026-2035: un modelo SVARX con determinantes macroeconómicos y política monetaria de Estados Unidos”</w:t>
            </w:r>
          </w:p>
        </w:tc>
      </w:tr>
    </w:tbl>
    <w:bookmarkEnd w:id="129"/>
    <w:bookmarkStart w:id="130" w:name="nota-4.-pendientes"/>
    <w:p>
      <w:pPr>
        <w:pStyle w:val="Heading2"/>
      </w:pPr>
      <w:r>
        <w:t xml:space="preserve">Nota 4. Pendientes</w:t>
      </w:r>
    </w:p>
    <w:p>
      <w:pPr>
        <w:pStyle w:val="Compact"/>
        <w:numPr>
          <w:ilvl w:val="0"/>
          <w:numId w:val="1013"/>
        </w:numPr>
      </w:pPr>
      <w:r>
        <w:t xml:space="preserve">Adler y Sosa: la versión anterior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pStyle w:val="Compact"/>
        <w:numPr>
          <w:ilvl w:val="0"/>
          <w:numId w:val="1013"/>
        </w:numPr>
      </w:pPr>
      <w:r>
        <w:t xml:space="preserve">Klemm et al. (2014) y Adler y Magud (2014) salieron del texto: no se pudo leer el capítulo de Klemm et al., y en Adler y Magud no está definido el índice que se les atribuía.</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11">
    <w:p>
      <w:pPr>
        <w:pStyle w:val="FootnoteText"/>
      </w:pPr>
      <w:r>
        <w:rPr>
          <w:rStyle w:val="FootnoteReference"/>
        </w:rPr>
        <w:footnoteRef/>
      </w:r>
      <w:r>
        <w:t xml:space="preserve"> </w:t>
      </w:r>
      <w:r>
        <w:rPr>
          <w:i/>
          <w:iCs/>
        </w:rPr>
        <w:t xml:space="preserve">Default</w:t>
      </w:r>
      <w:r>
        <w:t xml:space="preserve">: cesación de pagos de la deuda.</w:t>
      </w:r>
    </w:p>
  </w:footnote>
  <w:footnote w:id="12">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6">
    <w:p>
      <w:pPr>
        <w:pStyle w:val="FootnoteText"/>
      </w:pPr>
      <w:r>
        <w:rPr>
          <w:rStyle w:val="FootnoteReference"/>
        </w:rPr>
        <w:footnoteRef/>
      </w:r>
      <w:r>
        <w:t xml:space="preserve"> </w:t>
      </w:r>
      <w:r>
        <w:rPr>
          <w:i/>
          <w:iCs/>
        </w:rPr>
        <w:t xml:space="preserve">Shock</w:t>
      </w:r>
      <w:r>
        <w:t xml:space="preserve">: perturbación inesperada que afecta a una variable del sistema y se transmite a las demás.</w:t>
      </w:r>
    </w:p>
  </w:footnote>
  <w:footnote w:id="19">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5">
    <w:p>
      <w:pPr>
        <w:pStyle w:val="FootnoteText"/>
      </w:pPr>
      <w:r>
        <w:rPr>
          <w:rStyle w:val="FootnoteReference"/>
        </w:rPr>
        <w:footnoteRef/>
      </w:r>
      <w:r>
        <w:t xml:space="preserve"> </w:t>
      </w:r>
      <w:r>
        <w:t xml:space="preserve">Acreedores que rechazan una reestructuración y reclaman judicialmente el pago completo.</w:t>
      </w:r>
    </w:p>
  </w:footnote>
  <w:footnote w:id="29">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30">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33">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34">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 w:id="37">
    <w:p>
      <w:pPr>
        <w:pStyle w:val="FootnoteText"/>
      </w:pPr>
      <w:r>
        <w:rPr>
          <w:rStyle w:val="FootnoteReference"/>
        </w:rPr>
        <w:footnoteRef/>
      </w:r>
      <w:r>
        <w:t xml:space="preserve"> </w:t>
      </w:r>
      <w:r>
        <w:rPr>
          <w:i/>
          <w:iCs/>
        </w:rPr>
        <w:t xml:space="preserve">Spread</w:t>
      </w:r>
      <w:r>
        <w:t xml:space="preserve">: diferencia de rendimiento entre un bono y otro de referencia; en el caso soberano, entre los bonos del país y los del Tesoro de Estados Unidos.</w:t>
      </w:r>
    </w:p>
  </w:footnote>
  <w:footnote w:id="67">
    <w:p>
      <w:pPr>
        <w:pStyle w:val="FootnoteText"/>
      </w:pPr>
      <w:r>
        <w:rPr>
          <w:rStyle w:val="FootnoteReference"/>
        </w:rPr>
        <w:footnoteRef/>
      </w:r>
      <w:r>
        <w:t xml:space="preserve"> </w:t>
      </w:r>
      <w:r>
        <w:rPr>
          <w:i/>
          <w:iCs/>
        </w:rPr>
        <w:t xml:space="preserve">Brady</w:t>
      </w:r>
      <w:r>
        <w:t xml:space="preserve">: bonos emitidos por países en desarrollo en la década de 1990 para canjear préstamos bancarios en cesación de pagos, según el plan que lleva el nombre del secretario del Tesoro de Estados Unidos Nicholas</w:t>
      </w:r>
      <w:r>
        <w:t xml:space="preserve"> </w:t>
      </w:r>
      <w:r>
        <w:rPr>
          <w:i/>
          <w:iCs/>
        </w:rPr>
        <w:t xml:space="preserve">Brady</w:t>
      </w:r>
      <w:r>
        <w:t xml:space="preserve">.</w:t>
      </w:r>
    </w:p>
  </w:footnote>
  <w:footnote w:id="75">
    <w:p>
      <w:pPr>
        <w:pStyle w:val="FootnoteText"/>
      </w:pPr>
      <w:r>
        <w:rPr>
          <w:rStyle w:val="FootnoteReference"/>
        </w:rPr>
        <w:footnoteRef/>
      </w:r>
      <w:r>
        <w:t xml:space="preserve"> </w:t>
      </w:r>
      <w:r>
        <w:rPr>
          <w:i/>
          <w:iCs/>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png"/><Relationship Id="rId68" Type="http://schemas.openxmlformats.org/officeDocument/2006/relationships/image" Target="media/rId68.png"/><Relationship Id="rId71" Type="http://schemas.openxmlformats.org/officeDocument/2006/relationships/image" Target="media/rId71.png"/><Relationship Id="rId79" Type="http://schemas.openxmlformats.org/officeDocument/2006/relationships/image" Target="media/rId79.png"/><Relationship Id="rId83" Type="http://schemas.openxmlformats.org/officeDocument/2006/relationships/image" Target="media/rId83.png"/><Relationship Id="rId90" Type="http://schemas.openxmlformats.org/officeDocument/2006/relationships/image" Target="media/rId90.png"/><Relationship Id="rId96" Type="http://schemas.openxmlformats.org/officeDocument/2006/relationships/image" Target="media/rId96.png"/><Relationship Id="rId87" Type="http://schemas.openxmlformats.org/officeDocument/2006/relationships/image" Target="media/rId87.png"/><Relationship Id="rId102" Type="http://schemas.openxmlformats.org/officeDocument/2006/relationships/image" Target="media/rId102.png"/><Relationship Id="rId105" Type="http://schemas.openxmlformats.org/officeDocument/2006/relationships/image" Target="media/rId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2026-10-13T00:51:33Z</dcterms:created>
  <dcterms:modified xsi:type="dcterms:W3CDTF">2026-10-13T00:51:33Z</dcterms:modified>
</cp:coreProperties>
</file>

<file path=docProps/custom.xml><?xml version="1.0" encoding="utf-8"?>
<Properties xmlns="http://schemas.openxmlformats.org/officeDocument/2006/custom-properties" xmlns:vt="http://schemas.openxmlformats.org/officeDocument/2006/docPropsVTypes"/>
</file>