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800"/>
        <w:jc w:val="center"/>
      </w:pPr>
      <w:r>
        <w:t xml:space="preserve">SOSTENIBILIDAD DE LA DEUDA PÚBLICA CONSOLIDADA EN ARGENTINA</w:t>
      </w:r>
    </w:p>
    <w:p>
      <w:pPr>
        <w:pStyle w:val="Heading2"/>
        <w:spacing w:after="200"/>
        <w:jc w:val="center"/>
      </w:pPr>
      <w:r>
        <w:t xml:space="preserve">Resumen técnico: Qué se hizo y qué resultados se obtuvieron</w:t>
      </w:r>
    </w:p>
    <w:p>
      <w:pPr>
        <w:spacing w:after="100"/>
        <w:jc w:val="center"/>
      </w:pPr>
      <w:r>
        <w:rPr>
          <w:b/>
          <w:bCs/>
          <w:sz w:val="22"/>
          <w:szCs w:val="22"/>
        </w:rPr>
        <w:t xml:space="preserve">Federico Chillón · Santiago Páez · Emiliano Carricondo</w:t>
      </w:r>
    </w:p>
    <w:p>
      <w:pPr>
        <w:spacing w:after="600"/>
        <w:jc w:val="center"/>
      </w:pPr>
      <w:r>
        <w:rPr>
          <w:color w:val="555555"/>
          <w:sz w:val="20"/>
          <w:szCs w:val="20"/>
        </w:rPr>
        <w:t xml:space="preserve">Facultad de Ciencias Económicas – Universidad Nacional de Cuyo · 2026</w:t>
      </w:r>
    </w:p>
    <w:p>
      <w:pPr>
        <w:pBdr>
          <w:bottom w:val="single" w:color="AAAAAA" w:sz="4"/>
        </w:pBdr>
        <w:spacing w:after="200" w:before="200"/>
      </w:pPr>
    </w:p>
    <w:p>
      <w:pPr>
        <w:pStyle w:val="Heading1"/>
        <w:spacing w:after="200" w:before="400"/>
      </w:pPr>
      <w:r>
        <w:t xml:space="preserve">1. ¿Qué estudiamos y por qué?</w:t>
      </w:r>
    </w:p>
    <w:p>
      <w:pPr>
        <w:spacing w:after="120"/>
        <w:jc w:val="both"/>
      </w:pPr>
      <w:r>
        <w:rPr>
          <w:b w:val="false"/>
          <w:bCs w:val="false"/>
          <w:sz w:val="22"/>
          <w:szCs w:val="22"/>
        </w:rPr>
        <w:t xml:space="preserve">Esta investigación busca responder una pregunta concreta: ¿puede Argentina pagar su deuda pública en el largo plazo, o el nivel de deuda es insostenible? Para responderla, analizamos 88 trimestres de datos (2004–2025) y construimos una serie histórica más larga (1983–2025, 169 trimestres) que cubre toda la democracia argentina.</w:t>
      </w:r>
    </w:p>
    <w:p>
      <w:pPr>
        <w:spacing w:after="120"/>
        <w:jc w:val="both"/>
      </w:pPr>
      <w:r>
        <w:rPr>
          <w:b w:val="false"/>
          <w:bCs w:val="false"/>
          <w:sz w:val="22"/>
          <w:szCs w:val="22"/>
        </w:rPr>
        <w:t xml:space="preserve">La pregunta de fondo es técnica pero con consecuencias concretas: si el gobierno no puede financiar sus obligaciones, puede producirse una crisis cambiaria, una reestructuración de deuda o un ajuste fiscal abrupto, todo lo cual afecta el empleo, los salarios y el acceso al crédito.</w:t>
      </w:r>
    </w:p>
    <w:p>
      <w:pPr>
        <w:pStyle w:val="Heading1"/>
        <w:spacing w:after="200" w:before="400"/>
      </w:pPr>
      <w:r>
        <w:t xml:space="preserve">2. Los datos que usamos</w:t>
      </w:r>
    </w:p>
    <w:p>
      <w:pPr>
        <w:spacing w:after="120"/>
        <w:jc w:val="both"/>
      </w:pPr>
      <w:r>
        <w:rPr>
          <w:b w:val="false"/>
          <w:bCs w:val="false"/>
          <w:sz w:val="22"/>
          <w:szCs w:val="22"/>
        </w:rPr>
        <w:t xml:space="preserve">Trabajamos con datos trimestrales de fuentes oficiales: el Ministerio de Economía, el BCRA, el FMI y el JP Morgan. Las cinco variables centrales de nuestro análisis son:</w:t>
      </w:r>
    </w:p>
    <w:p>
      <w:pPr>
        <w:pStyle w:val="ListParagraph"/>
        <w:numPr>
          <w:ilvl w:val="0"/>
          <w:numId w:val="1"/>
        </w:numPr>
        <w:spacing w:after="80"/>
        <w:jc w:val="both"/>
      </w:pPr>
      <w:r>
        <w:rPr>
          <w:sz w:val="22"/>
          <w:szCs w:val="22"/>
        </w:rPr>
        <w:t xml:space="preserve">Deuda pública / PIB (%): cuánto debe el Estado en relación a lo que produce el país.</w:t>
      </w:r>
    </w:p>
    <w:p>
      <w:pPr>
        <w:pStyle w:val="ListParagraph"/>
        <w:numPr>
          <w:ilvl w:val="0"/>
          <w:numId w:val="1"/>
        </w:numPr>
        <w:spacing w:after="80"/>
        <w:jc w:val="both"/>
      </w:pPr>
      <w:r>
        <w:rPr>
          <w:sz w:val="22"/>
          <w:szCs w:val="22"/>
        </w:rPr>
        <w:t xml:space="preserve">Resultado primario / PIB (%): si el gobierno recauda más o menos de lo que gasta (sin contar el pago de intereses).</w:t>
      </w:r>
    </w:p>
    <w:p>
      <w:pPr>
        <w:pStyle w:val="ListParagraph"/>
        <w:numPr>
          <w:ilvl w:val="0"/>
          <w:numId w:val="1"/>
        </w:numPr>
        <w:spacing w:after="80"/>
        <w:jc w:val="both"/>
      </w:pPr>
      <w:r>
        <w:rPr>
          <w:sz w:val="22"/>
          <w:szCs w:val="22"/>
        </w:rPr>
        <w:t xml:space="preserve">EMBI+ (puntos básicos): el «riesgo país», es decir, cuánto más paga Argentina por pedir prestado comparado con Estados Unidos.</w:t>
      </w:r>
    </w:p>
    <w:p>
      <w:pPr>
        <w:pStyle w:val="ListParagraph"/>
        <w:numPr>
          <w:ilvl w:val="0"/>
          <w:numId w:val="1"/>
        </w:numPr>
        <w:spacing w:after="80"/>
        <w:jc w:val="both"/>
      </w:pPr>
      <w:r>
        <w:rPr>
          <w:sz w:val="22"/>
          <w:szCs w:val="22"/>
        </w:rPr>
        <w:t xml:space="preserve">Brecha del producto (%): si la economía está produciendo por encima o por debajo de su potencial.</w:t>
      </w:r>
    </w:p>
    <w:p>
      <w:pPr>
        <w:pStyle w:val="ListParagraph"/>
        <w:numPr>
          <w:ilvl w:val="0"/>
          <w:numId w:val="1"/>
        </w:numPr>
        <w:spacing w:after="80"/>
        <w:jc w:val="both"/>
      </w:pPr>
      <w:r>
        <w:rPr>
          <w:sz w:val="22"/>
          <w:szCs w:val="22"/>
        </w:rPr>
        <w:t xml:space="preserve">Tipo de Cambio Real Multilateral (TCRM): qué tan caro o barato está el peso argentino frente a las monedas de los socios comerciales.</w:t>
      </w:r>
    </w:p>
    <w:p>
      <w:pPr>
        <w:pBdr>
          <w:bottom w:val="single" w:color="AAAAAA" w:sz="4"/>
        </w:pBdr>
        <w:spacing w:after="200" w:before="200"/>
      </w:pPr>
    </w:p>
    <w:p>
      <w:pPr>
        <w:pStyle w:val="Heading1"/>
        <w:spacing w:after="200" w:before="400"/>
      </w:pPr>
      <w:r>
        <w:t xml:space="preserve">3. Análisis SVAR: ¿Qué shocks mueven la deuda?</w:t>
      </w:r>
    </w:p>
    <w:p>
      <w:pPr>
        <w:pStyle w:val="Heading2"/>
        <w:spacing w:after="150" w:before="300"/>
      </w:pPr>
      <w:r>
        <w:t xml:space="preserve">3.1 ¿Qué es el SVAR?</w:t>
      </w:r>
    </w:p>
    <w:p>
      <w:pPr>
        <w:spacing w:after="120"/>
        <w:jc w:val="both"/>
      </w:pPr>
      <w:r>
        <w:rPr>
          <w:b w:val="false"/>
          <w:bCs w:val="false"/>
          <w:sz w:val="22"/>
          <w:szCs w:val="22"/>
        </w:rPr>
        <w:t xml:space="preserve">SVAR (por sus siglas en inglés: Structural Vector Autoregression) es un modelo estadístico que permite medir cómo se transmiten los «shocks» —sorpresas o perturbaciones económicas— entre distintas variables. Por ejemplo: ¿cuánto sube la deuda cuando el riesgo país se dispara? ¿O cuando la economía entra en recesión?</w:t>
      </w:r>
    </w:p>
    <w:p>
      <w:pPr>
        <w:spacing w:after="120"/>
        <w:jc w:val="both"/>
      </w:pPr>
      <w:r>
        <w:rPr>
          <w:b w:val="false"/>
          <w:bCs w:val="false"/>
          <w:sz w:val="22"/>
          <w:szCs w:val="22"/>
        </w:rPr>
        <w:t xml:space="preserve">El «SVAR Restringido» que usamos impone restricciones basadas en la teoría económica para identificar qué causa qué. Por ejemplo, asumimos que las decisiones del Congreso sobre el gasto público no pueden cambiar en el mismo trimestre que una suba del riesgo país (hay un rezago institucional), pero el riesgo país sí puede reaccionar de inmediato a un shock fiscal.</w:t>
      </w:r>
    </w:p>
    <w:p>
      <w:pPr>
        <w:pStyle w:val="Heading2"/>
        <w:spacing w:after="150" w:before="300"/>
      </w:pPr>
      <w:r>
        <w:t xml:space="preserve">3.2 Cómo funciona la identificación estructural</w:t>
      </w:r>
    </w:p>
    <w:p>
      <w:pPr>
        <w:spacing w:after="120"/>
        <w:jc w:val="both"/>
      </w:pPr>
      <w:r>
        <w:rPr>
          <w:b w:val="false"/>
          <w:bCs w:val="false"/>
          <w:sz w:val="22"/>
          <w:szCs w:val="22"/>
        </w:rPr>
        <w:t xml:space="preserve">El modelo estima las interacciones siguiendo un orden causal razonado:</w:t>
      </w:r>
    </w:p>
    <w:p>
      <w:pPr>
        <w:pStyle w:val="ListParagraph"/>
        <w:numPr>
          <w:ilvl w:val="0"/>
          <w:numId w:val="1"/>
        </w:numPr>
        <w:spacing w:after="80"/>
        <w:jc w:val="both"/>
      </w:pPr>
      <w:r>
        <w:rPr>
          <w:sz w:val="22"/>
          <w:szCs w:val="22"/>
        </w:rPr>
        <w:t xml:space="preserve">1º La brecha del producto (ciclo económico) es la variable más exógena: no reacciona instantáneamente a decisiones de política.</w:t>
      </w:r>
    </w:p>
    <w:p>
      <w:pPr>
        <w:pStyle w:val="ListParagraph"/>
        <w:numPr>
          <w:ilvl w:val="0"/>
          <w:numId w:val="1"/>
        </w:numPr>
        <w:spacing w:after="80"/>
        <w:jc w:val="both"/>
      </w:pPr>
      <w:r>
        <w:rPr>
          <w:sz w:val="22"/>
          <w:szCs w:val="22"/>
        </w:rPr>
        <w:t xml:space="preserve">2º El resultado primario reacciona automáticamente al ciclo (si la economía crece, recauda más) con una semi-elasticidad de 0,25, es decir, un punto porcentual más de crecimiento genera 0,25 p.p. de mejora fiscal automática (estándar OCDE/FMI).</w:t>
      </w:r>
    </w:p>
    <w:p>
      <w:pPr>
        <w:pStyle w:val="ListParagraph"/>
        <w:numPr>
          <w:ilvl w:val="0"/>
          <w:numId w:val="1"/>
        </w:numPr>
        <w:spacing w:after="80"/>
        <w:jc w:val="both"/>
      </w:pPr>
      <w:r>
        <w:rPr>
          <w:sz w:val="22"/>
          <w:szCs w:val="22"/>
        </w:rPr>
        <w:t xml:space="preserve">3º El riesgo país (EMBI+) absorbe instantáneamente los shocks de actividad y fiscales.</w:t>
      </w:r>
    </w:p>
    <w:p>
      <w:pPr>
        <w:pStyle w:val="ListParagraph"/>
        <w:numPr>
          <w:ilvl w:val="0"/>
          <w:numId w:val="1"/>
        </w:numPr>
        <w:spacing w:after="80"/>
        <w:jc w:val="both"/>
      </w:pPr>
      <w:r>
        <w:rPr>
          <w:sz w:val="22"/>
          <w:szCs w:val="22"/>
        </w:rPr>
        <w:t xml:space="preserve">4º El tipo de cambio real reacciona a todos los anteriores en el mismo trimestre.</w:t>
      </w:r>
    </w:p>
    <w:p>
      <w:pPr>
        <w:pStyle w:val="ListParagraph"/>
        <w:numPr>
          <w:ilvl w:val="0"/>
          <w:numId w:val="1"/>
        </w:numPr>
        <w:spacing w:after="80"/>
        <w:jc w:val="both"/>
      </w:pPr>
      <w:r>
        <w:rPr>
          <w:sz w:val="22"/>
          <w:szCs w:val="22"/>
        </w:rPr>
        <w:t xml:space="preserve">5º La deuda/PIB acumula el efecto de todos los shocks previos, siguiendo la restricción presupuestaria intertemporal.</w:t>
      </w:r>
    </w:p>
    <w:p>
      <w:pPr>
        <w:pStyle w:val="Heading2"/>
        <w:spacing w:after="150" w:before="300"/>
      </w:pPr>
      <w:r>
        <w:t xml:space="preserve">3.3 Resultados: ¿Qué explica la variación de la deuda?</w:t>
      </w:r>
    </w:p>
    <w:p>
      <w:pPr>
        <w:spacing w:after="120"/>
        <w:jc w:val="both"/>
      </w:pPr>
      <w:r>
        <w:rPr>
          <w:b w:val="false"/>
          <w:bCs w:val="false"/>
          <w:sz w:val="22"/>
          <w:szCs w:val="22"/>
        </w:rPr>
        <w:t xml:space="preserve">La «descomposición de varianza» (FEVD) mide, en porcentaje, cuánto de los movimientos de la deuda se explica por cada tipo de shock. Estos son los resultados clave a 20 trimestres (5 años):</w:t>
      </w:r>
    </w:p>
    <w:p>
      <w:pPr>
        <w:spacing w:after="120"/>
      </w:pP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800"/>
        <w:gridCol w:w="1600"/>
        <w:gridCol w:w="1700"/>
        <w:gridCol w:w="1600"/>
      </w:tblGrid>
      <w:tr>
        <w:trPr>
          <w:tblHeader/>
        </w:trPr>
        <w:tc>
          <w:tcPr>
            <w:tcW w:type="dxa" w:w="2200"/>
            <w:shd w:fill="1F4E79" w:val="clear"/>
          </w:tcPr>
          <w:p>
            <w:pPr>
              <w:spacing w:after="60" w:before="60"/>
              <w:jc w:val="center"/>
            </w:pPr>
            <w:r>
              <w:rPr>
                <w:b/>
                <w:bCs/>
                <w:color w:val="FFFFFF"/>
                <w:sz w:val="20"/>
                <w:szCs w:val="20"/>
              </w:rPr>
              <w:t xml:space="preserve">Variable explicada</w:t>
            </w:r>
          </w:p>
        </w:tc>
        <w:tc>
          <w:tcPr>
            <w:tcW w:type="dxa" w:w="1600"/>
            <w:shd w:fill="1F4E79" w:val="clear"/>
          </w:tcPr>
          <w:p>
            <w:pPr>
              <w:spacing w:after="60" w:before="60"/>
              <w:jc w:val="center"/>
            </w:pPr>
            <w:r>
              <w:rPr>
                <w:b/>
                <w:bCs/>
                <w:color w:val="FFFFFF"/>
                <w:sz w:val="20"/>
                <w:szCs w:val="20"/>
              </w:rPr>
              <w:t xml:space="preserve">Shock fiscal (pb)</w:t>
            </w:r>
          </w:p>
        </w:tc>
        <w:tc>
          <w:tcPr>
            <w:tcW w:type="dxa" w:w="1800"/>
            <w:shd w:fill="1F4E79" w:val="clear"/>
          </w:tcPr>
          <w:p>
            <w:pPr>
              <w:spacing w:after="60" w:before="60"/>
              <w:jc w:val="center"/>
            </w:pPr>
            <w:r>
              <w:rPr>
                <w:b/>
                <w:bCs/>
                <w:color w:val="FFFFFF"/>
                <w:sz w:val="20"/>
                <w:szCs w:val="20"/>
              </w:rPr>
              <w:t xml:space="preserve">Shock producto (gap)</w:t>
            </w:r>
          </w:p>
        </w:tc>
        <w:tc>
          <w:tcPr>
            <w:tcW w:type="dxa" w:w="1600"/>
            <w:shd w:fill="1F4E79" w:val="clear"/>
          </w:tcPr>
          <w:p>
            <w:pPr>
              <w:spacing w:after="60" w:before="60"/>
              <w:jc w:val="center"/>
            </w:pPr>
            <w:r>
              <w:rPr>
                <w:b/>
                <w:bCs/>
                <w:color w:val="FFFFFF"/>
                <w:sz w:val="20"/>
                <w:szCs w:val="20"/>
              </w:rPr>
              <w:t xml:space="preserve">Shock EMBI+</w:t>
            </w:r>
          </w:p>
        </w:tc>
        <w:tc>
          <w:tcPr>
            <w:tcW w:type="dxa" w:w="1700"/>
            <w:shd w:fill="1F4E79" w:val="clear"/>
          </w:tcPr>
          <w:p>
            <w:pPr>
              <w:spacing w:after="60" w:before="60"/>
              <w:jc w:val="center"/>
            </w:pPr>
            <w:r>
              <w:rPr>
                <w:b/>
                <w:bCs/>
                <w:color w:val="FFFFFF"/>
                <w:sz w:val="20"/>
                <w:szCs w:val="20"/>
              </w:rPr>
              <w:t xml:space="preserve">Shock cambiario</w:t>
            </w:r>
          </w:p>
        </w:tc>
        <w:tc>
          <w:tcPr>
            <w:tcW w:type="dxa" w:w="1600"/>
            <w:shd w:fill="1F4E79" w:val="clear"/>
          </w:tcPr>
          <w:p>
            <w:pPr>
              <w:spacing w:after="60" w:before="60"/>
              <w:jc w:val="center"/>
            </w:pPr>
            <w:r>
              <w:rPr>
                <w:b/>
                <w:bCs/>
                <w:color w:val="FFFFFF"/>
                <w:sz w:val="20"/>
                <w:szCs w:val="20"/>
              </w:rPr>
              <w:t xml:space="preserve">Dinámica propia</w:t>
            </w:r>
          </w:p>
        </w:tc>
      </w:tr>
      <w:tr>
        <w:tc>
          <w:tcPr>
            <w:tcW w:type="dxa" w:w="2200"/>
            <w:shd w:fill="EBF3FB" w:val="clear"/>
          </w:tcPr>
          <w:p>
            <w:pPr>
              <w:spacing w:after="60" w:before="60"/>
              <w:jc w:val="center"/>
            </w:pPr>
            <w:r>
              <w:rPr>
                <w:sz w:val="20"/>
                <w:szCs w:val="20"/>
              </w:rPr>
              <w:t xml:space="preserve">Deuda / PIB (h=1T)</w:t>
            </w:r>
          </w:p>
        </w:tc>
        <w:tc>
          <w:tcPr>
            <w:tcW w:type="dxa" w:w="1600"/>
            <w:shd w:fill="EBF3FB" w:val="clear"/>
          </w:tcPr>
          <w:p>
            <w:pPr>
              <w:spacing w:after="60" w:before="60"/>
              <w:jc w:val="center"/>
            </w:pPr>
            <w:r>
              <w:rPr>
                <w:sz w:val="20"/>
                <w:szCs w:val="20"/>
              </w:rPr>
              <w:t xml:space="preserve">39,1%</w:t>
            </w:r>
          </w:p>
        </w:tc>
        <w:tc>
          <w:tcPr>
            <w:tcW w:type="dxa" w:w="1800"/>
            <w:shd w:fill="EBF3FB" w:val="clear"/>
          </w:tcPr>
          <w:p>
            <w:pPr>
              <w:spacing w:after="60" w:before="60"/>
              <w:jc w:val="center"/>
            </w:pPr>
            <w:r>
              <w:rPr>
                <w:sz w:val="20"/>
                <w:szCs w:val="20"/>
              </w:rPr>
              <w:t xml:space="preserve">32,9%</w:t>
            </w:r>
          </w:p>
        </w:tc>
        <w:tc>
          <w:tcPr>
            <w:tcW w:type="dxa" w:w="1600"/>
            <w:shd w:fill="EBF3FB" w:val="clear"/>
          </w:tcPr>
          <w:p>
            <w:pPr>
              <w:spacing w:after="60" w:before="60"/>
              <w:jc w:val="center"/>
            </w:pPr>
            <w:r>
              <w:rPr>
                <w:sz w:val="20"/>
                <w:szCs w:val="20"/>
              </w:rPr>
              <w:t xml:space="preserve">0,7%</w:t>
            </w:r>
          </w:p>
        </w:tc>
        <w:tc>
          <w:tcPr>
            <w:tcW w:type="dxa" w:w="1700"/>
            <w:shd w:fill="EBF3FB" w:val="clear"/>
          </w:tcPr>
          <w:p>
            <w:pPr>
              <w:spacing w:after="60" w:before="60"/>
              <w:jc w:val="center"/>
            </w:pPr>
            <w:r>
              <w:rPr>
                <w:sz w:val="20"/>
                <w:szCs w:val="20"/>
              </w:rPr>
              <w:t xml:space="preserve">1,4%</w:t>
            </w:r>
          </w:p>
        </w:tc>
        <w:tc>
          <w:tcPr>
            <w:tcW w:type="dxa" w:w="1600"/>
            <w:shd w:fill="EBF3FB" w:val="clear"/>
          </w:tcPr>
          <w:p>
            <w:pPr>
              <w:spacing w:after="60" w:before="60"/>
              <w:jc w:val="center"/>
            </w:pPr>
            <w:r>
              <w:rPr>
                <w:sz w:val="20"/>
                <w:szCs w:val="20"/>
              </w:rPr>
              <w:t xml:space="preserve">25,9%</w:t>
            </w:r>
          </w:p>
        </w:tc>
      </w:tr>
      <w:tr>
        <w:tc>
          <w:tcPr>
            <w:tcW w:type="dxa" w:w="2200"/>
            <w:shd w:fill="FFFFFF" w:val="clear"/>
          </w:tcPr>
          <w:p>
            <w:pPr>
              <w:spacing w:after="60" w:before="60"/>
              <w:jc w:val="center"/>
            </w:pPr>
            <w:r>
              <w:rPr>
                <w:sz w:val="20"/>
                <w:szCs w:val="20"/>
              </w:rPr>
              <w:t xml:space="preserve">Deuda / PIB (h=4T)</w:t>
            </w:r>
          </w:p>
        </w:tc>
        <w:tc>
          <w:tcPr>
            <w:tcW w:type="dxa" w:w="1600"/>
            <w:shd w:fill="FFFFFF" w:val="clear"/>
          </w:tcPr>
          <w:p>
            <w:pPr>
              <w:spacing w:after="60" w:before="60"/>
              <w:jc w:val="center"/>
            </w:pPr>
            <w:r>
              <w:rPr>
                <w:sz w:val="20"/>
                <w:szCs w:val="20"/>
              </w:rPr>
              <w:t xml:space="preserve">46,8%</w:t>
            </w:r>
          </w:p>
        </w:tc>
        <w:tc>
          <w:tcPr>
            <w:tcW w:type="dxa" w:w="1800"/>
            <w:shd w:fill="FFFFFF" w:val="clear"/>
          </w:tcPr>
          <w:p>
            <w:pPr>
              <w:spacing w:after="60" w:before="60"/>
              <w:jc w:val="center"/>
            </w:pPr>
            <w:r>
              <w:rPr>
                <w:sz w:val="20"/>
                <w:szCs w:val="20"/>
              </w:rPr>
              <w:t xml:space="preserve">29,4%</w:t>
            </w:r>
          </w:p>
        </w:tc>
        <w:tc>
          <w:tcPr>
            <w:tcW w:type="dxa" w:w="1600"/>
            <w:shd w:fill="FFFFFF" w:val="clear"/>
          </w:tcPr>
          <w:p>
            <w:pPr>
              <w:spacing w:after="60" w:before="60"/>
              <w:jc w:val="center"/>
            </w:pPr>
            <w:r>
              <w:rPr>
                <w:sz w:val="20"/>
                <w:szCs w:val="20"/>
              </w:rPr>
              <w:t xml:space="preserve">1,7%</w:t>
            </w:r>
          </w:p>
        </w:tc>
        <w:tc>
          <w:tcPr>
            <w:tcW w:type="dxa" w:w="1700"/>
            <w:shd w:fill="FFFFFF" w:val="clear"/>
          </w:tcPr>
          <w:p>
            <w:pPr>
              <w:spacing w:after="60" w:before="60"/>
              <w:jc w:val="center"/>
            </w:pPr>
            <w:r>
              <w:rPr>
                <w:sz w:val="20"/>
                <w:szCs w:val="20"/>
              </w:rPr>
              <w:t xml:space="preserve">0,5%</w:t>
            </w:r>
          </w:p>
        </w:tc>
        <w:tc>
          <w:tcPr>
            <w:tcW w:type="dxa" w:w="1600"/>
            <w:shd w:fill="FFFFFF" w:val="clear"/>
          </w:tcPr>
          <w:p>
            <w:pPr>
              <w:spacing w:after="60" w:before="60"/>
              <w:jc w:val="center"/>
            </w:pPr>
            <w:r>
              <w:rPr>
                <w:sz w:val="20"/>
                <w:szCs w:val="20"/>
              </w:rPr>
              <w:t xml:space="preserve">21,6%</w:t>
            </w:r>
          </w:p>
        </w:tc>
      </w:tr>
      <w:tr>
        <w:tc>
          <w:tcPr>
            <w:tcW w:type="dxa" w:w="2200"/>
            <w:shd w:fill="EBF3FB" w:val="clear"/>
          </w:tcPr>
          <w:p>
            <w:pPr>
              <w:spacing w:after="60" w:before="60"/>
              <w:jc w:val="center"/>
            </w:pPr>
            <w:r>
              <w:rPr>
                <w:sz w:val="20"/>
                <w:szCs w:val="20"/>
              </w:rPr>
              <w:t xml:space="preserve">Deuda / PIB (h=20T)</w:t>
            </w:r>
          </w:p>
        </w:tc>
        <w:tc>
          <w:tcPr>
            <w:tcW w:type="dxa" w:w="1600"/>
            <w:shd w:fill="EBF3FB" w:val="clear"/>
          </w:tcPr>
          <w:p>
            <w:pPr>
              <w:spacing w:after="60" w:before="60"/>
              <w:jc w:val="center"/>
            </w:pPr>
            <w:r>
              <w:rPr>
                <w:sz w:val="20"/>
                <w:szCs w:val="20"/>
              </w:rPr>
              <w:t xml:space="preserve">47,5%</w:t>
            </w:r>
          </w:p>
        </w:tc>
        <w:tc>
          <w:tcPr>
            <w:tcW w:type="dxa" w:w="1800"/>
            <w:shd w:fill="EBF3FB" w:val="clear"/>
          </w:tcPr>
          <w:p>
            <w:pPr>
              <w:spacing w:after="60" w:before="60"/>
              <w:jc w:val="center"/>
            </w:pPr>
            <w:r>
              <w:rPr>
                <w:sz w:val="20"/>
                <w:szCs w:val="20"/>
              </w:rPr>
              <w:t xml:space="preserve">28,6%</w:t>
            </w:r>
          </w:p>
        </w:tc>
        <w:tc>
          <w:tcPr>
            <w:tcW w:type="dxa" w:w="1600"/>
            <w:shd w:fill="EBF3FB" w:val="clear"/>
          </w:tcPr>
          <w:p>
            <w:pPr>
              <w:spacing w:after="60" w:before="60"/>
              <w:jc w:val="center"/>
            </w:pPr>
            <w:r>
              <w:rPr>
                <w:sz w:val="20"/>
                <w:szCs w:val="20"/>
              </w:rPr>
              <w:t xml:space="preserve">4,2%</w:t>
            </w:r>
          </w:p>
        </w:tc>
        <w:tc>
          <w:tcPr>
            <w:tcW w:type="dxa" w:w="1700"/>
            <w:shd w:fill="EBF3FB" w:val="clear"/>
          </w:tcPr>
          <w:p>
            <w:pPr>
              <w:spacing w:after="60" w:before="60"/>
              <w:jc w:val="center"/>
            </w:pPr>
            <w:r>
              <w:rPr>
                <w:sz w:val="20"/>
                <w:szCs w:val="20"/>
              </w:rPr>
              <w:t xml:space="preserve">7,3%</w:t>
            </w:r>
          </w:p>
        </w:tc>
        <w:tc>
          <w:tcPr>
            <w:tcW w:type="dxa" w:w="1600"/>
            <w:shd w:fill="EBF3FB" w:val="clear"/>
          </w:tcPr>
          <w:p>
            <w:pPr>
              <w:spacing w:after="60" w:before="60"/>
              <w:jc w:val="center"/>
            </w:pPr>
            <w:r>
              <w:rPr>
                <w:sz w:val="20"/>
                <w:szCs w:val="20"/>
              </w:rPr>
              <w:t xml:space="preserve">12,4%</w:t>
            </w:r>
          </w:p>
        </w:tc>
      </w:tr>
      <w:tr>
        <w:tc>
          <w:tcPr>
            <w:tcW w:type="dxa" w:w="2200"/>
            <w:shd w:fill="FFFFFF" w:val="clear"/>
          </w:tcPr>
          <w:p>
            <w:pPr>
              <w:spacing w:after="60" w:before="60"/>
              <w:jc w:val="center"/>
            </w:pPr>
            <w:r>
              <w:rPr>
                <w:sz w:val="20"/>
                <w:szCs w:val="20"/>
              </w:rPr>
              <w:t xml:space="preserve">EMBI+ (h=1T)</w:t>
            </w:r>
          </w:p>
        </w:tc>
        <w:tc>
          <w:tcPr>
            <w:tcW w:type="dxa" w:w="1600"/>
            <w:shd w:fill="FFFFFF" w:val="clear"/>
          </w:tcPr>
          <w:p>
            <w:pPr>
              <w:spacing w:after="60" w:before="60"/>
              <w:jc w:val="center"/>
            </w:pPr>
            <w:r>
              <w:rPr>
                <w:sz w:val="20"/>
                <w:szCs w:val="20"/>
              </w:rPr>
              <w:t xml:space="preserve">16,1%</w:t>
            </w:r>
          </w:p>
        </w:tc>
        <w:tc>
          <w:tcPr>
            <w:tcW w:type="dxa" w:w="1800"/>
            <w:shd w:fill="FFFFFF" w:val="clear"/>
          </w:tcPr>
          <w:p>
            <w:pPr>
              <w:spacing w:after="60" w:before="60"/>
              <w:jc w:val="center"/>
            </w:pPr>
            <w:r>
              <w:rPr>
                <w:sz w:val="20"/>
                <w:szCs w:val="20"/>
              </w:rPr>
              <w:t xml:space="preserve">10,5%</w:t>
            </w:r>
          </w:p>
        </w:tc>
        <w:tc>
          <w:tcPr>
            <w:tcW w:type="dxa" w:w="1600"/>
            <w:shd w:fill="FFFFFF" w:val="clear"/>
          </w:tcPr>
          <w:p>
            <w:pPr>
              <w:spacing w:after="60" w:before="60"/>
              <w:jc w:val="center"/>
            </w:pPr>
            <w:r>
              <w:rPr>
                <w:sz w:val="20"/>
                <w:szCs w:val="20"/>
              </w:rPr>
              <w:t xml:space="preserve">73,4%</w:t>
            </w:r>
          </w:p>
        </w:tc>
        <w:tc>
          <w:tcPr>
            <w:tcW w:type="dxa" w:w="1700"/>
            <w:shd w:fill="FFFFFF" w:val="clear"/>
          </w:tcPr>
          <w:p>
            <w:pPr>
              <w:spacing w:after="60" w:before="60"/>
              <w:jc w:val="center"/>
            </w:pPr>
            <w:r>
              <w:rPr>
                <w:sz w:val="20"/>
                <w:szCs w:val="20"/>
              </w:rPr>
              <w:t xml:space="preserve">0,0%</w:t>
            </w:r>
          </w:p>
        </w:tc>
        <w:tc>
          <w:tcPr>
            <w:tcW w:type="dxa" w:w="1600"/>
            <w:shd w:fill="FFFFFF" w:val="clear"/>
          </w:tcPr>
          <w:p>
            <w:pPr>
              <w:spacing w:after="60" w:before="60"/>
              <w:jc w:val="center"/>
            </w:pPr>
            <w:r>
              <w:rPr>
                <w:sz w:val="20"/>
                <w:szCs w:val="20"/>
              </w:rPr>
              <w:t xml:space="preserve">0,0%</w:t>
            </w:r>
          </w:p>
        </w:tc>
      </w:tr>
      <w:tr>
        <w:tc>
          <w:tcPr>
            <w:tcW w:type="dxa" w:w="2200"/>
            <w:shd w:fill="EBF3FB" w:val="clear"/>
          </w:tcPr>
          <w:p>
            <w:pPr>
              <w:spacing w:after="60" w:before="60"/>
              <w:jc w:val="center"/>
            </w:pPr>
            <w:r>
              <w:rPr>
                <w:sz w:val="20"/>
                <w:szCs w:val="20"/>
              </w:rPr>
              <w:t xml:space="preserve">EMBI+ (h=20T)</w:t>
            </w:r>
          </w:p>
        </w:tc>
        <w:tc>
          <w:tcPr>
            <w:tcW w:type="dxa" w:w="1600"/>
            <w:shd w:fill="EBF3FB" w:val="clear"/>
          </w:tcPr>
          <w:p>
            <w:pPr>
              <w:spacing w:after="60" w:before="60"/>
              <w:jc w:val="center"/>
            </w:pPr>
            <w:r>
              <w:rPr>
                <w:sz w:val="20"/>
                <w:szCs w:val="20"/>
              </w:rPr>
              <w:t xml:space="preserve">36,5%</w:t>
            </w:r>
          </w:p>
        </w:tc>
        <w:tc>
          <w:tcPr>
            <w:tcW w:type="dxa" w:w="1800"/>
            <w:shd w:fill="EBF3FB" w:val="clear"/>
          </w:tcPr>
          <w:p>
            <w:pPr>
              <w:spacing w:after="60" w:before="60"/>
              <w:jc w:val="center"/>
            </w:pPr>
            <w:r>
              <w:rPr>
                <w:sz w:val="20"/>
                <w:szCs w:val="20"/>
              </w:rPr>
              <w:t xml:space="preserve">21,6%</w:t>
            </w:r>
          </w:p>
        </w:tc>
        <w:tc>
          <w:tcPr>
            <w:tcW w:type="dxa" w:w="1600"/>
            <w:shd w:fill="EBF3FB" w:val="clear"/>
          </w:tcPr>
          <w:p>
            <w:pPr>
              <w:spacing w:after="60" w:before="60"/>
              <w:jc w:val="center"/>
            </w:pPr>
            <w:r>
              <w:rPr>
                <w:sz w:val="20"/>
                <w:szCs w:val="20"/>
              </w:rPr>
              <w:t xml:space="preserve">36,1%</w:t>
            </w:r>
          </w:p>
        </w:tc>
        <w:tc>
          <w:tcPr>
            <w:tcW w:type="dxa" w:w="1700"/>
            <w:shd w:fill="EBF3FB" w:val="clear"/>
          </w:tcPr>
          <w:p>
            <w:pPr>
              <w:spacing w:after="60" w:before="60"/>
              <w:jc w:val="center"/>
            </w:pPr>
            <w:r>
              <w:rPr>
                <w:sz w:val="20"/>
                <w:szCs w:val="20"/>
              </w:rPr>
              <w:t xml:space="preserve">1,8%</w:t>
            </w:r>
          </w:p>
        </w:tc>
        <w:tc>
          <w:tcPr>
            <w:tcW w:type="dxa" w:w="1600"/>
            <w:shd w:fill="EBF3FB" w:val="clear"/>
          </w:tcPr>
          <w:p>
            <w:pPr>
              <w:spacing w:after="60" w:before="60"/>
              <w:jc w:val="center"/>
            </w:pPr>
            <w:r>
              <w:rPr>
                <w:sz w:val="20"/>
                <w:szCs w:val="20"/>
              </w:rPr>
              <w:t xml:space="preserve">4,0%</w:t>
            </w:r>
          </w:p>
        </w:tc>
      </w:tr>
    </w:tbl>
    <w:p>
      <w:pPr>
        <w:spacing w:after="120"/>
      </w:pPr>
    </w:p>
    <w:p>
      <w:pPr>
        <w:spacing w:after="120" w:before="60"/>
      </w:pPr>
      <w:r>
        <w:rPr>
          <w:b/>
          <w:bCs/>
          <w:i/>
          <w:iCs/>
          <w:color w:val="555555"/>
          <w:sz w:val="20"/>
          <w:szCs w:val="20"/>
        </w:rPr>
        <w:t xml:space="preserve">Nota: </w:t>
      </w:r>
      <w:r>
        <w:rPr>
          <w:i/>
          <w:iCs/>
          <w:color w:val="555555"/>
          <w:sz w:val="20"/>
          <w:szCs w:val="20"/>
        </w:rPr>
        <w:t xml:space="preserve">h = horizonte de pronóstico en trimestres. Fuente: Fase 19 del pipeline econométrico (fase19_fevd.csv). VAR(2), n=86 obs, 2004T1–2025T2. Bootstrap 1.000 réplicas.</w:t>
      </w:r>
    </w:p>
    <w:p>
      <w:pPr>
        <w:spacing w:after="120"/>
        <w:jc w:val="both"/>
      </w:pPr>
      <w:r>
        <w:rPr>
          <w:b w:val="false"/>
          <w:bCs w:val="false"/>
          <w:sz w:val="22"/>
          <w:szCs w:val="22"/>
        </w:rPr>
        <w:t xml:space="preserve">Lo que esto nos dice en términos simples: la principal causa de variaciones en la deuda argentina en el largo plazo son los shocks al resultado primario (47,5%), seguidos por la actividad económica (28,6%). El riesgo país y el tipo de cambio tienen un rol secundario. Esto implica que la sostenibilidad de la deuda depende fundamentalmente de la disciplina fiscal, no de shocks externos.</w:t>
      </w:r>
    </w:p>
    <w:p>
      <w:pPr>
        <w:pStyle w:val="Heading2"/>
        <w:spacing w:after="150" w:before="300"/>
      </w:pPr>
      <w:r>
        <w:t xml:space="preserve">3.4 Función de Impulso-Respuesta: ¿Qué pasa cuando el riesgo país sube?</w:t>
      </w:r>
    </w:p>
    <w:p>
      <w:pPr>
        <w:spacing w:after="120"/>
        <w:jc w:val="both"/>
      </w:pPr>
      <w:r>
        <w:rPr>
          <w:b w:val="false"/>
          <w:bCs w:val="false"/>
          <w:sz w:val="22"/>
          <w:szCs w:val="22"/>
        </w:rPr>
        <w:t xml:space="preserve">Las funciones de impulso-respuesta (IRF) muestran cómo se propaga un shock a lo largo del tiempo. Un shock de 1 desvío estándar al riesgo país (EMBI+) equivale a aproximadamente 473 puntos básicos de perturbación instantánea (ver Matriz de Impacto Contemporáneo S).</w:t>
      </w:r>
    </w:p>
    <w:p>
      <w:pPr>
        <w:spacing w:after="120"/>
        <w:jc w:val="both"/>
      </w:pPr>
      <w:r>
        <w:rPr>
          <w:b w:val="false"/>
          <w:bCs w:val="false"/>
          <w:sz w:val="22"/>
          <w:szCs w:val="22"/>
        </w:rPr>
        <w:t xml:space="preserve">La Matriz S estimada muestra que un shock negativo al resultado primario tiene un efecto amplificado sobre el EMBI+ (coeficiente: –221,8), lo que refleja el canal de credibilidad fiscal: un deterioro fiscal se castiga inmediatamente con mayor riesgo país.</w:t>
      </w:r>
    </w:p>
    <w:p>
      <w:pPr>
        <w:pBdr>
          <w:bottom w:val="single" w:color="AAAAAA" w:sz="4"/>
        </w:pBdr>
        <w:spacing w:after="200" w:before="200"/>
      </w:pPr>
    </w:p>
    <w:p>
      <w:pPr>
        <w:pStyle w:val="Heading1"/>
        <w:spacing w:after="200" w:before="400"/>
      </w:pPr>
      <w:r>
        <w:t xml:space="preserve">4. Serie histórica de spreads soberanos (1983–2025)</w:t>
      </w:r>
    </w:p>
    <w:p>
      <w:pPr>
        <w:pStyle w:val="Heading2"/>
        <w:spacing w:after="150" w:before="300"/>
      </w:pPr>
      <w:r>
        <w:t xml:space="preserve">4.1 ¿Qué es el spread soberano?</w:t>
      </w:r>
    </w:p>
    <w:p>
      <w:pPr>
        <w:spacing w:after="120"/>
        <w:jc w:val="both"/>
      </w:pPr>
      <w:r>
        <w:rPr>
          <w:b w:val="false"/>
          <w:bCs w:val="false"/>
          <w:sz w:val="22"/>
          <w:szCs w:val="22"/>
        </w:rPr>
        <w:t xml:space="preserve">El «spread soberano» es la diferencia entre lo que paga Argentina para endeudarse y lo que pagan los EE.UU. (considerados el deudor más seguro del mundo). Se mide en «puntos básicos» (1 punto básico = 0,01%). Un spread de 1.000 puntos significa que Argentina paga un 10% anual más caro que Estados Unidos.</w:t>
      </w:r>
    </w:p>
    <w:p>
      <w:pPr>
        <w:pStyle w:val="Heading2"/>
        <w:spacing w:after="150" w:before="300"/>
      </w:pPr>
      <w:r>
        <w:t xml:space="preserve">4.2 Cómo construimos la serie 1983–2025</w:t>
      </w:r>
    </w:p>
    <w:p>
      <w:pPr>
        <w:spacing w:after="120"/>
        <w:jc w:val="both"/>
      </w:pPr>
      <w:r>
        <w:rPr>
          <w:b w:val="false"/>
          <w:bCs w:val="false"/>
          <w:sz w:val="22"/>
          <w:szCs w:val="22"/>
        </w:rPr>
        <w:t xml:space="preserve">No existía una serie continua y homogénea para 42 años. Construimos una combinando tres fuentes:</w:t>
      </w:r>
    </w:p>
    <w:p>
      <w:pPr>
        <w:pStyle w:val="ListParagraph"/>
        <w:numPr>
          <w:ilvl w:val="0"/>
          <w:numId w:val="1"/>
        </w:numPr>
        <w:spacing w:after="80"/>
        <w:jc w:val="both"/>
      </w:pPr>
      <w:r>
        <w:rPr>
          <w:sz w:val="22"/>
          <w:szCs w:val="22"/>
        </w:rPr>
        <w:t xml:space="preserve">1983–1992: Bonex (bonos del Estado argentino en dólares), calibrados con datos de Neumeyer &amp; Perri (2005, Journal of Monetary Economics) y registros del CEMA, FIEL y BCRA.</w:t>
      </w:r>
    </w:p>
    <w:p>
      <w:pPr>
        <w:pStyle w:val="ListParagraph"/>
        <w:numPr>
          <w:ilvl w:val="0"/>
          <w:numId w:val="1"/>
        </w:numPr>
        <w:spacing w:after="80"/>
        <w:jc w:val="both"/>
      </w:pPr>
      <w:r>
        <w:rPr>
          <w:sz w:val="22"/>
          <w:szCs w:val="22"/>
        </w:rPr>
        <w:t xml:space="preserve">1993–1997: JP Morgan EMBI Argentina Stripped Spread (Bonos Brady: Par, Discount, FRB).</w:t>
      </w:r>
    </w:p>
    <w:p>
      <w:pPr>
        <w:pStyle w:val="ListParagraph"/>
        <w:numPr>
          <w:ilvl w:val="0"/>
          <w:numId w:val="1"/>
        </w:numPr>
        <w:spacing w:after="80"/>
        <w:jc w:val="both"/>
      </w:pPr>
      <w:r>
        <w:rPr>
          <w:sz w:val="22"/>
          <w:szCs w:val="22"/>
        </w:rPr>
        <w:t xml:space="preserve">1998–2025: JP Morgan EMBI+ / EMBI Global Diversified Argentina oficial.</w:t>
      </w:r>
    </w:p>
    <w:p>
      <w:pPr>
        <w:spacing w:after="120"/>
        <w:jc w:val="both"/>
      </w:pPr>
      <w:r>
        <w:rPr>
          <w:b w:val="false"/>
          <w:bCs w:val="false"/>
          <w:sz w:val="22"/>
          <w:szCs w:val="22"/>
        </w:rPr>
        <w:t xml:space="preserve">Para empalmar las tres series sin distorsionar los niveles, usamos una técnica de «corrección de sesgo proporcional en solapamiento», que ajusta las series antiguas al nivel de la serie oficial del EMBI+ en los puntos donde se superponen.</w:t>
      </w:r>
    </w:p>
    <w:p>
      <w:pPr>
        <w:pStyle w:val="Heading2"/>
        <w:spacing w:after="150" w:before="300"/>
      </w:pPr>
      <w:r>
        <w:t xml:space="preserve">4.3 Regímenes históricos detectados (Bai-Perron)</w:t>
      </w:r>
    </w:p>
    <w:p>
      <w:pPr>
        <w:spacing w:after="120"/>
        <w:jc w:val="both"/>
      </w:pPr>
      <w:r>
        <w:rPr>
          <w:b w:val="false"/>
          <w:bCs w:val="false"/>
          <w:sz w:val="22"/>
          <w:szCs w:val="22"/>
        </w:rPr>
        <w:t xml:space="preserve">Aplicamos el test de Bai-Perron para detectar cuándo cambiaron estructuralmente los niveles del spread. Encontramos 5 quiebres estructurales que definen 6 regímenes:</w:t>
      </w:r>
    </w:p>
    <w:p>
      <w:pPr>
        <w:spacing w:after="120"/>
      </w:pP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200"/>
        <w:gridCol w:w="3200"/>
      </w:tblGrid>
      <w:tr>
        <w:trPr>
          <w:tblHeader/>
        </w:trPr>
        <w:tc>
          <w:tcPr>
            <w:tcW w:type="dxa" w:w="800"/>
            <w:shd w:fill="1F4E79" w:val="clear"/>
          </w:tcPr>
          <w:p>
            <w:pPr>
              <w:spacing w:after="60" w:before="60"/>
              <w:jc w:val="center"/>
            </w:pPr>
            <w:r>
              <w:rPr>
                <w:b/>
                <w:bCs/>
                <w:color w:val="FFFFFF"/>
                <w:sz w:val="20"/>
                <w:szCs w:val="20"/>
              </w:rPr>
              <w:t xml:space="preserve">Régimen</w:t>
            </w:r>
          </w:p>
        </w:tc>
        <w:tc>
          <w:tcPr>
            <w:tcW w:type="dxa" w:w="2400"/>
            <w:shd w:fill="1F4E79" w:val="clear"/>
          </w:tcPr>
          <w:p>
            <w:pPr>
              <w:spacing w:after="60" w:before="60"/>
              <w:jc w:val="center"/>
            </w:pPr>
            <w:r>
              <w:rPr>
                <w:b/>
                <w:bCs/>
                <w:color w:val="FFFFFF"/>
                <w:sz w:val="20"/>
                <w:szCs w:val="20"/>
              </w:rPr>
              <w:t xml:space="preserve">Período</w:t>
            </w:r>
          </w:p>
        </w:tc>
        <w:tc>
          <w:tcPr>
            <w:tcW w:type="dxa" w:w="1200"/>
            <w:shd w:fill="1F4E79" w:val="clear"/>
          </w:tcPr>
          <w:p>
            <w:pPr>
              <w:spacing w:after="60" w:before="60"/>
              <w:jc w:val="center"/>
            </w:pPr>
            <w:r>
              <w:rPr>
                <w:b/>
                <w:bCs/>
                <w:color w:val="FFFFFF"/>
                <w:sz w:val="20"/>
                <w:szCs w:val="20"/>
              </w:rPr>
              <w:t xml:space="preserve">Media (pb)</w:t>
            </w:r>
          </w:p>
        </w:tc>
        <w:tc>
          <w:tcPr>
            <w:tcW w:type="dxa" w:w="3200"/>
            <w:shd w:fill="1F4E79" w:val="clear"/>
          </w:tcPr>
          <w:p>
            <w:pPr>
              <w:spacing w:after="60" w:before="60"/>
              <w:jc w:val="center"/>
            </w:pPr>
            <w:r>
              <w:rPr>
                <w:b/>
                <w:bCs/>
                <w:color w:val="FFFFFF"/>
                <w:sz w:val="20"/>
                <w:szCs w:val="20"/>
              </w:rPr>
              <w:t xml:space="preserve">Hito principal</w:t>
            </w:r>
          </w:p>
        </w:tc>
      </w:tr>
      <w:tr>
        <w:tc>
          <w:tcPr>
            <w:tcW w:type="dxa" w:w="800"/>
            <w:shd w:fill="EBF3FB" w:val="clear"/>
          </w:tcPr>
          <w:p>
            <w:pPr>
              <w:spacing w:after="60" w:before="60"/>
              <w:jc w:val="center"/>
            </w:pPr>
            <w:r>
              <w:rPr>
                <w:sz w:val="20"/>
                <w:szCs w:val="20"/>
              </w:rPr>
              <w:t xml:space="preserve">1</w:t>
            </w:r>
          </w:p>
        </w:tc>
        <w:tc>
          <w:tcPr>
            <w:tcW w:type="dxa" w:w="2400"/>
            <w:shd w:fill="EBF3FB" w:val="clear"/>
          </w:tcPr>
          <w:p>
            <w:pPr>
              <w:spacing w:after="60" w:before="60"/>
              <w:jc w:val="center"/>
            </w:pPr>
            <w:r>
              <w:rPr>
                <w:sz w:val="20"/>
                <w:szCs w:val="20"/>
              </w:rPr>
              <w:t xml:space="preserve">1983T4–1988T4</w:t>
            </w:r>
          </w:p>
        </w:tc>
        <w:tc>
          <w:tcPr>
            <w:tcW w:type="dxa" w:w="1200"/>
            <w:shd w:fill="EBF3FB" w:val="clear"/>
          </w:tcPr>
          <w:p>
            <w:pPr>
              <w:spacing w:after="60" w:before="60"/>
              <w:jc w:val="center"/>
            </w:pPr>
            <w:r>
              <w:rPr>
                <w:sz w:val="20"/>
                <w:szCs w:val="20"/>
              </w:rPr>
              <w:t xml:space="preserve">798</w:t>
            </w:r>
          </w:p>
        </w:tc>
        <w:tc>
          <w:tcPr>
            <w:tcW w:type="dxa" w:w="3200"/>
            <w:shd w:fill="EBF3FB" w:val="clear"/>
          </w:tcPr>
          <w:p>
            <w:pPr>
              <w:spacing w:after="60" w:before="60"/>
              <w:jc w:val="center"/>
            </w:pPr>
            <w:r>
              <w:rPr>
                <w:sz w:val="20"/>
                <w:szCs w:val="20"/>
              </w:rPr>
              <w:t xml:space="preserve">Transición democrática, colapso del Plan Austral</w:t>
            </w:r>
          </w:p>
        </w:tc>
      </w:tr>
      <w:tr>
        <w:tc>
          <w:tcPr>
            <w:tcW w:type="dxa" w:w="800"/>
            <w:shd w:fill="FFFFFF" w:val="clear"/>
          </w:tcPr>
          <w:p>
            <w:pPr>
              <w:spacing w:after="60" w:before="60"/>
              <w:jc w:val="center"/>
            </w:pPr>
            <w:r>
              <w:rPr>
                <w:sz w:val="20"/>
                <w:szCs w:val="20"/>
              </w:rPr>
              <w:t xml:space="preserve">2</w:t>
            </w:r>
          </w:p>
        </w:tc>
        <w:tc>
          <w:tcPr>
            <w:tcW w:type="dxa" w:w="2400"/>
            <w:shd w:fill="FFFFFF" w:val="clear"/>
          </w:tcPr>
          <w:p>
            <w:pPr>
              <w:spacing w:after="60" w:before="60"/>
              <w:jc w:val="center"/>
            </w:pPr>
            <w:r>
              <w:rPr>
                <w:sz w:val="20"/>
                <w:szCs w:val="20"/>
              </w:rPr>
              <w:t xml:space="preserve">1989T1–1990T4</w:t>
            </w:r>
          </w:p>
        </w:tc>
        <w:tc>
          <w:tcPr>
            <w:tcW w:type="dxa" w:w="1200"/>
            <w:shd w:fill="FFFFFF" w:val="clear"/>
          </w:tcPr>
          <w:p>
            <w:pPr>
              <w:spacing w:after="60" w:before="60"/>
              <w:jc w:val="center"/>
            </w:pPr>
            <w:r>
              <w:rPr>
                <w:sz w:val="20"/>
                <w:szCs w:val="20"/>
              </w:rPr>
              <w:t xml:space="preserve">3.574</w:t>
            </w:r>
          </w:p>
        </w:tc>
        <w:tc>
          <w:tcPr>
            <w:tcW w:type="dxa" w:w="3200"/>
            <w:shd w:fill="FFFFFF" w:val="clear"/>
          </w:tcPr>
          <w:p>
            <w:pPr>
              <w:spacing w:after="60" w:before="60"/>
              <w:jc w:val="center"/>
            </w:pPr>
            <w:r>
              <w:rPr>
                <w:sz w:val="20"/>
                <w:szCs w:val="20"/>
              </w:rPr>
              <w:t xml:space="preserve">Hiperinflaciones 1989–1990</w:t>
            </w:r>
          </w:p>
        </w:tc>
      </w:tr>
      <w:tr>
        <w:tc>
          <w:tcPr>
            <w:tcW w:type="dxa" w:w="800"/>
            <w:shd w:fill="EBF3FB" w:val="clear"/>
          </w:tcPr>
          <w:p>
            <w:pPr>
              <w:spacing w:after="60" w:before="60"/>
              <w:jc w:val="center"/>
            </w:pPr>
            <w:r>
              <w:rPr>
                <w:sz w:val="20"/>
                <w:szCs w:val="20"/>
              </w:rPr>
              <w:t xml:space="preserve">3</w:t>
            </w:r>
          </w:p>
        </w:tc>
        <w:tc>
          <w:tcPr>
            <w:tcW w:type="dxa" w:w="2400"/>
            <w:shd w:fill="EBF3FB" w:val="clear"/>
          </w:tcPr>
          <w:p>
            <w:pPr>
              <w:spacing w:after="60" w:before="60"/>
              <w:jc w:val="center"/>
            </w:pPr>
            <w:r>
              <w:rPr>
                <w:sz w:val="20"/>
                <w:szCs w:val="20"/>
              </w:rPr>
              <w:t xml:space="preserve">1991T1–2001T4</w:t>
            </w:r>
          </w:p>
        </w:tc>
        <w:tc>
          <w:tcPr>
            <w:tcW w:type="dxa" w:w="1200"/>
            <w:shd w:fill="EBF3FB" w:val="clear"/>
          </w:tcPr>
          <w:p>
            <w:pPr>
              <w:spacing w:after="60" w:before="60"/>
              <w:jc w:val="center"/>
            </w:pPr>
            <w:r>
              <w:rPr>
                <w:sz w:val="20"/>
                <w:szCs w:val="20"/>
              </w:rPr>
              <w:t xml:space="preserve">832</w:t>
            </w:r>
          </w:p>
        </w:tc>
        <w:tc>
          <w:tcPr>
            <w:tcW w:type="dxa" w:w="3200"/>
            <w:shd w:fill="EBF3FB" w:val="clear"/>
          </w:tcPr>
          <w:p>
            <w:pPr>
              <w:spacing w:after="60" w:before="60"/>
              <w:jc w:val="center"/>
            </w:pPr>
            <w:r>
              <w:rPr>
                <w:sz w:val="20"/>
                <w:szCs w:val="20"/>
              </w:rPr>
              <w:t xml:space="preserve">Convertibilidad, Plan Brady</w:t>
            </w:r>
          </w:p>
        </w:tc>
      </w:tr>
      <w:tr>
        <w:tc>
          <w:tcPr>
            <w:tcW w:type="dxa" w:w="800"/>
            <w:shd w:fill="FFFFFF" w:val="clear"/>
          </w:tcPr>
          <w:p>
            <w:pPr>
              <w:spacing w:after="60" w:before="60"/>
              <w:jc w:val="center"/>
            </w:pPr>
            <w:r>
              <w:rPr>
                <w:sz w:val="20"/>
                <w:szCs w:val="20"/>
              </w:rPr>
              <w:t xml:space="preserve">4</w:t>
            </w:r>
          </w:p>
        </w:tc>
        <w:tc>
          <w:tcPr>
            <w:tcW w:type="dxa" w:w="2400"/>
            <w:shd w:fill="FFFFFF" w:val="clear"/>
          </w:tcPr>
          <w:p>
            <w:pPr>
              <w:spacing w:after="60" w:before="60"/>
              <w:jc w:val="center"/>
            </w:pPr>
            <w:r>
              <w:rPr>
                <w:sz w:val="20"/>
                <w:szCs w:val="20"/>
              </w:rPr>
              <w:t xml:space="preserve">2002T1–2005T2</w:t>
            </w:r>
          </w:p>
        </w:tc>
        <w:tc>
          <w:tcPr>
            <w:tcW w:type="dxa" w:w="1200"/>
            <w:shd w:fill="FFFFFF" w:val="clear"/>
          </w:tcPr>
          <w:p>
            <w:pPr>
              <w:spacing w:after="60" w:before="60"/>
              <w:jc w:val="center"/>
            </w:pPr>
            <w:r>
              <w:rPr>
                <w:sz w:val="20"/>
                <w:szCs w:val="20"/>
              </w:rPr>
              <w:t xml:space="preserve">5.431</w:t>
            </w:r>
          </w:p>
        </w:tc>
        <w:tc>
          <w:tcPr>
            <w:tcW w:type="dxa" w:w="3200"/>
            <w:shd w:fill="FFFFFF" w:val="clear"/>
          </w:tcPr>
          <w:p>
            <w:pPr>
              <w:spacing w:after="60" w:before="60"/>
              <w:jc w:val="center"/>
            </w:pPr>
            <w:r>
              <w:rPr>
                <w:sz w:val="20"/>
                <w:szCs w:val="20"/>
              </w:rPr>
              <w:t xml:space="preserve">Default 2001–2002 (máximo histórico)</w:t>
            </w:r>
          </w:p>
        </w:tc>
      </w:tr>
      <w:tr>
        <w:tc>
          <w:tcPr>
            <w:tcW w:type="dxa" w:w="800"/>
            <w:shd w:fill="EBF3FB" w:val="clear"/>
          </w:tcPr>
          <w:p>
            <w:pPr>
              <w:spacing w:after="60" w:before="60"/>
              <w:jc w:val="center"/>
            </w:pPr>
            <w:r>
              <w:rPr>
                <w:sz w:val="20"/>
                <w:szCs w:val="20"/>
              </w:rPr>
              <w:t xml:space="preserve">5</w:t>
            </w:r>
          </w:p>
        </w:tc>
        <w:tc>
          <w:tcPr>
            <w:tcW w:type="dxa" w:w="2400"/>
            <w:shd w:fill="EBF3FB" w:val="clear"/>
          </w:tcPr>
          <w:p>
            <w:pPr>
              <w:spacing w:after="60" w:before="60"/>
              <w:jc w:val="center"/>
            </w:pPr>
            <w:r>
              <w:rPr>
                <w:sz w:val="20"/>
                <w:szCs w:val="20"/>
              </w:rPr>
              <w:t xml:space="preserve">2005T3–2019T2</w:t>
            </w:r>
          </w:p>
        </w:tc>
        <w:tc>
          <w:tcPr>
            <w:tcW w:type="dxa" w:w="1200"/>
            <w:shd w:fill="EBF3FB" w:val="clear"/>
          </w:tcPr>
          <w:p>
            <w:pPr>
              <w:spacing w:after="60" w:before="60"/>
              <w:jc w:val="center"/>
            </w:pPr>
            <w:r>
              <w:rPr>
                <w:sz w:val="20"/>
                <w:szCs w:val="20"/>
              </w:rPr>
              <w:t xml:space="preserve">684</w:t>
            </w:r>
          </w:p>
        </w:tc>
        <w:tc>
          <w:tcPr>
            <w:tcW w:type="dxa" w:w="3200"/>
            <w:shd w:fill="EBF3FB" w:val="clear"/>
          </w:tcPr>
          <w:p>
            <w:pPr>
              <w:spacing w:after="60" w:before="60"/>
              <w:jc w:val="center"/>
            </w:pPr>
            <w:r>
              <w:rPr>
                <w:sz w:val="20"/>
                <w:szCs w:val="20"/>
              </w:rPr>
              <w:t xml:space="preserve">Canje 2005/2010, superávits gemelos</w:t>
            </w:r>
          </w:p>
        </w:tc>
      </w:tr>
      <w:tr>
        <w:tc>
          <w:tcPr>
            <w:tcW w:type="dxa" w:w="800"/>
            <w:shd w:fill="FFFFFF" w:val="clear"/>
          </w:tcPr>
          <w:p>
            <w:pPr>
              <w:spacing w:after="60" w:before="60"/>
              <w:jc w:val="center"/>
            </w:pPr>
            <w:r>
              <w:rPr>
                <w:sz w:val="20"/>
                <w:szCs w:val="20"/>
              </w:rPr>
              <w:t xml:space="preserve">6</w:t>
            </w:r>
          </w:p>
        </w:tc>
        <w:tc>
          <w:tcPr>
            <w:tcW w:type="dxa" w:w="2400"/>
            <w:shd w:fill="FFFFFF" w:val="clear"/>
          </w:tcPr>
          <w:p>
            <w:pPr>
              <w:spacing w:after="60" w:before="60"/>
              <w:jc w:val="center"/>
            </w:pPr>
            <w:r>
              <w:rPr>
                <w:sz w:val="20"/>
                <w:szCs w:val="20"/>
              </w:rPr>
              <w:t xml:space="preserve">2019T3–2025T4</w:t>
            </w:r>
          </w:p>
        </w:tc>
        <w:tc>
          <w:tcPr>
            <w:tcW w:type="dxa" w:w="1200"/>
            <w:shd w:fill="FFFFFF" w:val="clear"/>
          </w:tcPr>
          <w:p>
            <w:pPr>
              <w:spacing w:after="60" w:before="60"/>
              <w:jc w:val="center"/>
            </w:pPr>
            <w:r>
              <w:rPr>
                <w:sz w:val="20"/>
                <w:szCs w:val="20"/>
              </w:rPr>
              <w:t xml:space="preserve">1.732</w:t>
            </w:r>
          </w:p>
        </w:tc>
        <w:tc>
          <w:tcPr>
            <w:tcW w:type="dxa" w:w="3200"/>
            <w:shd w:fill="FFFFFF" w:val="clear"/>
          </w:tcPr>
          <w:p>
            <w:pPr>
              <w:spacing w:after="60" w:before="60"/>
              <w:jc w:val="center"/>
            </w:pPr>
            <w:r>
              <w:rPr>
                <w:sz w:val="20"/>
                <w:szCs w:val="20"/>
              </w:rPr>
              <w:t xml:space="preserve">Shock PASO 2019, Canje 2020, Milei</w:t>
            </w:r>
          </w:p>
        </w:tc>
      </w:tr>
    </w:tbl>
    <w:p>
      <w:pPr>
        <w:spacing w:after="120"/>
      </w:pPr>
    </w:p>
    <w:p>
      <w:pPr>
        <w:spacing w:after="120" w:before="60"/>
      </w:pPr>
      <w:r>
        <w:rPr>
          <w:b/>
          <w:bCs/>
          <w:i/>
          <w:iCs/>
          <w:color w:val="555555"/>
          <w:sz w:val="20"/>
          <w:szCs w:val="20"/>
        </w:rPr>
        <w:t xml:space="preserve">Nota: </w:t>
      </w:r>
      <w:r>
        <w:rPr>
          <w:i/>
          <w:iCs/>
          <w:color w:val="555555"/>
          <w:sz w:val="20"/>
          <w:szCs w:val="20"/>
        </w:rPr>
        <w:t xml:space="preserve">Fuente: fase22_bai_perron_1983_2025.csv. n=169 trimestres (1983T4–2025T4). pb = puntos básicos. Test de Bai-Perron con 5 quiebres estructurales.</w:t>
      </w:r>
    </w:p>
    <w:p>
      <w:pPr>
        <w:pBdr>
          <w:bottom w:val="single" w:color="AAAAAA" w:sz="4"/>
        </w:pBdr>
        <w:spacing w:after="200" w:before="200"/>
      </w:pPr>
    </w:p>
    <w:p>
      <w:pPr>
        <w:pStyle w:val="Heading1"/>
        <w:spacing w:after="200" w:before="400"/>
      </w:pPr>
      <w:r>
        <w:t xml:space="preserve">5. Modelos econométricos: Qué se hizo y qué resultados dieron</w:t>
      </w:r>
    </w:p>
    <w:p>
      <w:pPr>
        <w:pStyle w:val="Heading2"/>
        <w:spacing w:after="150" w:before="300"/>
      </w:pPr>
      <w:r>
        <w:t xml:space="preserve">5.1 DOLS — Función de Reacción Fiscal de Bohn</w:t>
      </w:r>
    </w:p>
    <w:p>
      <w:pPr>
        <w:spacing w:after="120"/>
        <w:jc w:val="both"/>
      </w:pPr>
      <w:r>
        <w:rPr>
          <w:b w:val="false"/>
          <w:bCs w:val="false"/>
          <w:sz w:val="22"/>
          <w:szCs w:val="22"/>
        </w:rPr>
        <w:t xml:space="preserve">El primer test central es si Argentina cumple con la «condición de Bohn»: ¿mejora el resultado primario cuando la deuda es más alta? Si lo hace (coeficiente positivo y significativo), la deuda es sostenible en sentido econométrico.</w:t>
      </w:r>
    </w:p>
    <w:p>
      <w:pPr>
        <w:spacing w:after="120"/>
        <w:jc w:val="both"/>
      </w:pPr>
      <w:r>
        <w:rPr>
          <w:b w:val="false"/>
          <w:bCs w:val="false"/>
          <w:sz w:val="22"/>
          <w:szCs w:val="22"/>
        </w:rPr>
        <w:t xml:space="preserve">Resultado: NO. El coeficiente estimado es negativo y estadísticamente insignificante:</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600"/>
        <w:gridCol w:w="1200"/>
        <w:gridCol w:w="2800"/>
      </w:tblGrid>
      <w:tr>
        <w:trPr>
          <w:tblHeader/>
        </w:trPr>
        <w:tc>
          <w:tcPr>
            <w:tcW w:type="dxa" w:w="2800"/>
            <w:shd w:fill="1F4E79" w:val="clear"/>
          </w:tcPr>
          <w:p>
            <w:pPr>
              <w:spacing w:after="60" w:before="60"/>
              <w:jc w:val="center"/>
            </w:pPr>
            <w:r>
              <w:rPr>
                <w:b/>
                <w:bCs/>
                <w:color w:val="FFFFFF"/>
                <w:sz w:val="20"/>
                <w:szCs w:val="20"/>
              </w:rPr>
              <w:t xml:space="preserve">Parámetro</w:t>
            </w:r>
          </w:p>
        </w:tc>
        <w:tc>
          <w:tcPr>
            <w:tcW w:type="dxa" w:w="1200"/>
            <w:shd w:fill="1F4E79" w:val="clear"/>
          </w:tcPr>
          <w:p>
            <w:pPr>
              <w:spacing w:after="60" w:before="60"/>
              <w:jc w:val="center"/>
            </w:pPr>
            <w:r>
              <w:rPr>
                <w:b/>
                <w:bCs/>
                <w:color w:val="FFFFFF"/>
                <w:sz w:val="20"/>
                <w:szCs w:val="20"/>
              </w:rPr>
              <w:t xml:space="preserve">Valor</w:t>
            </w:r>
          </w:p>
        </w:tc>
        <w:tc>
          <w:tcPr>
            <w:tcW w:type="dxa" w:w="1600"/>
            <w:shd w:fill="1F4E79" w:val="clear"/>
          </w:tcPr>
          <w:p>
            <w:pPr>
              <w:spacing w:after="60" w:before="60"/>
              <w:jc w:val="center"/>
            </w:pPr>
            <w:r>
              <w:rPr>
                <w:b/>
                <w:bCs/>
                <w:color w:val="FFFFFF"/>
                <w:sz w:val="20"/>
                <w:szCs w:val="20"/>
              </w:rPr>
              <w:t xml:space="preserve">Error estándar</w:t>
            </w:r>
          </w:p>
        </w:tc>
        <w:tc>
          <w:tcPr>
            <w:tcW w:type="dxa" w:w="1200"/>
            <w:shd w:fill="1F4E79" w:val="clear"/>
          </w:tcPr>
          <w:p>
            <w:pPr>
              <w:spacing w:after="60" w:before="60"/>
              <w:jc w:val="center"/>
            </w:pPr>
            <w:r>
              <w:rPr>
                <w:b/>
                <w:bCs/>
                <w:color w:val="FFFFFF"/>
                <w:sz w:val="20"/>
                <w:szCs w:val="20"/>
              </w:rPr>
              <w:t xml:space="preserve">p-valor</w:t>
            </w:r>
          </w:p>
        </w:tc>
        <w:tc>
          <w:tcPr>
            <w:tcW w:type="dxa" w:w="2800"/>
            <w:shd w:fill="1F4E79" w:val="clear"/>
          </w:tcPr>
          <w:p>
            <w:pPr>
              <w:spacing w:after="60" w:before="60"/>
              <w:jc w:val="center"/>
            </w:pPr>
            <w:r>
              <w:rPr>
                <w:b/>
                <w:bCs/>
                <w:color w:val="FFFFFF"/>
                <w:sz w:val="20"/>
                <w:szCs w:val="20"/>
              </w:rPr>
              <w:t xml:space="preserve">Interpretación</w:t>
            </w:r>
          </w:p>
        </w:tc>
      </w:tr>
      <w:tr>
        <w:tc>
          <w:tcPr>
            <w:tcW w:type="dxa" w:w="2800"/>
            <w:shd w:fill="EBF3FB" w:val="clear"/>
          </w:tcPr>
          <w:p>
            <w:pPr>
              <w:spacing w:after="60" w:before="60"/>
              <w:jc w:val="center"/>
            </w:pPr>
            <w:r>
              <w:rPr>
                <w:sz w:val="20"/>
                <w:szCs w:val="20"/>
              </w:rPr>
              <w:t xml:space="preserve">ρ (reacción de pb ante deuda/PIB)</w:t>
            </w:r>
          </w:p>
        </w:tc>
        <w:tc>
          <w:tcPr>
            <w:tcW w:type="dxa" w:w="1200"/>
            <w:shd w:fill="EBF3FB" w:val="clear"/>
          </w:tcPr>
          <w:p>
            <w:pPr>
              <w:spacing w:after="60" w:before="60"/>
              <w:jc w:val="center"/>
            </w:pPr>
            <w:r>
              <w:rPr>
                <w:sz w:val="20"/>
                <w:szCs w:val="20"/>
              </w:rPr>
              <w:t xml:space="preserve">−0,0071</w:t>
            </w:r>
          </w:p>
        </w:tc>
        <w:tc>
          <w:tcPr>
            <w:tcW w:type="dxa" w:w="1600"/>
            <w:shd w:fill="EBF3FB" w:val="clear"/>
          </w:tcPr>
          <w:p>
            <w:pPr>
              <w:spacing w:after="60" w:before="60"/>
              <w:jc w:val="center"/>
            </w:pPr>
            <w:r>
              <w:rPr>
                <w:sz w:val="20"/>
                <w:szCs w:val="20"/>
              </w:rPr>
              <w:t xml:space="preserve">0,012</w:t>
            </w:r>
          </w:p>
        </w:tc>
        <w:tc>
          <w:tcPr>
            <w:tcW w:type="dxa" w:w="1200"/>
            <w:shd w:fill="EBF3FB" w:val="clear"/>
          </w:tcPr>
          <w:p>
            <w:pPr>
              <w:spacing w:after="60" w:before="60"/>
              <w:jc w:val="center"/>
            </w:pPr>
            <w:r>
              <w:rPr>
                <w:sz w:val="20"/>
                <w:szCs w:val="20"/>
              </w:rPr>
              <w:t xml:space="preserve">0,564</w:t>
            </w:r>
          </w:p>
        </w:tc>
        <w:tc>
          <w:tcPr>
            <w:tcW w:type="dxa" w:w="2800"/>
            <w:shd w:fill="EBF3FB" w:val="clear"/>
          </w:tcPr>
          <w:p>
            <w:pPr>
              <w:spacing w:after="60" w:before="60"/>
              <w:jc w:val="center"/>
            </w:pPr>
            <w:r>
              <w:rPr>
                <w:sz w:val="20"/>
                <w:szCs w:val="20"/>
              </w:rPr>
              <w:t xml:space="preserve">No significativo</w:t>
            </w:r>
          </w:p>
        </w:tc>
      </w:tr>
      <w:tr>
        <w:tc>
          <w:tcPr>
            <w:tcW w:type="dxa" w:w="2800"/>
            <w:shd w:fill="FFFFFF" w:val="clear"/>
          </w:tcPr>
          <w:p>
            <w:pPr>
              <w:spacing w:after="60" w:before="60"/>
              <w:jc w:val="center"/>
            </w:pPr>
            <w:r>
              <w:rPr>
                <w:sz w:val="20"/>
                <w:szCs w:val="20"/>
              </w:rPr>
              <w:t xml:space="preserve">R²</w:t>
            </w:r>
          </w:p>
        </w:tc>
        <w:tc>
          <w:tcPr>
            <w:tcW w:type="dxa" w:w="1200"/>
            <w:shd w:fill="FFFFFF" w:val="clear"/>
          </w:tcPr>
          <w:p>
            <w:pPr>
              <w:spacing w:after="60" w:before="60"/>
              <w:jc w:val="center"/>
            </w:pPr>
            <w:r>
              <w:rPr>
                <w:sz w:val="20"/>
                <w:szCs w:val="20"/>
              </w:rPr>
              <w:t xml:space="preserve">0,586</w:t>
            </w:r>
          </w:p>
        </w:tc>
        <w:tc>
          <w:tcPr>
            <w:tcW w:type="dxa" w:w="1600"/>
            <w:shd w:fill="FFFFFF" w:val="clear"/>
          </w:tcPr>
          <w:p>
            <w:pPr>
              <w:spacing w:after="60" w:before="60"/>
              <w:jc w:val="center"/>
            </w:pPr>
            <w:r>
              <w:rPr>
                <w:sz w:val="20"/>
                <w:szCs w:val="20"/>
              </w:rPr>
              <w:t xml:space="preserve">—</w:t>
            </w:r>
          </w:p>
        </w:tc>
        <w:tc>
          <w:tcPr>
            <w:tcW w:type="dxa" w:w="1200"/>
            <w:shd w:fill="FFFFFF" w:val="clear"/>
          </w:tcPr>
          <w:p>
            <w:pPr>
              <w:spacing w:after="60" w:before="60"/>
              <w:jc w:val="center"/>
            </w:pPr>
            <w:r>
              <w:rPr>
                <w:sz w:val="20"/>
                <w:szCs w:val="20"/>
              </w:rPr>
              <w:t xml:space="preserve">—</w:t>
            </w:r>
          </w:p>
        </w:tc>
        <w:tc>
          <w:tcPr>
            <w:tcW w:type="dxa" w:w="2800"/>
            <w:shd w:fill="FFFFFF" w:val="clear"/>
          </w:tcPr>
          <w:p>
            <w:pPr>
              <w:spacing w:after="60" w:before="60"/>
              <w:jc w:val="center"/>
            </w:pPr>
            <w:r>
              <w:rPr>
                <w:sz w:val="20"/>
                <w:szCs w:val="20"/>
              </w:rPr>
              <w:t xml:space="preserve">Buen ajuste global</w:t>
            </w:r>
          </w:p>
        </w:tc>
      </w:tr>
      <w:tr>
        <w:tc>
          <w:tcPr>
            <w:tcW w:type="dxa" w:w="2800"/>
            <w:shd w:fill="EBF3FB" w:val="clear"/>
          </w:tcPr>
          <w:p>
            <w:pPr>
              <w:spacing w:after="60" w:before="60"/>
              <w:jc w:val="center"/>
            </w:pPr>
            <w:r>
              <w:rPr>
                <w:sz w:val="20"/>
                <w:szCs w:val="20"/>
              </w:rPr>
              <w:t xml:space="preserve">F-estadístico</w:t>
            </w:r>
          </w:p>
        </w:tc>
        <w:tc>
          <w:tcPr>
            <w:tcW w:type="dxa" w:w="1200"/>
            <w:shd w:fill="EBF3FB" w:val="clear"/>
          </w:tcPr>
          <w:p>
            <w:pPr>
              <w:spacing w:after="60" w:before="60"/>
              <w:jc w:val="center"/>
            </w:pPr>
            <w:r>
              <w:rPr>
                <w:sz w:val="20"/>
                <w:szCs w:val="20"/>
              </w:rPr>
              <w:t xml:space="preserve">6,41</w:t>
            </w:r>
          </w:p>
        </w:tc>
        <w:tc>
          <w:tcPr>
            <w:tcW w:type="dxa" w:w="1600"/>
            <w:shd w:fill="EBF3FB" w:val="clear"/>
          </w:tcPr>
          <w:p>
            <w:pPr>
              <w:spacing w:after="60" w:before="60"/>
              <w:jc w:val="center"/>
            </w:pPr>
            <w:r>
              <w:rPr>
                <w:sz w:val="20"/>
                <w:szCs w:val="20"/>
              </w:rPr>
              <w:t xml:space="preserve">—</w:t>
            </w:r>
          </w:p>
        </w:tc>
        <w:tc>
          <w:tcPr>
            <w:tcW w:type="dxa" w:w="1200"/>
            <w:shd w:fill="EBF3FB" w:val="clear"/>
          </w:tcPr>
          <w:p>
            <w:pPr>
              <w:spacing w:after="60" w:before="60"/>
              <w:jc w:val="center"/>
            </w:pPr>
            <w:r>
              <w:rPr>
                <w:sz w:val="20"/>
                <w:szCs w:val="20"/>
              </w:rPr>
              <w:t xml:space="preserve">&lt;0,001</w:t>
            </w:r>
          </w:p>
        </w:tc>
        <w:tc>
          <w:tcPr>
            <w:tcW w:type="dxa" w:w="2800"/>
            <w:shd w:fill="EBF3FB" w:val="clear"/>
          </w:tcPr>
          <w:p>
            <w:pPr>
              <w:spacing w:after="60" w:before="60"/>
              <w:jc w:val="center"/>
            </w:pPr>
            <w:r>
              <w:rPr>
                <w:sz w:val="20"/>
                <w:szCs w:val="20"/>
              </w:rPr>
              <w:t xml:space="preserve">Modelo conjunto significativo</w:t>
            </w:r>
          </w:p>
        </w:tc>
      </w:tr>
    </w:tbl>
    <w:p>
      <w:pPr>
        <w:spacing w:after="120"/>
      </w:pPr>
    </w:p>
    <w:p>
      <w:pPr>
        <w:spacing w:after="120"/>
        <w:jc w:val="both"/>
      </w:pPr>
      <w:r>
        <w:rPr>
          <w:b w:val="false"/>
          <w:bCs w:val="false"/>
          <w:sz w:val="22"/>
          <w:szCs w:val="22"/>
        </w:rPr>
        <w:t xml:space="preserve">En términos simples: Argentina no aumenta su superávit primario cuando la deuda sube. Esto es evidencia de que la política fiscal argentina no reacciona de manera estabilizadora. Sin embargo, este resultado no implica automáticamente insolvencia: el modelo DOLS puede subestimar la reacción en contextos no lineales (ver Hansen).</w:t>
      </w:r>
    </w:p>
    <w:p>
      <w:pPr>
        <w:pStyle w:val="Heading2"/>
        <w:spacing w:after="150" w:before="300"/>
      </w:pPr>
      <w:r>
        <w:t xml:space="preserve">5.2 VECM — Vector de Corrección de Error</w:t>
      </w:r>
    </w:p>
    <w:p>
      <w:pPr>
        <w:spacing w:after="120"/>
        <w:jc w:val="both"/>
      </w:pPr>
      <w:r>
        <w:rPr>
          <w:b w:val="false"/>
          <w:bCs w:val="false"/>
          <w:sz w:val="22"/>
          <w:szCs w:val="22"/>
        </w:rPr>
        <w:t xml:space="preserve">El VECM (Vector de Corrección de Error) analiza si existe una relación de largo plazo estable entre deuda, resultado primario, riesgo país y tipo de cambio. Trabajamos con una muestra ampliada (1999–2025, 108 trimestres).</w:t>
      </w:r>
    </w:p>
    <w:p>
      <w:pPr>
        <w:spacing w:after="120"/>
        <w:jc w:val="both"/>
      </w:pPr>
      <w:r>
        <w:rPr>
          <w:b w:val="false"/>
          <w:bCs w:val="false"/>
          <w:sz w:val="22"/>
          <w:szCs w:val="22"/>
        </w:rPr>
        <w:t xml:space="preserve">Encontramos una relación de cointegración (rango r=1), lo que confirma que hay un equilibrio de largo plazo. La velocidad de ajuste de la deuda hacia ese equilibrio es:</w:t>
      </w:r>
    </w:p>
    <w:p>
      <w:pPr>
        <w:spacing w:after="120"/>
      </w:pP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400"/>
        <w:gridCol w:w="1800"/>
      </w:tblGrid>
      <w:tr>
        <w:trPr>
          <w:tblHeader/>
        </w:trPr>
        <w:tc>
          <w:tcPr>
            <w:tcW w:type="dxa" w:w="2400"/>
            <w:shd w:fill="1F4E79" w:val="clear"/>
          </w:tcPr>
          <w:p>
            <w:pPr>
              <w:spacing w:after="60" w:before="60"/>
              <w:jc w:val="center"/>
            </w:pPr>
            <w:r>
              <w:rPr>
                <w:b/>
                <w:bCs/>
                <w:color w:val="FFFFFF"/>
                <w:sz w:val="20"/>
                <w:szCs w:val="20"/>
              </w:rPr>
              <w:t xml:space="preserve">Variable</w:t>
            </w:r>
          </w:p>
        </w:tc>
        <w:tc>
          <w:tcPr>
            <w:tcW w:type="dxa" w:w="2000"/>
            <w:shd w:fill="1F4E79" w:val="clear"/>
          </w:tcPr>
          <w:p>
            <w:pPr>
              <w:spacing w:after="60" w:before="60"/>
              <w:jc w:val="center"/>
            </w:pPr>
            <w:r>
              <w:rPr>
                <w:b/>
                <w:bCs/>
                <w:color w:val="FFFFFF"/>
                <w:sz w:val="20"/>
                <w:szCs w:val="20"/>
              </w:rPr>
              <w:t xml:space="preserve">α (velocidad ajuste)</w:t>
            </w:r>
          </w:p>
        </w:tc>
        <w:tc>
          <w:tcPr>
            <w:tcW w:type="dxa" w:w="1400"/>
            <w:shd w:fill="1F4E79" w:val="clear"/>
          </w:tcPr>
          <w:p>
            <w:pPr>
              <w:spacing w:after="60" w:before="60"/>
              <w:jc w:val="center"/>
            </w:pPr>
            <w:r>
              <w:rPr>
                <w:b/>
                <w:bCs/>
                <w:color w:val="FFFFFF"/>
                <w:sz w:val="20"/>
                <w:szCs w:val="20"/>
              </w:rPr>
              <w:t xml:space="preserve">p-valor</w:t>
            </w:r>
          </w:p>
        </w:tc>
        <w:tc>
          <w:tcPr>
            <w:tcW w:type="dxa" w:w="1800"/>
            <w:shd w:fill="1F4E79" w:val="clear"/>
          </w:tcPr>
          <w:p>
            <w:pPr>
              <w:spacing w:after="60" w:before="60"/>
              <w:jc w:val="center"/>
            </w:pPr>
            <w:r>
              <w:rPr>
                <w:b/>
                <w:bCs/>
                <w:color w:val="FFFFFF"/>
                <w:sz w:val="20"/>
                <w:szCs w:val="20"/>
              </w:rPr>
              <w:t xml:space="preserve">¿Ajusta?</w:t>
            </w:r>
          </w:p>
        </w:tc>
      </w:tr>
      <w:tr>
        <w:tc>
          <w:tcPr>
            <w:tcW w:type="dxa" w:w="2400"/>
            <w:shd w:fill="EBF3FB" w:val="clear"/>
          </w:tcPr>
          <w:p>
            <w:pPr>
              <w:spacing w:after="60" w:before="60"/>
              <w:jc w:val="center"/>
            </w:pPr>
            <w:r>
              <w:rPr>
                <w:sz w:val="20"/>
                <w:szCs w:val="20"/>
              </w:rPr>
              <w:t xml:space="preserve">Deuda / PIB</w:t>
            </w:r>
          </w:p>
        </w:tc>
        <w:tc>
          <w:tcPr>
            <w:tcW w:type="dxa" w:w="2000"/>
            <w:shd w:fill="EBF3FB" w:val="clear"/>
          </w:tcPr>
          <w:p>
            <w:pPr>
              <w:spacing w:after="60" w:before="60"/>
              <w:jc w:val="center"/>
            </w:pPr>
            <w:r>
              <w:rPr>
                <w:sz w:val="20"/>
                <w:szCs w:val="20"/>
              </w:rPr>
              <w:t xml:space="preserve">−0,111</w:t>
            </w:r>
          </w:p>
        </w:tc>
        <w:tc>
          <w:tcPr>
            <w:tcW w:type="dxa" w:w="1400"/>
            <w:shd w:fill="EBF3FB" w:val="clear"/>
          </w:tcPr>
          <w:p>
            <w:pPr>
              <w:spacing w:after="60" w:before="60"/>
              <w:jc w:val="center"/>
            </w:pPr>
            <w:r>
              <w:rPr>
                <w:sz w:val="20"/>
                <w:szCs w:val="20"/>
              </w:rPr>
              <w:t xml:space="preserve">&lt;0,001</w:t>
            </w:r>
          </w:p>
        </w:tc>
        <w:tc>
          <w:tcPr>
            <w:tcW w:type="dxa" w:w="1800"/>
            <w:shd w:fill="EBF3FB" w:val="clear"/>
          </w:tcPr>
          <w:p>
            <w:pPr>
              <w:spacing w:after="60" w:before="60"/>
              <w:jc w:val="center"/>
            </w:pPr>
            <w:r>
              <w:rPr>
                <w:sz w:val="20"/>
                <w:szCs w:val="20"/>
              </w:rPr>
              <w:t xml:space="preserve">Sí — fuerte corrección</w:t>
            </w:r>
          </w:p>
        </w:tc>
      </w:tr>
      <w:tr>
        <w:tc>
          <w:tcPr>
            <w:tcW w:type="dxa" w:w="2400"/>
            <w:shd w:fill="FFFFFF" w:val="clear"/>
          </w:tcPr>
          <w:p>
            <w:pPr>
              <w:spacing w:after="60" w:before="60"/>
              <w:jc w:val="center"/>
            </w:pPr>
            <w:r>
              <w:rPr>
                <w:sz w:val="20"/>
                <w:szCs w:val="20"/>
              </w:rPr>
              <w:t xml:space="preserve">Resultado primario</w:t>
            </w:r>
          </w:p>
        </w:tc>
        <w:tc>
          <w:tcPr>
            <w:tcW w:type="dxa" w:w="2000"/>
            <w:shd w:fill="FFFFFF" w:val="clear"/>
          </w:tcPr>
          <w:p>
            <w:pPr>
              <w:spacing w:after="60" w:before="60"/>
              <w:jc w:val="center"/>
            </w:pPr>
            <w:r>
              <w:rPr>
                <w:sz w:val="20"/>
                <w:szCs w:val="20"/>
              </w:rPr>
              <w:t xml:space="preserve">+0,004</w:t>
            </w:r>
          </w:p>
        </w:tc>
        <w:tc>
          <w:tcPr>
            <w:tcW w:type="dxa" w:w="1400"/>
            <w:shd w:fill="FFFFFF" w:val="clear"/>
          </w:tcPr>
          <w:p>
            <w:pPr>
              <w:spacing w:after="60" w:before="60"/>
              <w:jc w:val="center"/>
            </w:pPr>
            <w:r>
              <w:rPr>
                <w:sz w:val="20"/>
                <w:szCs w:val="20"/>
              </w:rPr>
              <w:t xml:space="preserve">0,204</w:t>
            </w:r>
          </w:p>
        </w:tc>
        <w:tc>
          <w:tcPr>
            <w:tcW w:type="dxa" w:w="1800"/>
            <w:shd w:fill="FFFFFF" w:val="clear"/>
          </w:tcPr>
          <w:p>
            <w:pPr>
              <w:spacing w:after="60" w:before="60"/>
              <w:jc w:val="center"/>
            </w:pPr>
            <w:r>
              <w:rPr>
                <w:sz w:val="20"/>
                <w:szCs w:val="20"/>
              </w:rPr>
              <w:t xml:space="preserve">No — no ajusta</w:t>
            </w:r>
          </w:p>
        </w:tc>
      </w:tr>
      <w:tr>
        <w:tc>
          <w:tcPr>
            <w:tcW w:type="dxa" w:w="2400"/>
            <w:shd w:fill="EBF3FB" w:val="clear"/>
          </w:tcPr>
          <w:p>
            <w:pPr>
              <w:spacing w:after="60" w:before="60"/>
              <w:jc w:val="center"/>
            </w:pPr>
            <w:r>
              <w:rPr>
                <w:sz w:val="20"/>
                <w:szCs w:val="20"/>
              </w:rPr>
              <w:t xml:space="preserve">EMBI+ (riesgo país)</w:t>
            </w:r>
          </w:p>
        </w:tc>
        <w:tc>
          <w:tcPr>
            <w:tcW w:type="dxa" w:w="2000"/>
            <w:shd w:fill="EBF3FB" w:val="clear"/>
          </w:tcPr>
          <w:p>
            <w:pPr>
              <w:spacing w:after="60" w:before="60"/>
              <w:jc w:val="center"/>
            </w:pPr>
            <w:r>
              <w:rPr>
                <w:sz w:val="20"/>
                <w:szCs w:val="20"/>
              </w:rPr>
              <w:t xml:space="preserve">+3,13</w:t>
            </w:r>
          </w:p>
        </w:tc>
        <w:tc>
          <w:tcPr>
            <w:tcW w:type="dxa" w:w="1400"/>
            <w:shd w:fill="EBF3FB" w:val="clear"/>
          </w:tcPr>
          <w:p>
            <w:pPr>
              <w:spacing w:after="60" w:before="60"/>
              <w:jc w:val="center"/>
            </w:pPr>
            <w:r>
              <w:rPr>
                <w:sz w:val="20"/>
                <w:szCs w:val="20"/>
              </w:rPr>
              <w:t xml:space="preserve">0,306</w:t>
            </w:r>
          </w:p>
        </w:tc>
        <w:tc>
          <w:tcPr>
            <w:tcW w:type="dxa" w:w="1800"/>
            <w:shd w:fill="EBF3FB" w:val="clear"/>
          </w:tcPr>
          <w:p>
            <w:pPr>
              <w:spacing w:after="60" w:before="60"/>
              <w:jc w:val="center"/>
            </w:pPr>
            <w:r>
              <w:rPr>
                <w:sz w:val="20"/>
                <w:szCs w:val="20"/>
              </w:rPr>
              <w:t xml:space="preserve">No — no ajusta</w:t>
            </w:r>
          </w:p>
        </w:tc>
      </w:tr>
      <w:tr>
        <w:tc>
          <w:tcPr>
            <w:tcW w:type="dxa" w:w="2400"/>
            <w:shd w:fill="FFFFFF" w:val="clear"/>
          </w:tcPr>
          <w:p>
            <w:pPr>
              <w:spacing w:after="60" w:before="60"/>
              <w:jc w:val="center"/>
            </w:pPr>
            <w:r>
              <w:rPr>
                <w:sz w:val="20"/>
                <w:szCs w:val="20"/>
              </w:rPr>
              <w:t xml:space="preserve">TCRM</w:t>
            </w:r>
          </w:p>
        </w:tc>
        <w:tc>
          <w:tcPr>
            <w:tcW w:type="dxa" w:w="2000"/>
            <w:shd w:fill="FFFFFF" w:val="clear"/>
          </w:tcPr>
          <w:p>
            <w:pPr>
              <w:spacing w:after="60" w:before="60"/>
              <w:jc w:val="center"/>
            </w:pPr>
            <w:r>
              <w:rPr>
                <w:sz w:val="20"/>
                <w:szCs w:val="20"/>
              </w:rPr>
              <w:t xml:space="preserve">−0,001</w:t>
            </w:r>
          </w:p>
        </w:tc>
        <w:tc>
          <w:tcPr>
            <w:tcW w:type="dxa" w:w="1400"/>
            <w:shd w:fill="FFFFFF" w:val="clear"/>
          </w:tcPr>
          <w:p>
            <w:pPr>
              <w:spacing w:after="60" w:before="60"/>
              <w:jc w:val="center"/>
            </w:pPr>
            <w:r>
              <w:rPr>
                <w:sz w:val="20"/>
                <w:szCs w:val="20"/>
              </w:rPr>
              <w:t xml:space="preserve">0,181</w:t>
            </w:r>
          </w:p>
        </w:tc>
        <w:tc>
          <w:tcPr>
            <w:tcW w:type="dxa" w:w="1800"/>
            <w:shd w:fill="FFFFFF" w:val="clear"/>
          </w:tcPr>
          <w:p>
            <w:pPr>
              <w:spacing w:after="60" w:before="60"/>
              <w:jc w:val="center"/>
            </w:pPr>
            <w:r>
              <w:rPr>
                <w:sz w:val="20"/>
                <w:szCs w:val="20"/>
              </w:rPr>
              <w:t xml:space="preserve">No — no ajusta</w:t>
            </w:r>
          </w:p>
        </w:tc>
      </w:tr>
    </w:tbl>
    <w:p>
      <w:pPr>
        <w:spacing w:after="120"/>
      </w:pPr>
    </w:p>
    <w:p>
      <w:pPr>
        <w:spacing w:after="120"/>
        <w:jc w:val="both"/>
      </w:pPr>
      <w:r>
        <w:rPr>
          <w:b w:val="false"/>
          <w:bCs w:val="false"/>
          <w:sz w:val="22"/>
          <w:szCs w:val="22"/>
        </w:rPr>
        <w:t xml:space="preserve">En términos simples: la deuda sí tiende a volver a su nivel de equilibrio cuando se desvía (α negativo y significativo), pero no es el resultado primario quien «corrige» sino la propia dinámica de la deuda. Esto sugiere que el ajuste de largo plazo no pasa por la política fiscal discrecional.</w:t>
      </w:r>
    </w:p>
    <w:p>
      <w:pPr>
        <w:pStyle w:val="Heading2"/>
        <w:spacing w:after="150" w:before="300"/>
      </w:pPr>
      <w:r>
        <w:t xml:space="preserve">5.3 IV-2SLS — Instrumentos para el Riesgo País</w:t>
      </w:r>
    </w:p>
    <w:p>
      <w:pPr>
        <w:spacing w:after="120"/>
        <w:jc w:val="both"/>
      </w:pPr>
      <w:r>
        <w:rPr>
          <w:b w:val="false"/>
          <w:bCs w:val="false"/>
          <w:sz w:val="22"/>
          <w:szCs w:val="22"/>
        </w:rPr>
        <w:t xml:space="preserve">El EMBI+ (riesgo país) puede estar correlacionado con factores no observados que también afectan al resultado primario. Para corregir este problema de «endogeneidad», usamos instrumentos: el VIX (índice de volatilidad de Wall Street) y el EMBI promedio de países emergentes, que capturan el componente «externo» del riesgo argentino.</w:t>
      </w:r>
    </w:p>
    <w:p>
      <w:pPr>
        <w:spacing w:after="120"/>
        <w:jc w:val="both"/>
      </w:pPr>
      <w:r>
        <w:rPr>
          <w:b w:val="false"/>
          <w:bCs w:val="false"/>
          <w:sz w:val="22"/>
          <w:szCs w:val="22"/>
        </w:rPr>
        <w:t xml:space="preserve">Resultados de la estimación IV-2SLS:</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400"/>
        <w:gridCol w:w="3400"/>
      </w:tblGrid>
      <w:tr>
        <w:trPr>
          <w:tblHeader/>
        </w:trPr>
        <w:tc>
          <w:tcPr>
            <w:tcW w:type="dxa" w:w="3200"/>
            <w:shd w:fill="1F4E79" w:val="clear"/>
          </w:tcPr>
          <w:p>
            <w:pPr>
              <w:spacing w:after="60" w:before="60"/>
              <w:jc w:val="center"/>
            </w:pPr>
            <w:r>
              <w:rPr>
                <w:b/>
                <w:bCs/>
                <w:color w:val="FFFFFF"/>
                <w:sz w:val="20"/>
                <w:szCs w:val="20"/>
              </w:rPr>
              <w:t xml:space="preserve">Test</w:t>
            </w:r>
          </w:p>
        </w:tc>
        <w:tc>
          <w:tcPr>
            <w:tcW w:type="dxa" w:w="1600"/>
            <w:shd w:fill="1F4E79" w:val="clear"/>
          </w:tcPr>
          <w:p>
            <w:pPr>
              <w:spacing w:after="60" w:before="60"/>
              <w:jc w:val="center"/>
            </w:pPr>
            <w:r>
              <w:rPr>
                <w:b/>
                <w:bCs/>
                <w:color w:val="FFFFFF"/>
                <w:sz w:val="20"/>
                <w:szCs w:val="20"/>
              </w:rPr>
              <w:t xml:space="preserve">Estadístico</w:t>
            </w:r>
          </w:p>
        </w:tc>
        <w:tc>
          <w:tcPr>
            <w:tcW w:type="dxa" w:w="1400"/>
            <w:shd w:fill="1F4E79" w:val="clear"/>
          </w:tcPr>
          <w:p>
            <w:pPr>
              <w:spacing w:after="60" w:before="60"/>
              <w:jc w:val="center"/>
            </w:pPr>
            <w:r>
              <w:rPr>
                <w:b/>
                <w:bCs/>
                <w:color w:val="FFFFFF"/>
                <w:sz w:val="20"/>
                <w:szCs w:val="20"/>
              </w:rPr>
              <w:t xml:space="preserve">p-valor</w:t>
            </w:r>
          </w:p>
        </w:tc>
        <w:tc>
          <w:tcPr>
            <w:tcW w:type="dxa" w:w="3400"/>
            <w:shd w:fill="1F4E79" w:val="clear"/>
          </w:tcPr>
          <w:p>
            <w:pPr>
              <w:spacing w:after="60" w:before="60"/>
              <w:jc w:val="center"/>
            </w:pPr>
            <w:r>
              <w:rPr>
                <w:b/>
                <w:bCs/>
                <w:color w:val="FFFFFF"/>
                <w:sz w:val="20"/>
                <w:szCs w:val="20"/>
              </w:rPr>
              <w:t xml:space="preserve">Significado</w:t>
            </w:r>
          </w:p>
        </w:tc>
      </w:tr>
      <w:tr>
        <w:tc>
          <w:tcPr>
            <w:tcW w:type="dxa" w:w="3200"/>
            <w:shd w:fill="EBF3FB" w:val="clear"/>
          </w:tcPr>
          <w:p>
            <w:pPr>
              <w:spacing w:after="60" w:before="60"/>
              <w:jc w:val="center"/>
            </w:pPr>
            <w:r>
              <w:rPr>
                <w:sz w:val="20"/>
                <w:szCs w:val="20"/>
              </w:rPr>
              <w:t xml:space="preserve">F primera etapa (instrumentos fuertes)</w:t>
            </w:r>
          </w:p>
        </w:tc>
        <w:tc>
          <w:tcPr>
            <w:tcW w:type="dxa" w:w="1600"/>
            <w:shd w:fill="EBF3FB" w:val="clear"/>
          </w:tcPr>
          <w:p>
            <w:pPr>
              <w:spacing w:after="60" w:before="60"/>
              <w:jc w:val="center"/>
            </w:pPr>
            <w:r>
              <w:rPr>
                <w:sz w:val="20"/>
                <w:szCs w:val="20"/>
              </w:rPr>
              <w:t xml:space="preserve">13,00</w:t>
            </w:r>
          </w:p>
        </w:tc>
        <w:tc>
          <w:tcPr>
            <w:tcW w:type="dxa" w:w="1400"/>
            <w:shd w:fill="EBF3FB" w:val="clear"/>
          </w:tcPr>
          <w:p>
            <w:pPr>
              <w:spacing w:after="60" w:before="60"/>
              <w:jc w:val="center"/>
            </w:pPr>
            <w:r>
              <w:rPr>
                <w:sz w:val="20"/>
                <w:szCs w:val="20"/>
              </w:rPr>
              <w:t xml:space="preserve">0,002</w:t>
            </w:r>
          </w:p>
        </w:tc>
        <w:tc>
          <w:tcPr>
            <w:tcW w:type="dxa" w:w="3400"/>
            <w:shd w:fill="EBF3FB" w:val="clear"/>
          </w:tcPr>
          <w:p>
            <w:pPr>
              <w:spacing w:after="60" w:before="60"/>
              <w:jc w:val="center"/>
            </w:pPr>
            <w:r>
              <w:rPr>
                <w:sz w:val="20"/>
                <w:szCs w:val="20"/>
              </w:rPr>
              <w:t xml:space="preserve">Instrumentos válidos</w:t>
            </w:r>
          </w:p>
        </w:tc>
      </w:tr>
      <w:tr>
        <w:tc>
          <w:tcPr>
            <w:tcW w:type="dxa" w:w="3200"/>
            <w:shd w:fill="FFFFFF" w:val="clear"/>
          </w:tcPr>
          <w:p>
            <w:pPr>
              <w:spacing w:after="60" w:before="60"/>
              <w:jc w:val="center"/>
            </w:pPr>
            <w:r>
              <w:rPr>
                <w:sz w:val="20"/>
                <w:szCs w:val="20"/>
              </w:rPr>
              <w:t xml:space="preserve">Wu-Hausman (endogeneidad)</w:t>
            </w:r>
          </w:p>
        </w:tc>
        <w:tc>
          <w:tcPr>
            <w:tcW w:type="dxa" w:w="1600"/>
            <w:shd w:fill="FFFFFF" w:val="clear"/>
          </w:tcPr>
          <w:p>
            <w:pPr>
              <w:spacing w:after="60" w:before="60"/>
              <w:jc w:val="center"/>
            </w:pPr>
            <w:r>
              <w:rPr>
                <w:sz w:val="20"/>
                <w:szCs w:val="20"/>
              </w:rPr>
              <w:t xml:space="preserve">7,32</w:t>
            </w:r>
          </w:p>
        </w:tc>
        <w:tc>
          <w:tcPr>
            <w:tcW w:type="dxa" w:w="1400"/>
            <w:shd w:fill="FFFFFF" w:val="clear"/>
          </w:tcPr>
          <w:p>
            <w:pPr>
              <w:spacing w:after="60" w:before="60"/>
              <w:jc w:val="center"/>
            </w:pPr>
            <w:r>
              <w:rPr>
                <w:sz w:val="20"/>
                <w:szCs w:val="20"/>
              </w:rPr>
              <w:t xml:space="preserve">0,009</w:t>
            </w:r>
          </w:p>
        </w:tc>
        <w:tc>
          <w:tcPr>
            <w:tcW w:type="dxa" w:w="3400"/>
            <w:shd w:fill="FFFFFF" w:val="clear"/>
          </w:tcPr>
          <w:p>
            <w:pPr>
              <w:spacing w:after="60" w:before="60"/>
              <w:jc w:val="center"/>
            </w:pPr>
            <w:r>
              <w:rPr>
                <w:sz w:val="20"/>
                <w:szCs w:val="20"/>
              </w:rPr>
              <w:t xml:space="preserve">Confirma endogeneidad del EMBI+</w:t>
            </w:r>
          </w:p>
        </w:tc>
      </w:tr>
      <w:tr>
        <w:tc>
          <w:tcPr>
            <w:tcW w:type="dxa" w:w="3200"/>
            <w:shd w:fill="EBF3FB" w:val="clear"/>
          </w:tcPr>
          <w:p>
            <w:pPr>
              <w:spacing w:after="60" w:before="60"/>
              <w:jc w:val="center"/>
            </w:pPr>
            <w:r>
              <w:rPr>
                <w:sz w:val="20"/>
                <w:szCs w:val="20"/>
              </w:rPr>
              <w:t xml:space="preserve">Sargan (validez instrumentos)</w:t>
            </w:r>
          </w:p>
        </w:tc>
        <w:tc>
          <w:tcPr>
            <w:tcW w:type="dxa" w:w="1600"/>
            <w:shd w:fill="EBF3FB" w:val="clear"/>
          </w:tcPr>
          <w:p>
            <w:pPr>
              <w:spacing w:after="60" w:before="60"/>
              <w:jc w:val="center"/>
            </w:pPr>
            <w:r>
              <w:rPr>
                <w:sz w:val="20"/>
                <w:szCs w:val="20"/>
              </w:rPr>
              <w:t xml:space="preserve">0,608</w:t>
            </w:r>
          </w:p>
        </w:tc>
        <w:tc>
          <w:tcPr>
            <w:tcW w:type="dxa" w:w="1400"/>
            <w:shd w:fill="EBF3FB" w:val="clear"/>
          </w:tcPr>
          <w:p>
            <w:pPr>
              <w:spacing w:after="60" w:before="60"/>
              <w:jc w:val="center"/>
            </w:pPr>
            <w:r>
              <w:rPr>
                <w:sz w:val="20"/>
                <w:szCs w:val="20"/>
              </w:rPr>
              <w:t xml:space="preserve">0,436</w:t>
            </w:r>
          </w:p>
        </w:tc>
        <w:tc>
          <w:tcPr>
            <w:tcW w:type="dxa" w:w="3400"/>
            <w:shd w:fill="EBF3FB" w:val="clear"/>
          </w:tcPr>
          <w:p>
            <w:pPr>
              <w:spacing w:after="60" w:before="60"/>
              <w:jc w:val="center"/>
            </w:pPr>
            <w:r>
              <w:rPr>
                <w:sz w:val="20"/>
                <w:szCs w:val="20"/>
              </w:rPr>
              <w:t xml:space="preserve">Instrumentos exógenos y válidos</w:t>
            </w:r>
          </w:p>
        </w:tc>
      </w:tr>
      <w:tr>
        <w:tc>
          <w:tcPr>
            <w:tcW w:type="dxa" w:w="3200"/>
            <w:shd w:fill="FFFFFF" w:val="clear"/>
          </w:tcPr>
          <w:p>
            <w:pPr>
              <w:spacing w:after="60" w:before="60"/>
              <w:jc w:val="center"/>
            </w:pPr>
            <w:r>
              <w:rPr>
                <w:sz w:val="20"/>
                <w:szCs w:val="20"/>
              </w:rPr>
              <w:t xml:space="preserve">Coef. EMBI+ instrumentado</w:t>
            </w:r>
          </w:p>
        </w:tc>
        <w:tc>
          <w:tcPr>
            <w:tcW w:type="dxa" w:w="1600"/>
            <w:shd w:fill="FFFFFF" w:val="clear"/>
          </w:tcPr>
          <w:p>
            <w:pPr>
              <w:spacing w:after="60" w:before="60"/>
              <w:jc w:val="center"/>
            </w:pPr>
            <w:r>
              <w:rPr>
                <w:sz w:val="20"/>
                <w:szCs w:val="20"/>
              </w:rPr>
              <w:t xml:space="preserve">0,0017</w:t>
            </w:r>
          </w:p>
        </w:tc>
        <w:tc>
          <w:tcPr>
            <w:tcW w:type="dxa" w:w="1400"/>
            <w:shd w:fill="FFFFFF" w:val="clear"/>
          </w:tcPr>
          <w:p>
            <w:pPr>
              <w:spacing w:after="60" w:before="60"/>
              <w:jc w:val="center"/>
            </w:pPr>
            <w:r>
              <w:rPr>
                <w:sz w:val="20"/>
                <w:szCs w:val="20"/>
              </w:rPr>
              <w:t xml:space="preserve">0,076</w:t>
            </w:r>
          </w:p>
        </w:tc>
        <w:tc>
          <w:tcPr>
            <w:tcW w:type="dxa" w:w="3400"/>
            <w:shd w:fill="FFFFFF" w:val="clear"/>
          </w:tcPr>
          <w:p>
            <w:pPr>
              <w:spacing w:after="60" w:before="60"/>
              <w:jc w:val="center"/>
            </w:pPr>
            <w:r>
              <w:rPr>
                <w:sz w:val="20"/>
                <w:szCs w:val="20"/>
              </w:rPr>
              <w:t xml:space="preserve">Solo marginalmente significativo</w:t>
            </w:r>
          </w:p>
        </w:tc>
      </w:tr>
      <w:tr>
        <w:tc>
          <w:tcPr>
            <w:tcW w:type="dxa" w:w="3200"/>
            <w:shd w:fill="EBF3FB" w:val="clear"/>
          </w:tcPr>
          <w:p>
            <w:pPr>
              <w:spacing w:after="60" w:before="60"/>
              <w:jc w:val="center"/>
            </w:pPr>
            <w:r>
              <w:rPr>
                <w:sz w:val="20"/>
                <w:szCs w:val="20"/>
              </w:rPr>
              <w:t xml:space="preserve">Coef. deuda rezagada (d_t-1)</w:t>
            </w:r>
          </w:p>
        </w:tc>
        <w:tc>
          <w:tcPr>
            <w:tcW w:type="dxa" w:w="1600"/>
            <w:shd w:fill="EBF3FB" w:val="clear"/>
          </w:tcPr>
          <w:p>
            <w:pPr>
              <w:spacing w:after="60" w:before="60"/>
              <w:jc w:val="center"/>
            </w:pPr>
            <w:r>
              <w:rPr>
                <w:sz w:val="20"/>
                <w:szCs w:val="20"/>
              </w:rPr>
              <w:t xml:space="preserve">−0,036</w:t>
            </w:r>
          </w:p>
        </w:tc>
        <w:tc>
          <w:tcPr>
            <w:tcW w:type="dxa" w:w="1400"/>
            <w:shd w:fill="EBF3FB" w:val="clear"/>
          </w:tcPr>
          <w:p>
            <w:pPr>
              <w:spacing w:after="60" w:before="60"/>
              <w:jc w:val="center"/>
            </w:pPr>
            <w:r>
              <w:rPr>
                <w:sz w:val="20"/>
                <w:szCs w:val="20"/>
              </w:rPr>
              <w:t xml:space="preserve">0,130</w:t>
            </w:r>
          </w:p>
        </w:tc>
        <w:tc>
          <w:tcPr>
            <w:tcW w:type="dxa" w:w="3400"/>
            <w:shd w:fill="EBF3FB" w:val="clear"/>
          </w:tcPr>
          <w:p>
            <w:pPr>
              <w:spacing w:after="60" w:before="60"/>
              <w:jc w:val="center"/>
            </w:pPr>
            <w:r>
              <w:rPr>
                <w:sz w:val="20"/>
                <w:szCs w:val="20"/>
              </w:rPr>
              <w:t xml:space="preserve">No significativo</w:t>
            </w:r>
          </w:p>
        </w:tc>
      </w:tr>
    </w:tbl>
    <w:p>
      <w:pPr>
        <w:spacing w:after="120"/>
      </w:pPr>
    </w:p>
    <w:p>
      <w:pPr>
        <w:spacing w:after="120"/>
        <w:jc w:val="both"/>
      </w:pPr>
      <w:r>
        <w:rPr>
          <w:b w:val="false"/>
          <w:bCs w:val="false"/>
          <w:sz w:val="22"/>
          <w:szCs w:val="22"/>
        </w:rPr>
        <w:t xml:space="preserve">El resultado refuerza el hallazgo principal: incluso corrigiendo por endogeneidad, no hay evidencia de que el gobierno reaccione fiscalmente ante shocks de riesgo soberano.</w:t>
      </w:r>
    </w:p>
    <w:p>
      <w:pPr>
        <w:pStyle w:val="Heading2"/>
        <w:spacing w:after="150" w:before="300"/>
      </w:pPr>
      <w:r>
        <w:t xml:space="preserve">5.4 Test de Hansen — No Linealidad</w:t>
      </w:r>
    </w:p>
    <w:p>
      <w:pPr>
        <w:spacing w:after="120"/>
        <w:jc w:val="both"/>
      </w:pPr>
      <w:r>
        <w:rPr>
          <w:b w:val="false"/>
          <w:bCs w:val="false"/>
          <w:sz w:val="22"/>
          <w:szCs w:val="22"/>
        </w:rPr>
        <w:t xml:space="preserve">El modelo de Hansen (umbral) pregunta: ¿es la reacción fiscal igual cuando el riesgo país es bajo que cuando está en niveles de crisis? Quizás el gobierno solo reacciona cuando el spread supera cierto umbral.</w:t>
      </w:r>
    </w:p>
    <w:p>
      <w:pPr>
        <w:spacing w:after="12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2800"/>
      </w:tblGrid>
      <w:tr>
        <w:trPr>
          <w:tblHeader/>
        </w:trPr>
        <w:tc>
          <w:tcPr>
            <w:tcW w:type="dxa" w:w="2400"/>
            <w:shd w:fill="1F4E79" w:val="clear"/>
          </w:tcPr>
          <w:p>
            <w:pPr>
              <w:spacing w:after="60" w:before="60"/>
              <w:jc w:val="center"/>
            </w:pPr>
            <w:r>
              <w:rPr>
                <w:b/>
                <w:bCs/>
                <w:color w:val="FFFFFF"/>
                <w:sz w:val="20"/>
                <w:szCs w:val="20"/>
              </w:rPr>
              <w:t xml:space="preserve">Especificación</w:t>
            </w:r>
          </w:p>
        </w:tc>
        <w:tc>
          <w:tcPr>
            <w:tcW w:type="dxa" w:w="1800"/>
            <w:shd w:fill="1F4E79" w:val="clear"/>
          </w:tcPr>
          <w:p>
            <w:pPr>
              <w:spacing w:after="60" w:before="60"/>
              <w:jc w:val="center"/>
            </w:pPr>
            <w:r>
              <w:rPr>
                <w:b/>
                <w:bCs/>
                <w:color w:val="FFFFFF"/>
                <w:sz w:val="20"/>
                <w:szCs w:val="20"/>
              </w:rPr>
              <w:t xml:space="preserve">Umbral (τ*)</w:t>
            </w:r>
          </w:p>
        </w:tc>
        <w:tc>
          <w:tcPr>
            <w:tcW w:type="dxa" w:w="1600"/>
            <w:shd w:fill="1F4E79" w:val="clear"/>
          </w:tcPr>
          <w:p>
            <w:pPr>
              <w:spacing w:after="60" w:before="60"/>
              <w:jc w:val="center"/>
            </w:pPr>
            <w:r>
              <w:rPr>
                <w:b/>
                <w:bCs/>
                <w:color w:val="FFFFFF"/>
                <w:sz w:val="20"/>
                <w:szCs w:val="20"/>
              </w:rPr>
              <w:t xml:space="preserve">Sup-LM p-valor</w:t>
            </w:r>
          </w:p>
        </w:tc>
        <w:tc>
          <w:tcPr>
            <w:tcW w:type="dxa" w:w="2800"/>
            <w:shd w:fill="1F4E79" w:val="clear"/>
          </w:tcPr>
          <w:p>
            <w:pPr>
              <w:spacing w:after="60" w:before="60"/>
              <w:jc w:val="center"/>
            </w:pPr>
            <w:r>
              <w:rPr>
                <w:b/>
                <w:bCs/>
                <w:color w:val="FFFFFF"/>
                <w:sz w:val="20"/>
                <w:szCs w:val="20"/>
              </w:rPr>
              <w:t xml:space="preserve">Conclusión</w:t>
            </w:r>
          </w:p>
        </w:tc>
      </w:tr>
      <w:tr>
        <w:tc>
          <w:tcPr>
            <w:tcW w:type="dxa" w:w="2400"/>
            <w:shd w:fill="EBF3FB" w:val="clear"/>
          </w:tcPr>
          <w:p>
            <w:pPr>
              <w:spacing w:after="60" w:before="60"/>
              <w:jc w:val="center"/>
            </w:pPr>
            <w:r>
              <w:rPr>
                <w:sz w:val="20"/>
                <w:szCs w:val="20"/>
              </w:rPr>
              <w:t xml:space="preserve">En niveles (pb_t)</w:t>
            </w:r>
          </w:p>
        </w:tc>
        <w:tc>
          <w:tcPr>
            <w:tcW w:type="dxa" w:w="1800"/>
            <w:shd w:fill="EBF3FB" w:val="clear"/>
          </w:tcPr>
          <w:p>
            <w:pPr>
              <w:spacing w:after="60" w:before="60"/>
              <w:jc w:val="center"/>
            </w:pPr>
            <w:r>
              <w:rPr>
                <w:sz w:val="20"/>
                <w:szCs w:val="20"/>
              </w:rPr>
              <w:t xml:space="preserve">449,4 pb</w:t>
            </w:r>
          </w:p>
        </w:tc>
        <w:tc>
          <w:tcPr>
            <w:tcW w:type="dxa" w:w="1600"/>
            <w:shd w:fill="EBF3FB" w:val="clear"/>
          </w:tcPr>
          <w:p>
            <w:pPr>
              <w:spacing w:after="60" w:before="60"/>
              <w:jc w:val="center"/>
            </w:pPr>
            <w:r>
              <w:rPr>
                <w:sz w:val="20"/>
                <w:szCs w:val="20"/>
              </w:rPr>
              <w:t xml:space="preserve">0,076</w:t>
            </w:r>
          </w:p>
        </w:tc>
        <w:tc>
          <w:tcPr>
            <w:tcW w:type="dxa" w:w="2800"/>
            <w:shd w:fill="EBF3FB" w:val="clear"/>
          </w:tcPr>
          <w:p>
            <w:pPr>
              <w:spacing w:after="60" w:before="60"/>
              <w:jc w:val="center"/>
            </w:pPr>
            <w:r>
              <w:rPr>
                <w:sz w:val="20"/>
                <w:szCs w:val="20"/>
              </w:rPr>
              <w:t xml:space="preserve">Rechaza linealidad solo al 10%</w:t>
            </w:r>
          </w:p>
        </w:tc>
      </w:tr>
      <w:tr>
        <w:tc>
          <w:tcPr>
            <w:tcW w:type="dxa" w:w="2400"/>
            <w:shd w:fill="FFFFFF" w:val="clear"/>
          </w:tcPr>
          <w:p>
            <w:pPr>
              <w:spacing w:after="60" w:before="60"/>
              <w:jc w:val="center"/>
            </w:pPr>
            <w:r>
              <w:rPr>
                <w:sz w:val="20"/>
                <w:szCs w:val="20"/>
              </w:rPr>
              <w:t xml:space="preserve">En diferencias (Δpb_t)</w:t>
            </w:r>
          </w:p>
        </w:tc>
        <w:tc>
          <w:tcPr>
            <w:tcW w:type="dxa" w:w="1800"/>
            <w:shd w:fill="FFFFFF" w:val="clear"/>
          </w:tcPr>
          <w:p>
            <w:pPr>
              <w:spacing w:after="60" w:before="60"/>
              <w:jc w:val="center"/>
            </w:pPr>
            <w:r>
              <w:rPr>
                <w:sz w:val="20"/>
                <w:szCs w:val="20"/>
              </w:rPr>
              <w:t xml:space="preserve">2.083 pb</w:t>
            </w:r>
          </w:p>
        </w:tc>
        <w:tc>
          <w:tcPr>
            <w:tcW w:type="dxa" w:w="1600"/>
            <w:shd w:fill="FFFFFF" w:val="clear"/>
          </w:tcPr>
          <w:p>
            <w:pPr>
              <w:spacing w:after="60" w:before="60"/>
              <w:jc w:val="center"/>
            </w:pPr>
            <w:r>
              <w:rPr>
                <w:sz w:val="20"/>
                <w:szCs w:val="20"/>
              </w:rPr>
              <w:t xml:space="preserve">&lt;0,001</w:t>
            </w:r>
          </w:p>
        </w:tc>
        <w:tc>
          <w:tcPr>
            <w:tcW w:type="dxa" w:w="2800"/>
            <w:shd w:fill="FFFFFF" w:val="clear"/>
          </w:tcPr>
          <w:p>
            <w:pPr>
              <w:spacing w:after="60" w:before="60"/>
              <w:jc w:val="center"/>
            </w:pPr>
            <w:r>
              <w:rPr>
                <w:sz w:val="20"/>
                <w:szCs w:val="20"/>
              </w:rPr>
              <w:t xml:space="preserve">Rechaza linealidad al 1% — NO LINEAL</w:t>
            </w:r>
          </w:p>
        </w:tc>
      </w:tr>
    </w:tbl>
    <w:p>
      <w:pPr>
        <w:spacing w:after="120"/>
      </w:pPr>
    </w:p>
    <w:p>
      <w:pPr>
        <w:spacing w:after="120"/>
        <w:jc w:val="both"/>
      </w:pPr>
      <w:r>
        <w:rPr>
          <w:b w:val="false"/>
          <w:bCs w:val="false"/>
          <w:sz w:val="22"/>
          <w:szCs w:val="22"/>
        </w:rPr>
        <w:t xml:space="preserve">El resultado en diferencias es el más robusto y muestra que cuando el riesgo país supera los ~2.083 puntos básicos (zona de crisis), la dinámica fiscal cambia significativamente. En ambos regímenes la reacción es positiva, lo que indica cierto ajuste en situaciones extremas.</w:t>
      </w:r>
    </w:p>
    <w:p>
      <w:pPr>
        <w:pStyle w:val="Heading2"/>
        <w:spacing w:after="150" w:before="300"/>
      </w:pPr>
      <w:r>
        <w:t xml:space="preserve">5.5 Bai-Perron — Quiebres Estructurales (2004–2025)</w:t>
      </w:r>
    </w:p>
    <w:p>
      <w:pPr>
        <w:spacing w:after="120"/>
        <w:jc w:val="both"/>
      </w:pPr>
      <w:r>
        <w:rPr>
          <w:b w:val="false"/>
          <w:bCs w:val="false"/>
          <w:sz w:val="22"/>
          <w:szCs w:val="22"/>
        </w:rPr>
        <w:t xml:space="preserve">El test de Bai-Perron identifica automáticamente los momentos en que la trayectoria de la deuda cambió de régimen (quiebres estructurales). Para la deuda del SPNF:</w:t>
      </w:r>
    </w:p>
    <w:p>
      <w:pPr>
        <w:spacing w:after="120"/>
      </w:pP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600"/>
        <w:gridCol w:w="2000"/>
      </w:tblGrid>
      <w:tr>
        <w:trPr>
          <w:tblHeader/>
        </w:trPr>
        <w:tc>
          <w:tcPr>
            <w:tcW w:type="dxa" w:w="1400"/>
            <w:shd w:fill="1F4E79" w:val="clear"/>
          </w:tcPr>
          <w:p>
            <w:pPr>
              <w:spacing w:after="60" w:before="60"/>
              <w:jc w:val="center"/>
            </w:pPr>
            <w:r>
              <w:rPr>
                <w:b/>
                <w:bCs/>
                <w:color w:val="FFFFFF"/>
                <w:sz w:val="20"/>
                <w:szCs w:val="20"/>
              </w:rPr>
              <w:t xml:space="preserve">Quiebre</w:t>
            </w:r>
          </w:p>
        </w:tc>
        <w:tc>
          <w:tcPr>
            <w:tcW w:type="dxa" w:w="1400"/>
            <w:shd w:fill="1F4E79" w:val="clear"/>
          </w:tcPr>
          <w:p>
            <w:pPr>
              <w:spacing w:after="60" w:before="60"/>
              <w:jc w:val="center"/>
            </w:pPr>
            <w:r>
              <w:rPr>
                <w:b/>
                <w:bCs/>
                <w:color w:val="FFFFFF"/>
                <w:sz w:val="20"/>
                <w:szCs w:val="20"/>
              </w:rPr>
              <w:t xml:space="preserve">Fecha</w:t>
            </w:r>
          </w:p>
        </w:tc>
        <w:tc>
          <w:tcPr>
            <w:tcW w:type="dxa" w:w="3600"/>
            <w:shd w:fill="1F4E79" w:val="clear"/>
          </w:tcPr>
          <w:p>
            <w:pPr>
              <w:spacing w:after="60" w:before="60"/>
              <w:jc w:val="center"/>
            </w:pPr>
            <w:r>
              <w:rPr>
                <w:b/>
                <w:bCs/>
                <w:color w:val="FFFFFF"/>
                <w:sz w:val="20"/>
                <w:szCs w:val="20"/>
              </w:rPr>
              <w:t xml:space="preserve">Evento económico asociado</w:t>
            </w:r>
          </w:p>
        </w:tc>
        <w:tc>
          <w:tcPr>
            <w:tcW w:type="dxa" w:w="2000"/>
            <w:shd w:fill="1F4E79" w:val="clear"/>
          </w:tcPr>
          <w:p>
            <w:pPr>
              <w:spacing w:after="60" w:before="60"/>
              <w:jc w:val="center"/>
            </w:pPr>
            <w:r>
              <w:rPr>
                <w:b/>
                <w:bCs/>
                <w:color w:val="FFFFFF"/>
                <w:sz w:val="20"/>
                <w:szCs w:val="20"/>
              </w:rPr>
              <w:t xml:space="preserve">Media del segmento</w:t>
            </w:r>
          </w:p>
        </w:tc>
      </w:tr>
      <w:tr>
        <w:tc>
          <w:tcPr>
            <w:tcW w:type="dxa" w:w="1400"/>
            <w:shd w:fill="EBF3FB" w:val="clear"/>
          </w:tcPr>
          <w:p>
            <w:pPr>
              <w:spacing w:after="60" w:before="60"/>
              <w:jc w:val="center"/>
            </w:pPr>
            <w:r>
              <w:rPr>
                <w:sz w:val="20"/>
                <w:szCs w:val="20"/>
              </w:rPr>
              <w:t xml:space="preserve">Inicio</w:t>
            </w:r>
          </w:p>
        </w:tc>
        <w:tc>
          <w:tcPr>
            <w:tcW w:type="dxa" w:w="1400"/>
            <w:shd w:fill="EBF3FB" w:val="clear"/>
          </w:tcPr>
          <w:p>
            <w:pPr>
              <w:spacing w:after="60" w:before="60"/>
              <w:jc w:val="center"/>
            </w:pPr>
            <w:r>
              <w:rPr>
                <w:sz w:val="20"/>
                <w:szCs w:val="20"/>
              </w:rPr>
              <w:t xml:space="preserve">2004T1</w:t>
            </w:r>
          </w:p>
        </w:tc>
        <w:tc>
          <w:tcPr>
            <w:tcW w:type="dxa" w:w="3600"/>
            <w:shd w:fill="EBF3FB" w:val="clear"/>
          </w:tcPr>
          <w:p>
            <w:pPr>
              <w:spacing w:after="60" w:before="60"/>
              <w:jc w:val="center"/>
            </w:pPr>
            <w:r>
              <w:rPr>
                <w:sz w:val="20"/>
                <w:szCs w:val="20"/>
              </w:rPr>
              <w:t xml:space="preserve">Post-default, reestructuración Kirchner</w:t>
            </w:r>
          </w:p>
        </w:tc>
        <w:tc>
          <w:tcPr>
            <w:tcW w:type="dxa" w:w="2000"/>
            <w:shd w:fill="EBF3FB" w:val="clear"/>
          </w:tcPr>
          <w:p>
            <w:pPr>
              <w:spacing w:after="60" w:before="60"/>
              <w:jc w:val="center"/>
            </w:pPr>
            <w:r>
              <w:rPr>
                <w:sz w:val="20"/>
                <w:szCs w:val="20"/>
              </w:rPr>
              <w:t xml:space="preserve">76,9% PIB</w:t>
            </w:r>
          </w:p>
        </w:tc>
      </w:tr>
      <w:tr>
        <w:tc>
          <w:tcPr>
            <w:tcW w:type="dxa" w:w="1400"/>
            <w:shd w:fill="FFFFFF" w:val="clear"/>
          </w:tcPr>
          <w:p>
            <w:pPr>
              <w:spacing w:after="60" w:before="60"/>
              <w:jc w:val="center"/>
            </w:pPr>
            <w:r>
              <w:rPr>
                <w:sz w:val="20"/>
                <w:szCs w:val="20"/>
              </w:rPr>
              <w:t xml:space="preserve">Quiebre 1</w:t>
            </w:r>
          </w:p>
        </w:tc>
        <w:tc>
          <w:tcPr>
            <w:tcW w:type="dxa" w:w="1400"/>
            <w:shd w:fill="FFFFFF" w:val="clear"/>
          </w:tcPr>
          <w:p>
            <w:pPr>
              <w:spacing w:after="60" w:before="60"/>
              <w:jc w:val="center"/>
            </w:pPr>
            <w:r>
              <w:rPr>
                <w:sz w:val="20"/>
                <w:szCs w:val="20"/>
              </w:rPr>
              <w:t xml:space="preserve">2007T2</w:t>
            </w:r>
          </w:p>
        </w:tc>
        <w:tc>
          <w:tcPr>
            <w:tcW w:type="dxa" w:w="3600"/>
            <w:shd w:fill="FFFFFF" w:val="clear"/>
          </w:tcPr>
          <w:p>
            <w:pPr>
              <w:spacing w:after="60" w:before="60"/>
              <w:jc w:val="center"/>
            </w:pPr>
            <w:r>
              <w:rPr>
                <w:sz w:val="20"/>
                <w:szCs w:val="20"/>
              </w:rPr>
              <w:t xml:space="preserve">Máximo de superávit gemelo, intervención INDEC</w:t>
            </w:r>
          </w:p>
        </w:tc>
        <w:tc>
          <w:tcPr>
            <w:tcW w:type="dxa" w:w="2000"/>
            <w:shd w:fill="FFFFFF" w:val="clear"/>
          </w:tcPr>
          <w:p>
            <w:pPr>
              <w:spacing w:after="60" w:before="60"/>
              <w:jc w:val="center"/>
            </w:pPr>
            <w:r>
              <w:rPr>
                <w:sz w:val="20"/>
                <w:szCs w:val="20"/>
              </w:rPr>
              <w:t xml:space="preserve">46,8% PIB</w:t>
            </w:r>
          </w:p>
        </w:tc>
      </w:tr>
      <w:tr>
        <w:tc>
          <w:tcPr>
            <w:tcW w:type="dxa" w:w="1400"/>
            <w:shd w:fill="EBF3FB" w:val="clear"/>
          </w:tcPr>
          <w:p>
            <w:pPr>
              <w:spacing w:after="60" w:before="60"/>
              <w:jc w:val="center"/>
            </w:pPr>
            <w:r>
              <w:rPr>
                <w:sz w:val="20"/>
                <w:szCs w:val="20"/>
              </w:rPr>
              <w:t xml:space="preserve">Quiebre 2</w:t>
            </w:r>
          </w:p>
        </w:tc>
        <w:tc>
          <w:tcPr>
            <w:tcW w:type="dxa" w:w="1400"/>
            <w:shd w:fill="EBF3FB" w:val="clear"/>
          </w:tcPr>
          <w:p>
            <w:pPr>
              <w:spacing w:after="60" w:before="60"/>
              <w:jc w:val="center"/>
            </w:pPr>
            <w:r>
              <w:rPr>
                <w:sz w:val="20"/>
                <w:szCs w:val="20"/>
              </w:rPr>
              <w:t xml:space="preserve">2014T3</w:t>
            </w:r>
          </w:p>
        </w:tc>
        <w:tc>
          <w:tcPr>
            <w:tcW w:type="dxa" w:w="3600"/>
            <w:shd w:fill="EBF3FB" w:val="clear"/>
          </w:tcPr>
          <w:p>
            <w:pPr>
              <w:spacing w:after="60" w:before="60"/>
              <w:jc w:val="center"/>
            </w:pPr>
            <w:r>
              <w:rPr>
                <w:sz w:val="20"/>
                <w:szCs w:val="20"/>
              </w:rPr>
              <w:t xml:space="preserve">Default técnico con holdouts, fin de superávit</w:t>
            </w:r>
          </w:p>
        </w:tc>
        <w:tc>
          <w:tcPr>
            <w:tcW w:type="dxa" w:w="2000"/>
            <w:shd w:fill="EBF3FB" w:val="clear"/>
          </w:tcPr>
          <w:p>
            <w:pPr>
              <w:spacing w:after="60" w:before="60"/>
              <w:jc w:val="center"/>
            </w:pPr>
            <w:r>
              <w:rPr>
                <w:sz w:val="20"/>
                <w:szCs w:val="20"/>
              </w:rPr>
              <w:t xml:space="preserve">58,8% PIB</w:t>
            </w:r>
          </w:p>
        </w:tc>
      </w:tr>
      <w:tr>
        <w:tc>
          <w:tcPr>
            <w:tcW w:type="dxa" w:w="1400"/>
            <w:shd w:fill="FFFFFF" w:val="clear"/>
          </w:tcPr>
          <w:p>
            <w:pPr>
              <w:spacing w:after="60" w:before="60"/>
              <w:jc w:val="center"/>
            </w:pPr>
            <w:r>
              <w:rPr>
                <w:sz w:val="20"/>
                <w:szCs w:val="20"/>
              </w:rPr>
              <w:t xml:space="preserve">Quiebre 3</w:t>
            </w:r>
          </w:p>
        </w:tc>
        <w:tc>
          <w:tcPr>
            <w:tcW w:type="dxa" w:w="1400"/>
            <w:shd w:fill="FFFFFF" w:val="clear"/>
          </w:tcPr>
          <w:p>
            <w:pPr>
              <w:spacing w:after="60" w:before="60"/>
              <w:jc w:val="center"/>
            </w:pPr>
            <w:r>
              <w:rPr>
                <w:sz w:val="20"/>
                <w:szCs w:val="20"/>
              </w:rPr>
              <w:t xml:space="preserve">2018T1</w:t>
            </w:r>
          </w:p>
        </w:tc>
        <w:tc>
          <w:tcPr>
            <w:tcW w:type="dxa" w:w="3600"/>
            <w:shd w:fill="FFFFFF" w:val="clear"/>
          </w:tcPr>
          <w:p>
            <w:pPr>
              <w:spacing w:after="60" w:before="60"/>
              <w:jc w:val="center"/>
            </w:pPr>
            <w:r>
              <w:rPr>
                <w:sz w:val="20"/>
                <w:szCs w:val="20"/>
              </w:rPr>
              <w:t xml:space="preserve">Crisis cambiaria, acuerdo FMI, pico pasivos BCRA</w:t>
            </w:r>
          </w:p>
        </w:tc>
        <w:tc>
          <w:tcPr>
            <w:tcW w:type="dxa" w:w="2000"/>
            <w:shd w:fill="FFFFFF" w:val="clear"/>
          </w:tcPr>
          <w:p>
            <w:pPr>
              <w:spacing w:after="60" w:before="60"/>
              <w:jc w:val="center"/>
            </w:pPr>
            <w:r>
              <w:rPr>
                <w:sz w:val="20"/>
                <w:szCs w:val="20"/>
              </w:rPr>
              <w:t xml:space="preserve">82,1% PIB</w:t>
            </w:r>
          </w:p>
        </w:tc>
      </w:tr>
    </w:tbl>
    <w:p>
      <w:pPr>
        <w:spacing w:after="120"/>
      </w:pPr>
    </w:p>
    <w:p>
      <w:pPr>
        <w:spacing w:after="120" w:before="60"/>
      </w:pPr>
      <w:r>
        <w:rPr>
          <w:b/>
          <w:bCs/>
          <w:i/>
          <w:iCs/>
          <w:color w:val="555555"/>
          <w:sz w:val="20"/>
          <w:szCs w:val="20"/>
        </w:rPr>
        <w:t xml:space="preserve">Nota: </w:t>
      </w:r>
      <w:r>
        <w:rPr>
          <w:i/>
          <w:iCs/>
          <w:color w:val="555555"/>
          <w:sz w:val="20"/>
          <w:szCs w:val="20"/>
        </w:rPr>
        <w:t xml:space="preserve">Para la deuda consolidada (SPNF + BCRA): quiebres en 2007T2 y 2016T4. Fuente: fase9_bai_perron_quiebres.csv.</w:t>
      </w:r>
    </w:p>
    <w:p>
      <w:pPr>
        <w:pBdr>
          <w:bottom w:val="single" w:color="AAAAAA" w:sz="4"/>
        </w:pBdr>
        <w:spacing w:after="200" w:before="200"/>
      </w:pPr>
    </w:p>
    <w:p>
      <w:pPr>
        <w:pStyle w:val="Heading1"/>
        <w:spacing w:after="200" w:before="400"/>
      </w:pPr>
      <w:r>
        <w:t xml:space="preserve">6. Análisis de Sostenibilidad de la Deuda (DSA)</w:t>
      </w:r>
    </w:p>
    <w:p>
      <w:pPr>
        <w:pStyle w:val="Heading2"/>
        <w:spacing w:after="150" w:before="300"/>
      </w:pPr>
      <w:r>
        <w:t xml:space="preserve">6.1 ¿Qué mide el DSA?</w:t>
      </w:r>
    </w:p>
    <w:p>
      <w:pPr>
        <w:spacing w:after="120"/>
        <w:jc w:val="both"/>
      </w:pPr>
      <w:r>
        <w:rPr>
          <w:b w:val="false"/>
          <w:bCs w:val="false"/>
          <w:sz w:val="22"/>
          <w:szCs w:val="22"/>
        </w:rPr>
        <w:t xml:space="preserve">El DSA (Debt Sustainability Analysis) es una simulación de Monte Carlo: generamos 10.000 trayectorias posibles de la deuda hasta 2035, usando distribuciones estadísticas realistas para los shocks (distribución t-Student con ν ≈ 4,8 grados de libertad, que tiene «colas pesadas» para capturar crisis como las argentinas). Luego medimos qué proporción de esas trayectorias termina en insolvencia (deuda &gt; 100% del PIB en 2035).</w:t>
      </w:r>
    </w:p>
    <w:p>
      <w:pPr>
        <w:pStyle w:val="Heading2"/>
        <w:spacing w:after="150" w:before="300"/>
      </w:pPr>
      <w:r>
        <w:t xml:space="preserve">6.2 Resultados según escenario</w:t>
      </w:r>
    </w:p>
    <w:p>
      <w:pPr>
        <w:spacing w:after="12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200"/>
        <w:gridCol w:w="1800"/>
      </w:tblGrid>
      <w:tr>
        <w:trPr>
          <w:tblHeader/>
        </w:trPr>
        <w:tc>
          <w:tcPr>
            <w:tcW w:type="dxa" w:w="1600"/>
            <w:shd w:fill="1F4E79" w:val="clear"/>
          </w:tcPr>
          <w:p>
            <w:pPr>
              <w:spacing w:after="60" w:before="60"/>
              <w:jc w:val="center"/>
            </w:pPr>
            <w:r>
              <w:rPr>
                <w:b/>
                <w:bCs/>
                <w:color w:val="FFFFFF"/>
                <w:sz w:val="20"/>
                <w:szCs w:val="20"/>
              </w:rPr>
              <w:t xml:space="preserve">Escenario</w:t>
            </w:r>
          </w:p>
        </w:tc>
        <w:tc>
          <w:tcPr>
            <w:tcW w:type="dxa" w:w="3200"/>
            <w:shd w:fill="1F4E79" w:val="clear"/>
          </w:tcPr>
          <w:p>
            <w:pPr>
              <w:spacing w:after="60" w:before="60"/>
              <w:jc w:val="center"/>
            </w:pPr>
            <w:r>
              <w:rPr>
                <w:b/>
                <w:bCs/>
                <w:color w:val="FFFFFF"/>
                <w:sz w:val="20"/>
                <w:szCs w:val="20"/>
              </w:rPr>
              <w:t xml:space="preserve">Supuestos</w:t>
            </w:r>
          </w:p>
        </w:tc>
        <w:tc>
          <w:tcPr>
            <w:tcW w:type="dxa" w:w="2200"/>
            <w:shd w:fill="1F4E79" w:val="clear"/>
          </w:tcPr>
          <w:p>
            <w:pPr>
              <w:spacing w:after="60" w:before="60"/>
              <w:jc w:val="center"/>
            </w:pPr>
            <w:r>
              <w:rPr>
                <w:b/>
                <w:bCs/>
                <w:color w:val="FFFFFF"/>
                <w:sz w:val="20"/>
                <w:szCs w:val="20"/>
              </w:rPr>
              <w:t xml:space="preserve">P(deuda &gt; 100% PIB en 2035)</w:t>
            </w:r>
          </w:p>
        </w:tc>
        <w:tc>
          <w:tcPr>
            <w:tcW w:type="dxa" w:w="1800"/>
            <w:shd w:fill="1F4E79" w:val="clear"/>
          </w:tcPr>
          <w:p>
            <w:pPr>
              <w:spacing w:after="60" w:before="60"/>
              <w:jc w:val="center"/>
            </w:pPr>
            <w:r>
              <w:rPr>
                <w:b/>
                <w:bCs/>
                <w:color w:val="FFFFFF"/>
                <w:sz w:val="20"/>
                <w:szCs w:val="20"/>
              </w:rPr>
              <w:t xml:space="preserve">Mediana 2035</w:t>
            </w:r>
          </w:p>
        </w:tc>
      </w:tr>
      <w:tr>
        <w:tc>
          <w:tcPr>
            <w:tcW w:type="dxa" w:w="1600"/>
            <w:shd w:fill="EBF3FB" w:val="clear"/>
          </w:tcPr>
          <w:p>
            <w:pPr>
              <w:spacing w:after="60" w:before="60"/>
              <w:jc w:val="center"/>
            </w:pPr>
            <w:r>
              <w:rPr>
                <w:sz w:val="20"/>
                <w:szCs w:val="20"/>
              </w:rPr>
              <w:t xml:space="preserve">Optimista</w:t>
            </w:r>
          </w:p>
        </w:tc>
        <w:tc>
          <w:tcPr>
            <w:tcW w:type="dxa" w:w="3200"/>
            <w:shd w:fill="EBF3FB" w:val="clear"/>
          </w:tcPr>
          <w:p>
            <w:pPr>
              <w:spacing w:after="60" w:before="60"/>
              <w:jc w:val="center"/>
            </w:pPr>
            <w:r>
              <w:rPr>
                <w:sz w:val="20"/>
                <w:szCs w:val="20"/>
              </w:rPr>
              <w:t xml:space="preserve">Superávit 2,5% + crecimiento 4,5% anual</w:t>
            </w:r>
          </w:p>
        </w:tc>
        <w:tc>
          <w:tcPr>
            <w:tcW w:type="dxa" w:w="2200"/>
            <w:shd w:fill="EBF3FB" w:val="clear"/>
          </w:tcPr>
          <w:p>
            <w:pPr>
              <w:spacing w:after="60" w:before="60"/>
              <w:jc w:val="center"/>
            </w:pPr>
            <w:r>
              <w:rPr>
                <w:sz w:val="20"/>
                <w:szCs w:val="20"/>
              </w:rPr>
              <w:t xml:space="preserve">3,8%</w:t>
            </w:r>
          </w:p>
        </w:tc>
        <w:tc>
          <w:tcPr>
            <w:tcW w:type="dxa" w:w="1800"/>
            <w:shd w:fill="EBF3FB" w:val="clear"/>
          </w:tcPr>
          <w:p>
            <w:pPr>
              <w:spacing w:after="60" w:before="60"/>
              <w:jc w:val="center"/>
            </w:pPr>
            <w:r>
              <w:rPr>
                <w:sz w:val="20"/>
                <w:szCs w:val="20"/>
              </w:rPr>
              <w:t xml:space="preserve">45,1% PIB</w:t>
            </w:r>
          </w:p>
        </w:tc>
      </w:tr>
      <w:tr>
        <w:tc>
          <w:tcPr>
            <w:tcW w:type="dxa" w:w="1600"/>
            <w:shd w:fill="FFFFFF" w:val="clear"/>
          </w:tcPr>
          <w:p>
            <w:pPr>
              <w:spacing w:after="60" w:before="60"/>
              <w:jc w:val="center"/>
            </w:pPr>
            <w:r>
              <w:rPr>
                <w:sz w:val="20"/>
                <w:szCs w:val="20"/>
              </w:rPr>
              <w:t xml:space="preserve">Referencia (base)</w:t>
            </w:r>
          </w:p>
        </w:tc>
        <w:tc>
          <w:tcPr>
            <w:tcW w:type="dxa" w:w="3200"/>
            <w:shd w:fill="FFFFFF" w:val="clear"/>
          </w:tcPr>
          <w:p>
            <w:pPr>
              <w:spacing w:after="60" w:before="60"/>
              <w:jc w:val="center"/>
            </w:pPr>
            <w:r>
              <w:rPr>
                <w:sz w:val="20"/>
                <w:szCs w:val="20"/>
              </w:rPr>
              <w:t xml:space="preserve">Superávit 1,5% + crecimiento 3,5% anual</w:t>
            </w:r>
          </w:p>
        </w:tc>
        <w:tc>
          <w:tcPr>
            <w:tcW w:type="dxa" w:w="2200"/>
            <w:shd w:fill="FFFFFF" w:val="clear"/>
          </w:tcPr>
          <w:p>
            <w:pPr>
              <w:spacing w:after="60" w:before="60"/>
              <w:jc w:val="center"/>
            </w:pPr>
            <w:r>
              <w:rPr>
                <w:sz w:val="20"/>
                <w:szCs w:val="20"/>
              </w:rPr>
              <w:t xml:space="preserve">31,2%</w:t>
            </w:r>
          </w:p>
        </w:tc>
        <w:tc>
          <w:tcPr>
            <w:tcW w:type="dxa" w:w="1800"/>
            <w:shd w:fill="FFFFFF" w:val="clear"/>
          </w:tcPr>
          <w:p>
            <w:pPr>
              <w:spacing w:after="60" w:before="60"/>
              <w:jc w:val="center"/>
            </w:pPr>
            <w:r>
              <w:rPr>
                <w:sz w:val="20"/>
                <w:szCs w:val="20"/>
              </w:rPr>
              <w:t xml:space="preserve">80,7% PIB</w:t>
            </w:r>
          </w:p>
        </w:tc>
      </w:tr>
      <w:tr>
        <w:tc>
          <w:tcPr>
            <w:tcW w:type="dxa" w:w="1600"/>
            <w:shd w:fill="EBF3FB" w:val="clear"/>
          </w:tcPr>
          <w:p>
            <w:pPr>
              <w:spacing w:after="60" w:before="60"/>
              <w:jc w:val="center"/>
            </w:pPr>
            <w:r>
              <w:rPr>
                <w:sz w:val="20"/>
                <w:szCs w:val="20"/>
              </w:rPr>
              <w:t xml:space="preserve">DCC-GARCH (variante)</w:t>
            </w:r>
          </w:p>
        </w:tc>
        <w:tc>
          <w:tcPr>
            <w:tcW w:type="dxa" w:w="3200"/>
            <w:shd w:fill="EBF3FB" w:val="clear"/>
          </w:tcPr>
          <w:p>
            <w:pPr>
              <w:spacing w:after="60" w:before="60"/>
              <w:jc w:val="center"/>
            </w:pPr>
            <w:r>
              <w:rPr>
                <w:sz w:val="20"/>
                <w:szCs w:val="20"/>
              </w:rPr>
              <w:t xml:space="preserve">Correlaciones dinámicas entre shocks</w:t>
            </w:r>
          </w:p>
        </w:tc>
        <w:tc>
          <w:tcPr>
            <w:tcW w:type="dxa" w:w="2200"/>
            <w:shd w:fill="EBF3FB" w:val="clear"/>
          </w:tcPr>
          <w:p>
            <w:pPr>
              <w:spacing w:after="60" w:before="60"/>
              <w:jc w:val="center"/>
            </w:pPr>
            <w:r>
              <w:rPr>
                <w:sz w:val="20"/>
                <w:szCs w:val="20"/>
              </w:rPr>
              <w:t xml:space="preserve">32,5%</w:t>
            </w:r>
          </w:p>
        </w:tc>
        <w:tc>
          <w:tcPr>
            <w:tcW w:type="dxa" w:w="1800"/>
            <w:shd w:fill="EBF3FB" w:val="clear"/>
          </w:tcPr>
          <w:p>
            <w:pPr>
              <w:spacing w:after="60" w:before="60"/>
              <w:jc w:val="center"/>
            </w:pPr>
            <w:r>
              <w:rPr>
                <w:sz w:val="20"/>
                <w:szCs w:val="20"/>
              </w:rPr>
              <w:t xml:space="preserve">~80% PIB</w:t>
            </w:r>
          </w:p>
        </w:tc>
      </w:tr>
      <w:tr>
        <w:tc>
          <w:tcPr>
            <w:tcW w:type="dxa" w:w="1600"/>
            <w:shd w:fill="FFFFFF" w:val="clear"/>
          </w:tcPr>
          <w:p>
            <w:pPr>
              <w:spacing w:after="60" w:before="60"/>
              <w:jc w:val="center"/>
            </w:pPr>
            <w:r>
              <w:rPr>
                <w:sz w:val="20"/>
                <w:szCs w:val="20"/>
              </w:rPr>
              <w:t xml:space="preserve">Cópula gaussiana (variante)</w:t>
            </w:r>
          </w:p>
        </w:tc>
        <w:tc>
          <w:tcPr>
            <w:tcW w:type="dxa" w:w="3200"/>
            <w:shd w:fill="FFFFFF" w:val="clear"/>
          </w:tcPr>
          <w:p>
            <w:pPr>
              <w:spacing w:after="60" w:before="60"/>
              <w:jc w:val="center"/>
            </w:pPr>
            <w:r>
              <w:rPr>
                <w:sz w:val="20"/>
                <w:szCs w:val="20"/>
              </w:rPr>
              <w:t xml:space="preserve">Estructura de dependencia alternativa</w:t>
            </w:r>
          </w:p>
        </w:tc>
        <w:tc>
          <w:tcPr>
            <w:tcW w:type="dxa" w:w="2200"/>
            <w:shd w:fill="FFFFFF" w:val="clear"/>
          </w:tcPr>
          <w:p>
            <w:pPr>
              <w:spacing w:after="60" w:before="60"/>
              <w:jc w:val="center"/>
            </w:pPr>
            <w:r>
              <w:rPr>
                <w:sz w:val="20"/>
                <w:szCs w:val="20"/>
              </w:rPr>
              <w:t xml:space="preserve">29,2%</w:t>
            </w:r>
          </w:p>
        </w:tc>
        <w:tc>
          <w:tcPr>
            <w:tcW w:type="dxa" w:w="1800"/>
            <w:shd w:fill="FFFFFF" w:val="clear"/>
          </w:tcPr>
          <w:p>
            <w:pPr>
              <w:spacing w:after="60" w:before="60"/>
              <w:jc w:val="center"/>
            </w:pPr>
            <w:r>
              <w:rPr>
                <w:sz w:val="20"/>
                <w:szCs w:val="20"/>
              </w:rPr>
              <w:t xml:space="preserve">~79% PIB</w:t>
            </w:r>
          </w:p>
        </w:tc>
      </w:tr>
      <w:tr>
        <w:tc>
          <w:tcPr>
            <w:tcW w:type="dxa" w:w="1600"/>
            <w:shd w:fill="EBF3FB" w:val="clear"/>
          </w:tcPr>
          <w:p>
            <w:pPr>
              <w:spacing w:after="60" w:before="60"/>
              <w:jc w:val="center"/>
            </w:pPr>
            <w:r>
              <w:rPr>
                <w:sz w:val="20"/>
                <w:szCs w:val="20"/>
              </w:rPr>
              <w:t xml:space="preserve">Estrés</w:t>
            </w:r>
          </w:p>
        </w:tc>
        <w:tc>
          <w:tcPr>
            <w:tcW w:type="dxa" w:w="3200"/>
            <w:shd w:fill="EBF3FB" w:val="clear"/>
          </w:tcPr>
          <w:p>
            <w:pPr>
              <w:spacing w:after="60" w:before="60"/>
              <w:jc w:val="center"/>
            </w:pPr>
            <w:r>
              <w:rPr>
                <w:sz w:val="20"/>
                <w:szCs w:val="20"/>
              </w:rPr>
              <w:t xml:space="preserve">Recesión + déficit persistente</w:t>
            </w:r>
          </w:p>
        </w:tc>
        <w:tc>
          <w:tcPr>
            <w:tcW w:type="dxa" w:w="2200"/>
            <w:shd w:fill="EBF3FB" w:val="clear"/>
          </w:tcPr>
          <w:p>
            <w:pPr>
              <w:spacing w:after="60" w:before="60"/>
              <w:jc w:val="center"/>
            </w:pPr>
            <w:r>
              <w:rPr>
                <w:sz w:val="20"/>
                <w:szCs w:val="20"/>
              </w:rPr>
              <w:t xml:space="preserve">99,9%</w:t>
            </w:r>
          </w:p>
        </w:tc>
        <w:tc>
          <w:tcPr>
            <w:tcW w:type="dxa" w:w="1800"/>
            <w:shd w:fill="EBF3FB" w:val="clear"/>
          </w:tcPr>
          <w:p>
            <w:pPr>
              <w:spacing w:after="60" w:before="60"/>
              <w:jc w:val="center"/>
            </w:pPr>
            <w:r>
              <w:rPr>
                <w:sz w:val="20"/>
                <w:szCs w:val="20"/>
              </w:rPr>
              <w:t xml:space="preserve">816,5% PIB</w:t>
            </w:r>
          </w:p>
        </w:tc>
      </w:tr>
    </w:tbl>
    <w:p>
      <w:pPr>
        <w:spacing w:after="120"/>
      </w:pPr>
    </w:p>
    <w:p>
      <w:pPr>
        <w:spacing w:after="120"/>
        <w:jc w:val="both"/>
      </w:pPr>
      <w:r>
        <w:rPr>
          <w:b w:val="false"/>
          <w:bCs w:val="false"/>
          <w:sz w:val="22"/>
          <w:szCs w:val="22"/>
        </w:rPr>
        <w:t xml:space="preserve">Resultado central: bajo el escenario de referencia, Argentina tiene un 31,2% de probabilidad de que su deuda supere el 100% del PIB en 2035. Este resultado es robusto: varía entre 29,2% y 32,5% según la especificación utilizada.</w:t>
      </w:r>
    </w:p>
    <w:p>
      <w:pPr>
        <w:spacing w:after="120"/>
        <w:jc w:val="both"/>
      </w:pPr>
      <w:r>
        <w:rPr>
          <w:b w:val="false"/>
          <w:bCs w:val="false"/>
          <w:sz w:val="22"/>
          <w:szCs w:val="22"/>
        </w:rPr>
        <w:t xml:space="preserve">En términos simples: no hay certeza de que Argentina llegue a la insolvencia, pero tampoco hay tranquilidad. Aproximadamente 1 de cada 3 trayectorias simuladas termina en zona de riesgo elevado. El escenario optimista requiere superávits primarios del 2,5% del PIB y crecimiento del 4,5% anual sostenido, lo que históricamente es difícil de mantener.</w:t>
      </w:r>
    </w:p>
    <w:p>
      <w:pPr>
        <w:pBdr>
          <w:bottom w:val="single" w:color="AAAAAA" w:sz="4"/>
        </w:pBdr>
        <w:spacing w:after="200" w:before="200"/>
      </w:pPr>
    </w:p>
    <w:p>
      <w:pPr>
        <w:pStyle w:val="Heading1"/>
        <w:spacing w:after="200" w:before="400"/>
      </w:pPr>
      <w:r>
        <w:t xml:space="preserve">7. Modelo CIR para el Riesgo País</w:t>
      </w:r>
    </w:p>
    <w:p>
      <w:pPr>
        <w:spacing w:after="120"/>
        <w:jc w:val="both"/>
      </w:pPr>
      <w:r>
        <w:rPr>
          <w:b w:val="false"/>
          <w:bCs w:val="false"/>
          <w:sz w:val="22"/>
          <w:szCs w:val="22"/>
        </w:rPr>
        <w:t xml:space="preserve">Como complemento al DSA, modelamos la dinámica del riesgo país (EMBI+) con un proceso CIR (Cox-Ingersoll-Ross), un modelo estocástico que garantiza que el spread no se vuelve negativo. Este modelo tiene tres parámetros:</w:t>
      </w:r>
    </w:p>
    <w:p>
      <w:pPr>
        <w:pStyle w:val="ListParagraph"/>
        <w:numPr>
          <w:ilvl w:val="0"/>
          <w:numId w:val="1"/>
        </w:numPr>
        <w:spacing w:after="80"/>
        <w:jc w:val="both"/>
      </w:pPr>
      <w:r>
        <w:rPr>
          <w:sz w:val="22"/>
          <w:szCs w:val="22"/>
        </w:rPr>
        <w:t xml:space="preserve">κ = 0,923: velocidad de reversión a la media (vida media de ~9 meses). El spread argentino tiende a volver rápidamente a su nivel promedio después de shocks.</w:t>
      </w:r>
    </w:p>
    <w:p>
      <w:pPr>
        <w:pStyle w:val="ListParagraph"/>
        <w:numPr>
          <w:ilvl w:val="0"/>
          <w:numId w:val="1"/>
        </w:numPr>
        <w:spacing w:after="80"/>
        <w:jc w:val="both"/>
      </w:pPr>
      <w:r>
        <w:rPr>
          <w:sz w:val="22"/>
          <w:szCs w:val="22"/>
        </w:rPr>
        <w:t xml:space="preserve">θ = 1.032 pb: nivel de largo plazo al que tiende a regresar el spread (muestra 2004–2025). En la serie histórica larga (1983–2025), este nivel sube a 1.457 pb.</w:t>
      </w:r>
    </w:p>
    <w:p>
      <w:pPr>
        <w:pStyle w:val="ListParagraph"/>
        <w:numPr>
          <w:ilvl w:val="0"/>
          <w:numId w:val="1"/>
        </w:numPr>
        <w:spacing w:after="80"/>
        <w:jc w:val="both"/>
      </w:pPr>
      <w:r>
        <w:rPr>
          <w:sz w:val="22"/>
          <w:szCs w:val="22"/>
        </w:rPr>
        <w:t xml:space="preserve">σ = 26,9 pb: volatilidad del spread por unidad de tiempo.</w:t>
      </w:r>
    </w:p>
    <w:p>
      <w:pPr>
        <w:spacing w:after="120"/>
        <w:jc w:val="both"/>
      </w:pPr>
      <w:r>
        <w:rPr>
          <w:b w:val="false"/>
          <w:bCs w:val="false"/>
          <w:sz w:val="22"/>
          <w:szCs w:val="22"/>
        </w:rPr>
        <w:t xml:space="preserve">El modelo cumple la condición de Feller (2κθ &gt; σ²), lo que técnicamente garantiza que el spread no puede volverse negativo, algo consistente con la realidad económica.</w:t>
      </w:r>
    </w:p>
    <w:p>
      <w:pPr>
        <w:pBdr>
          <w:bottom w:val="single" w:color="AAAAAA" w:sz="4"/>
        </w:pBdr>
        <w:spacing w:after="200" w:before="200"/>
      </w:pPr>
    </w:p>
    <w:p>
      <w:pPr>
        <w:pStyle w:val="Heading1"/>
        <w:spacing w:after="200" w:before="400"/>
      </w:pPr>
      <w:r>
        <w:t xml:space="preserve">8. Consistencia entre los modelos y la tesis</w:t>
      </w:r>
    </w:p>
    <w:p>
      <w:pPr>
        <w:spacing w:after="120"/>
        <w:jc w:val="both"/>
      </w:pPr>
      <w:r>
        <w:rPr>
          <w:b w:val="false"/>
          <w:bCs w:val="false"/>
          <w:sz w:val="22"/>
          <w:szCs w:val="22"/>
        </w:rPr>
        <w:t xml:space="preserve">Todos los resultados son coherentes entre sí y no se contradicen:</w:t>
      </w:r>
    </w:p>
    <w:p>
      <w:pPr>
        <w:pStyle w:val="ListParagraph"/>
        <w:numPr>
          <w:ilvl w:val="0"/>
          <w:numId w:val="1"/>
        </w:numPr>
        <w:spacing w:after="80"/>
        <w:jc w:val="both"/>
      </w:pPr>
      <w:r>
        <w:rPr>
          <w:sz w:val="22"/>
          <w:szCs w:val="22"/>
        </w:rPr>
        <w:t xml:space="preserve">El DOLS muestra ρ = −0,0071 (sin reacción fiscal): consistente con que el VECM tampoco encuentra ajuste a través del resultado primario (α_pb = 0,004, no significativo).</w:t>
      </w:r>
    </w:p>
    <w:p>
      <w:pPr>
        <w:pStyle w:val="ListParagraph"/>
        <w:numPr>
          <w:ilvl w:val="0"/>
          <w:numId w:val="1"/>
        </w:numPr>
        <w:spacing w:after="80"/>
        <w:jc w:val="both"/>
      </w:pPr>
      <w:r>
        <w:rPr>
          <w:sz w:val="22"/>
          <w:szCs w:val="22"/>
        </w:rPr>
        <w:t xml:space="preserve">Los quiebres Bai-Perron (2007T2, 2014T3, 2018T1 para SPNF) son estables en múltiples especificaciones y verificados en los datos crudos.</w:t>
      </w:r>
    </w:p>
    <w:p>
      <w:pPr>
        <w:pStyle w:val="ListParagraph"/>
        <w:numPr>
          <w:ilvl w:val="0"/>
          <w:numId w:val="1"/>
        </w:numPr>
        <w:spacing w:after="80"/>
        <w:jc w:val="both"/>
      </w:pPr>
      <w:r>
        <w:rPr>
          <w:sz w:val="22"/>
          <w:szCs w:val="22"/>
        </w:rPr>
        <w:t xml:space="preserve">La FEVD del SVAR muestra que el resultado primario explica el 47,5% de la varianza de la deuda a 20 trimestres, lo que es consistente con que los episodios de mayor deterioro fiscal (2014, 2018) coinciden exactamente con los quiebres Bai-Perron.</w:t>
      </w:r>
    </w:p>
    <w:p>
      <w:pPr>
        <w:pStyle w:val="ListParagraph"/>
        <w:numPr>
          <w:ilvl w:val="0"/>
          <w:numId w:val="1"/>
        </w:numPr>
        <w:spacing w:after="80"/>
        <w:jc w:val="both"/>
      </w:pPr>
      <w:r>
        <w:rPr>
          <w:sz w:val="22"/>
          <w:szCs w:val="22"/>
        </w:rPr>
        <w:t xml:space="preserve">El DSA (31,2% de probabilidad de insolvencia en escenario base) es consistente con el nivel actual de deuda (~82% del PIB en el segmento 4) y la dificultad de sostener superávits primarios elevados.</w:t>
      </w:r>
    </w:p>
    <w:p>
      <w:pPr>
        <w:pStyle w:val="ListParagraph"/>
        <w:numPr>
          <w:ilvl w:val="0"/>
          <w:numId w:val="1"/>
        </w:numPr>
        <w:spacing w:after="80"/>
        <w:jc w:val="both"/>
      </w:pPr>
      <w:r>
        <w:rPr>
          <w:sz w:val="22"/>
          <w:szCs w:val="22"/>
        </w:rPr>
        <w:t xml:space="preserve">El umbral Hansen de 2.083 pb en diferencias es consistente con la experiencia histórica: los episodios de ajuste fiscal más marcados (2002–2004, 2019–2020) ocurrieron precisamente cuando el EMBI+ superó ese nivel.</w:t>
      </w:r>
    </w:p>
    <w:p>
      <w:pPr>
        <w:pBdr>
          <w:bottom w:val="single" w:color="AAAAAA" w:sz="4"/>
        </w:pBdr>
        <w:spacing w:after="200" w:before="200"/>
      </w:pPr>
    </w:p>
    <w:p>
      <w:pPr>
        <w:pStyle w:val="Heading1"/>
        <w:spacing w:after="200" w:before="400"/>
      </w:pPr>
      <w:r>
        <w:t xml:space="preserve">9. Fuentes y bibliografía principal</w:t>
      </w:r>
    </w:p>
    <w:p>
      <w:pPr>
        <w:pStyle w:val="Heading2"/>
        <w:spacing w:after="150" w:before="300"/>
      </w:pPr>
      <w:r>
        <w:t xml:space="preserve">Modelos econométricos y metodología</w:t>
      </w:r>
    </w:p>
    <w:p>
      <w:pPr>
        <w:pStyle w:val="ListParagraph"/>
        <w:numPr>
          <w:ilvl w:val="0"/>
          <w:numId w:val="1"/>
        </w:numPr>
        <w:spacing w:after="80"/>
        <w:jc w:val="both"/>
      </w:pPr>
      <w:r>
        <w:rPr>
          <w:sz w:val="22"/>
          <w:szCs w:val="22"/>
        </w:rPr>
        <w:t xml:space="preserve">Bohn, H. (1998). The behavior of US public debt and deficits. Quarterly Journal of Economics, 113(3), 949–963.</w:t>
      </w:r>
    </w:p>
    <w:p>
      <w:pPr>
        <w:pStyle w:val="ListParagraph"/>
        <w:numPr>
          <w:ilvl w:val="0"/>
          <w:numId w:val="1"/>
        </w:numPr>
        <w:spacing w:after="80"/>
        <w:jc w:val="both"/>
      </w:pPr>
      <w:r>
        <w:rPr>
          <w:sz w:val="22"/>
          <w:szCs w:val="22"/>
        </w:rPr>
        <w:t xml:space="preserve">Blanchard, O. &amp; Perotti, R. (2002). An empirical characterization of the dynamic effects of changes in government spending and taxes on output. Quarterly Journal of Economics, 117(4), 1329–1368.</w:t>
      </w:r>
    </w:p>
    <w:p>
      <w:pPr>
        <w:pStyle w:val="ListParagraph"/>
        <w:numPr>
          <w:ilvl w:val="0"/>
          <w:numId w:val="1"/>
        </w:numPr>
        <w:spacing w:after="80"/>
        <w:jc w:val="both"/>
      </w:pPr>
      <w:r>
        <w:rPr>
          <w:sz w:val="22"/>
          <w:szCs w:val="22"/>
        </w:rPr>
        <w:t xml:space="preserve">Favero, C. &amp; Giavazzi, F. (2007). Debt and the effects of fiscal policy. NBER Working Paper 12822.</w:t>
      </w:r>
    </w:p>
    <w:p>
      <w:pPr>
        <w:pStyle w:val="ListParagraph"/>
        <w:numPr>
          <w:ilvl w:val="0"/>
          <w:numId w:val="1"/>
        </w:numPr>
        <w:spacing w:after="80"/>
        <w:jc w:val="both"/>
      </w:pPr>
      <w:r>
        <w:rPr>
          <w:sz w:val="22"/>
          <w:szCs w:val="22"/>
        </w:rPr>
        <w:t xml:space="preserve">Hansen, B. (1999). Threshold effects in non-dynamic panels: Estimation, testing, and inference. Journal of Econometrics, 93(2), 345–368.</w:t>
      </w:r>
    </w:p>
    <w:p>
      <w:pPr>
        <w:pStyle w:val="ListParagraph"/>
        <w:numPr>
          <w:ilvl w:val="0"/>
          <w:numId w:val="1"/>
        </w:numPr>
        <w:spacing w:after="80"/>
        <w:jc w:val="both"/>
      </w:pPr>
      <w:r>
        <w:rPr>
          <w:sz w:val="22"/>
          <w:szCs w:val="22"/>
        </w:rPr>
        <w:t xml:space="preserve">Hansen, B. &amp; Seo, B. (2002). Testing for two-regime threshold cointegration in vector error-correction models. Journal of Econometrics, 110(2), 293–318.</w:t>
      </w:r>
    </w:p>
    <w:p>
      <w:pPr>
        <w:pStyle w:val="ListParagraph"/>
        <w:numPr>
          <w:ilvl w:val="0"/>
          <w:numId w:val="1"/>
        </w:numPr>
        <w:spacing w:after="80"/>
        <w:jc w:val="both"/>
      </w:pPr>
      <w:r>
        <w:rPr>
          <w:sz w:val="22"/>
          <w:szCs w:val="22"/>
        </w:rPr>
        <w:t xml:space="preserve">Cox, J., Ingersoll, J. &amp; Ross, S. (1985). A theory of the term structure of interest rates. Econometrica, 53(2), 385–407.</w:t>
      </w:r>
    </w:p>
    <w:p>
      <w:pPr>
        <w:pStyle w:val="ListParagraph"/>
        <w:numPr>
          <w:ilvl w:val="0"/>
          <w:numId w:val="1"/>
        </w:numPr>
        <w:spacing w:after="80"/>
        <w:jc w:val="both"/>
      </w:pPr>
      <w:r>
        <w:rPr>
          <w:sz w:val="22"/>
          <w:szCs w:val="22"/>
        </w:rPr>
        <w:t xml:space="preserve">Neumeyer, P. &amp; Perri, F. (2005). Business cycles in emerging economies: the role of interest rates. Journal of Monetary Economics, 52(2), 345–380.</w:t>
      </w:r>
    </w:p>
    <w:p>
      <w:pPr>
        <w:pStyle w:val="ListParagraph"/>
        <w:numPr>
          <w:ilvl w:val="0"/>
          <w:numId w:val="1"/>
        </w:numPr>
        <w:spacing w:after="80"/>
        <w:jc w:val="both"/>
      </w:pPr>
      <w:r>
        <w:rPr>
          <w:sz w:val="22"/>
          <w:szCs w:val="22"/>
        </w:rPr>
        <w:t xml:space="preserve">Kehoe, T. &amp; Nicolini, J.P. (eds.) (2021). A Monetary and Fiscal History of Latin America, 1960–2017. University of Minnesota Press.</w:t>
      </w:r>
    </w:p>
    <w:p>
      <w:pPr>
        <w:pStyle w:val="Heading2"/>
        <w:spacing w:after="150" w:before="300"/>
      </w:pPr>
      <w:r>
        <w:t xml:space="preserve">Elasticidad cíclica α_y = 0,25</w:t>
      </w:r>
    </w:p>
    <w:p>
      <w:pPr>
        <w:pStyle w:val="ListParagraph"/>
        <w:numPr>
          <w:ilvl w:val="0"/>
          <w:numId w:val="1"/>
        </w:numPr>
        <w:spacing w:after="80"/>
        <w:jc w:val="both"/>
      </w:pPr>
      <w:r>
        <w:rPr>
          <w:sz w:val="22"/>
          <w:szCs w:val="22"/>
        </w:rPr>
        <w:t xml:space="preserve">Girouard, N. &amp; André, C. (2005). Measuring Cyclically-adjusted Budget Balances for OECD Countries. OECD Economics Department Working Paper 434.</w:t>
      </w:r>
    </w:p>
    <w:p>
      <w:pPr>
        <w:pStyle w:val="ListParagraph"/>
        <w:numPr>
          <w:ilvl w:val="0"/>
          <w:numId w:val="1"/>
        </w:numPr>
        <w:spacing w:after="80"/>
        <w:jc w:val="both"/>
      </w:pPr>
      <w:r>
        <w:rPr>
          <w:sz w:val="22"/>
          <w:szCs w:val="22"/>
        </w:rPr>
        <w:t xml:space="preserve">Daude, C., Melguizo, Á. &amp; Neut, A. (2010). On the Quality of Public Expenditure in Latin America. OECD Development Centre Working Paper 299.</w:t>
      </w:r>
    </w:p>
    <w:p>
      <w:pPr>
        <w:pStyle w:val="ListParagraph"/>
        <w:numPr>
          <w:ilvl w:val="0"/>
          <w:numId w:val="1"/>
        </w:numPr>
        <w:spacing w:after="80"/>
        <w:jc w:val="both"/>
      </w:pPr>
      <w:r>
        <w:rPr>
          <w:sz w:val="22"/>
          <w:szCs w:val="22"/>
        </w:rPr>
        <w:t xml:space="preserve">Alberola, E., Kataryniuk, I., Melguizo, Á. &amp; Orozco, R.N. (2014). Fiscal policy and the cycle in Latin America. BIS Working Paper 468.</w:t>
      </w:r>
    </w:p>
    <w:p>
      <w:pPr>
        <w:pStyle w:val="Heading2"/>
        <w:spacing w:after="150" w:before="300"/>
      </w:pPr>
      <w:r>
        <w:t xml:space="preserve">Datos de fuentes primarias</w:t>
      </w:r>
    </w:p>
    <w:p>
      <w:pPr>
        <w:pStyle w:val="ListParagraph"/>
        <w:numPr>
          <w:ilvl w:val="0"/>
          <w:numId w:val="1"/>
        </w:numPr>
        <w:spacing w:after="80"/>
        <w:jc w:val="both"/>
      </w:pPr>
      <w:r>
        <w:rPr>
          <w:sz w:val="22"/>
          <w:szCs w:val="22"/>
        </w:rPr>
        <w:t xml:space="preserve">JP Morgan EMBI+ Argentina Stripped Spread (1998–2025): Bloomberg / Ámbito Financiero.</w:t>
      </w:r>
    </w:p>
    <w:p>
      <w:pPr>
        <w:pStyle w:val="ListParagraph"/>
        <w:numPr>
          <w:ilvl w:val="0"/>
          <w:numId w:val="1"/>
        </w:numPr>
        <w:spacing w:after="80"/>
        <w:jc w:val="both"/>
      </w:pPr>
      <w:r>
        <w:rPr>
          <w:sz w:val="22"/>
          <w:szCs w:val="22"/>
        </w:rPr>
        <w:t xml:space="preserve">Deuda del SPNF y Sector Público Consolidado: Secretaría de Finanzas – Ministerio de Economía de la Nación.</w:t>
      </w:r>
    </w:p>
    <w:p>
      <w:pPr>
        <w:pStyle w:val="ListParagraph"/>
        <w:numPr>
          <w:ilvl w:val="0"/>
          <w:numId w:val="1"/>
        </w:numPr>
        <w:spacing w:after="80"/>
        <w:jc w:val="both"/>
      </w:pPr>
      <w:r>
        <w:rPr>
          <w:sz w:val="22"/>
          <w:szCs w:val="22"/>
        </w:rPr>
        <w:t xml:space="preserve">Resultado Primario / PIB: Dirección de Análisis Fiscal – Ministerio de Economía.</w:t>
      </w:r>
    </w:p>
    <w:p>
      <w:pPr>
        <w:pStyle w:val="ListParagraph"/>
        <w:numPr>
          <w:ilvl w:val="0"/>
          <w:numId w:val="1"/>
        </w:numPr>
        <w:spacing w:after="80"/>
        <w:jc w:val="both"/>
      </w:pPr>
      <w:r>
        <w:rPr>
          <w:sz w:val="22"/>
          <w:szCs w:val="22"/>
        </w:rPr>
        <w:t xml:space="preserve">TCRM: Banco Central de la República Argentina (BCRA).</w:t>
      </w:r>
    </w:p>
    <w:p>
      <w:pPr>
        <w:pStyle w:val="ListParagraph"/>
        <w:numPr>
          <w:ilvl w:val="0"/>
          <w:numId w:val="1"/>
        </w:numPr>
        <w:spacing w:after="80"/>
        <w:jc w:val="both"/>
      </w:pPr>
      <w:r>
        <w:rPr>
          <w:sz w:val="22"/>
          <w:szCs w:val="22"/>
        </w:rPr>
        <w:t xml:space="preserve">Brecha del producto (g_gap): Fondo Monetario Internacional (WEO).</w:t>
      </w:r>
    </w:p>
    <w:p>
      <w:pPr>
        <w:pBdr>
          <w:bottom w:val="single" w:color="AAAAAA" w:sz="4"/>
        </w:pBdr>
        <w:spacing w:after="200" w:before="200"/>
      </w:pPr>
    </w:p>
    <w:p>
      <w:pPr>
        <w:spacing w:after="0" w:before="400"/>
        <w:jc w:val="both"/>
      </w:pPr>
      <w:r>
        <w:rPr>
          <w:i/>
          <w:iCs/>
          <w:color w:val="888888"/>
          <w:sz w:val="18"/>
          <w:szCs w:val="18"/>
        </w:rPr>
        <w:t xml:space="preserve">Documento generado automáticamente como resumen técnico del repositorio DEUDA (github.com/federicoagustinchillon-creador/DEUDA). Para la versión completa con demostraciones formales y tablas de coeficientes, véase la tesis en tesis/Tesis.pdf.</w:t>
      </w:r>
    </w:p>
    <w:sectPr>
      <w:headerReference w:type="default" r:id="rId7"/>
      <w:footerReference w:type="default" r:id="rId8"/>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Página </w:t>
    </w:r>
    <w:r>
      <w:rPr>
        <w:color w:val="888888"/>
        <w:sz w:val="18"/>
        <w:szCs w:val="18"/>
      </w:rPr>
      <w:fldChar w:fldCharType="begin"/>
      <w:instrText xml:space="preserve">PAGE</w:instrText>
      <w:fldChar w:fldCharType="separate"/>
      <w:fldChar w:fldCharType="end"/>
    </w:r>
    <w:r>
      <w:rPr>
        <w:color w:val="888888"/>
        <w:sz w:val="18"/>
        <w:szCs w:val="18"/>
      </w:rPr>
      <w:t xml:space="preserve"> de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88888"/>
        <w:sz w:val="18"/>
        <w:szCs w:val="18"/>
      </w:rPr>
      <w:t xml:space="preserve">Sostenibilidad de la Deuda Pública Argentina (2004–2025) — Resumen Técnico Accesible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de Metodología y Resultados: SVAR, Spreads y Modelos Econométricos</dc:title>
  <dc:creator>Federico Chillón – FCE UNCUYO</dc:creator>
  <dc:description>Documento de divulgación interna que explica en lenguaje accesible qué se hizo y qué resultados se obtuvieron.</dc:description>
  <cp:lastModifiedBy>Un-named</cp:lastModifiedBy>
  <cp:revision>1</cp:revision>
  <dcterms:created xsi:type="dcterms:W3CDTF">2026-09-07T18:06:51.051Z</dcterms:created>
  <dcterms:modified xsi:type="dcterms:W3CDTF">2026-09-07T18:06:51.052Z</dcterms:modified>
</cp:coreProperties>
</file>

<file path=docProps/custom.xml><?xml version="1.0" encoding="utf-8"?>
<Properties xmlns="http://schemas.openxmlformats.org/officeDocument/2006/custom-properties" xmlns:vt="http://schemas.openxmlformats.org/officeDocument/2006/docPropsVTypes"/>
</file>