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Versión 2, del 10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VECM: no encuentran reacción fiscal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H1a (reacción fiscal),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3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introduccion_v3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confirmar los datos de coyuntura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antecedentes_v3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  <w:r>
        <w:t xml:space="preserve"> </w:t>
      </w:r>
      <w:r>
        <w:t xml:space="preserve">### Etapa 3. Datos (pendiente; es el siguiente paso técnico)</w:t>
      </w:r>
    </w:p>
    <w:p>
      <w:pPr>
        <w:pStyle w:val="Compact"/>
        <w:numPr>
          <w:ilvl w:val="0"/>
          <w:numId w:val="1008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09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09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09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8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8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8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7"/>
    <w:bookmarkStart w:id="18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0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0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0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0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8"/>
    <w:bookmarkStart w:id="19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1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1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1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1"/>
        </w:numPr>
      </w:pPr>
      <w:r>
        <w:t xml:space="preserve">Descomposición de varianza (H1a).</w:t>
      </w:r>
    </w:p>
    <w:bookmarkEnd w:id="19"/>
    <w:bookmarkStart w:id="20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2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2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2"/>
        </w:numPr>
      </w:pPr>
      <w:r>
        <w:t xml:space="preserve">Contraste de H1b y H2.</w:t>
      </w:r>
    </w:p>
    <w:bookmarkEnd w:id="20"/>
    <w:bookmarkStart w:id="21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3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1"/>
    <w:bookmarkStart w:id="22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4"/>
        </w:numPr>
      </w:pPr>
      <w:r>
        <w:t xml:space="preserve">Pasar todo al formato final y compilar.</w:t>
      </w:r>
    </w:p>
    <w:bookmarkEnd w:id="22"/>
    <w:bookmarkEnd w:id="23"/>
    <w:bookmarkStart w:id="24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4"/>
    <w:bookmarkStart w:id="25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5"/>
    <w:bookmarkStart w:id="26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6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2026-10-11T12:36:38Z</dcterms:created>
  <dcterms:modified xsi:type="dcterms:W3CDTF">2026-10-11T12:36:38Z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