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Georgia" w:hAnsi="Georgia"/>
          <w:b/>
          <w:color w:val="0D233A"/>
          <w:sz w:val="44"/>
        </w:rPr>
        <w:t>Aluar Aluminio Argentino S.A.I.C.</w:t>
      </w:r>
    </w:p>
    <w:p>
      <w:pPr>
        <w:spacing w:after="160"/>
      </w:pPr>
      <w:r>
        <w:rPr>
          <w:rFonts w:ascii="Georgia" w:hAnsi="Georgia"/>
          <w:color w:val="4A4A4A"/>
          <w:sz w:val="24"/>
        </w:rPr>
        <w:t>Reporte de Valuación Fundamental &amp; Equity Research Institucional  |  ALUA.BA</w:t>
      </w:r>
    </w:p>
    <w:p>
      <w:pPr>
        <w:spacing w:after="160"/>
        <w:pBrd>
          <w:bottom w:val="single" w:sz="12" w:space="1" w:color="0D233A"/>
        </w:pBrd>
      </w:pPr>
    </w:p>
    <w:tbl>
      <w:tblPr>
        <w:tblW w:type="auto" w:w="0"/>
        <w:jc w:val="center"/>
        <w:tblLayout w:type="fixed"/>
        <w:tblLook w:firstColumn="1" w:firstRow="1" w:lastColumn="0" w:lastRow="0" w:noHBand="0" w:noVBand="1" w:val="04A0"/>
      </w:tblPr>
      <w:tblGrid>
        <w:gridCol w:w="5184"/>
        <w:gridCol w:w="5184"/>
      </w:tblGrid>
      <w:tr>
        <w:tc>
          <w:tcPr>
            <w:tcW w:type="dxa" w:w="6048"/>
            <w:tcMar>
              <w:top w:w="100" w:type="dxa"/>
              <w:bottom w:w="100" w:type="dxa"/>
              <w:left w:w="120" w:type="dxa"/>
              <w:right w:w="120" w:type="dxa"/>
            </w:tcMar>
          </w:tcPr>
          <w:p>
            <w:pPr>
              <w:spacing w:line="276" w:lineRule="auto"/>
            </w:pPr>
            <w:r>
              <w:rPr>
                <w:rFonts w:ascii="Georgia" w:hAnsi="Georgia"/>
                <w:b/>
                <w:color w:val="0D233A"/>
                <w:sz w:val="22"/>
              </w:rPr>
              <w:t>Resumen Ejecutivo &amp; Tesis Central</w:t>
              <w:br/>
            </w:r>
            <w:r>
              <w:rPr>
                <w:rFonts w:ascii="Georgia" w:hAnsi="Georgia"/>
                <w:color w:val="0F172A"/>
                <w:sz w:val="18"/>
              </w:rPr>
              <w:t>Iniciamos cobertura de Aluar Aluminio Argentino S.A.I.C. (ALUA.BA) con dictamen de COMPRAR y un precio objetivo fundamental a 12 meses de ARS 1.236,00 (Target Integrado ARS 1.255,60 incluyendo la opción real eólica PEAL V), lo que representa un retorno esperado de +25,8% / +27,8% frente a la cotización spot de ARS 982,50.</w:t>
              <w:br/>
              <w:br/>
              <w:t>1. Liderazgo en Costos C1: Matriz 96% autogenerada (78% renovable), asegurando un cash cost de USD 1.680/t (primer cuartil global).</w:t>
              <w:br/>
              <w:t>2. Cobertura Natural: 80% de ingresos en USD vía LME frente a costos fijos domésticos en ARS.</w:t>
              <w:br/>
              <w:t>3. Desapalancamiento Acelerado: Conclusión del pico de CAPEX eólico y compresión de deuda neta a &lt;1,0x EBITDA hacia FY2028E.</w:t>
            </w:r>
          </w:p>
        </w:tc>
        <w:tc>
          <w:tcPr>
            <w:tcW w:type="dxa" w:w="4032"/>
            <w:tcMar>
              <w:top w:w="100" w:type="dxa"/>
              <w:bottom w:w="100" w:type="dxa"/>
              <w:left w:w="120" w:type="dxa"/>
              <w:right w:w="120" w:type="dxa"/>
            </w:tcMar>
            <w:shd w:fill="F8FAFC"/>
          </w:tcPr>
          <w:p>
            <w:pPr>
              <w:spacing w:line="276" w:lineRule="auto"/>
              <w:jc w:val="center"/>
            </w:pPr>
            <w:r>
              <w:rPr>
                <w:rFonts w:ascii="Georgia" w:hAnsi="Georgia"/>
                <w:color w:val="4A4A4A"/>
                <w:sz w:val="17"/>
              </w:rPr>
              <w:t>Dictamen Cuantitativo Oficial</w:t>
              <w:br/>
            </w:r>
            <w:r>
              <w:rPr>
                <w:rFonts w:ascii="Georgia" w:hAnsi="Georgia"/>
                <w:b/>
                <w:color w:val="00843D"/>
                <w:sz w:val="32"/>
              </w:rPr>
              <w:t>COMPRAR</w:t>
              <w:br/>
            </w:r>
            <w:r>
              <w:rPr>
                <w:rFonts w:ascii="Georgia" w:hAnsi="Georgia"/>
                <w:color w:val="0D233A"/>
                <w:sz w:val="17"/>
              </w:rPr>
              <w:t>Target Base (Dumrauf): ARS 1.236,00</w:t>
              <w:br/>
              <w:t>Opción Real PEAL V: +ARS 19,60</w:t>
              <w:br/>
              <w:t>Target Integrado: ARS 1.255,60 (USD 0,79)</w:t>
              <w:br/>
              <w:t>Cotización Spot: ARS 982,50</w:t>
              <w:br/>
              <w:t>Upside Integrado: +27,8%</w:t>
              <w:br/>
              <w:t>─────────────────────────</w:t>
              <w:br/>
              <w:t>WACC Modelo: 7,06%</w:t>
              <w:br/>
              <w:t>Costo Equity (Ke): 9,30%</w:t>
              <w:br/>
              <w:t>Beta Apalancado: 0,888</w:t>
              <w:br/>
              <w:t>ERP Damodaran: 4,18%</w:t>
              <w:br/>
              <w:t>CRP (λ × EMBI+): 0,88%</w:t>
              <w:br/>
              <w:t>Crecimiento Terminal (g): 2,00%</w:t>
              <w:br/>
              <w:t>Tipo de Cambio CCL: 1.584,25</w:t>
            </w:r>
          </w:p>
        </w:tc>
      </w:tr>
    </w:tbl>
    <w:p>
      <w:pPr>
        <w:spacing w:after="120"/>
      </w:pPr>
    </w:p>
    <w:tbl>
      <w:tblPr>
        <w:tblW w:type="auto" w:w="0"/>
        <w:jc w:val="center"/>
        <w:tblLayout w:type="fixed"/>
        <w:tblLook w:firstColumn="1" w:firstRow="1" w:lastColumn="0" w:lastRow="0" w:noHBand="0" w:noVBand="1" w:val="04A0"/>
      </w:tblPr>
      <w:tblGrid>
        <w:gridCol w:w="10368"/>
      </w:tblGrid>
      <w:tr>
        <w:tc>
          <w:tcPr>
            <w:tcW w:type="dxa" w:w="10080"/>
            <w:shd w:fill="F8FAFC"/>
            <w:tcMar>
              <w:top w:w="140" w:type="dxa"/>
              <w:bottom w:w="140" w:type="dxa"/>
              <w:left w:w="180" w:type="dxa"/>
              <w:right w:w="180" w:type="dxa"/>
            </w:tcMar>
            <w:tcBorders>
              <w:top w:val="single" w:sz="4" w:space="0" w:color="0D233A"/>
              <w:left w:val="single" w:sz="24" w:space="0" w:color="0D233A"/>
              <w:bottom w:val="single" w:sz="4" w:space="0" w:color="0D233A"/>
              <w:right w:val="single" w:sz="4" w:space="0" w:color="0D233A"/>
            </w:tcBorders>
          </w:tcPr>
          <w:p>
            <w:pPr>
              <w:spacing w:before="40" w:after="40" w:line="276" w:lineRule="auto"/>
            </w:pPr>
            <w:r>
              <w:rPr>
                <w:rFonts w:ascii="Georgia" w:hAnsi="Georgia"/>
                <w:b/>
                <w:color w:val="0D233A"/>
                <w:sz w:val="20"/>
              </w:rPr>
              <w:t>Aviso Legal y Descargo de Responsabilidad</w:t>
              <w:br/>
            </w:r>
            <w:r>
              <w:rPr>
                <w:rFonts w:ascii="Georgia" w:hAnsi="Georgia"/>
                <w:color w:val="0F172A"/>
                <w:sz w:val="18"/>
              </w:rPr>
              <w:t>Documento de investigación cuantitativa y análisis financiero con fines exclusivamente educativos y de divulgación académica. No constituye una recomendación de compra, venta o asesoramiento de inversión en los términos de la Ley N.° 26.831. Las opiniones técnicas representan estimaciones independientes fundamentadas en modelos econométricos y balances públicos auditados.</w:t>
              <w:br/>
            </w:r>
          </w:p>
        </w:tc>
      </w:tr>
    </w:tbl>
    <w:p>
      <w:pPr>
        <w:spacing w:after="80"/>
      </w:pPr>
    </w:p>
    <w:p>
      <w:r>
        <w:br w:type="page"/>
      </w:r>
    </w:p>
    <w:p>
      <w:pPr>
        <w:keepNext/>
        <w:spacing w:before="280" w:after="80"/>
        <w:pBrd>
          <w:bottom w:val="single" w:sz="8" w:space="2" w:color="0D233A"/>
        </w:pBrd>
      </w:pPr>
      <w:r>
        <w:rPr>
          <w:rFonts w:ascii="Georgia" w:hAnsi="Georgia"/>
          <w:b/>
          <w:color w:val="0D233A"/>
          <w:sz w:val="28"/>
        </w:rPr>
        <w:t>1. Descripción de la Compañía, Dinámica de Industria y Factores ESG</w:t>
      </w:r>
    </w:p>
    <w:p>
      <w:pPr>
        <w:keepNext/>
        <w:spacing w:before="200" w:after="60"/>
      </w:pPr>
      <w:r>
        <w:rPr>
          <w:rFonts w:ascii="Georgia" w:hAnsi="Georgia"/>
          <w:b/>
          <w:color w:val="1E3A8A"/>
          <w:sz w:val="23"/>
        </w:rPr>
        <w:t>1.1 Perfil Operativo: Integración Vertical y Capacidad al 100%</w:t>
      </w:r>
    </w:p>
    <w:p>
      <w:pPr>
        <w:spacing w:before="0" w:after="60" w:line="276" w:lineRule="auto"/>
      </w:pPr>
      <w:r>
        <w:rPr>
          <w:rFonts w:ascii="Georgia" w:hAnsi="Georgia"/>
          <w:color w:val="0F172A"/>
          <w:sz w:val="19"/>
        </w:rPr>
        <w:t>Aluar Aluminio Argentino S.A.I.C. es el único productor primario de aluminio integrado en Argentina y uno de los complejos industriales más relevantes de Sudamérica. Fundada en 1974, la compañía opera su planta de reducción electrolítica en Puerto Madryn (Provincia del Chubut) con una capacidad nominal saturada de 460.000 toneladas anuales. Su portafolio abarca aluminio primario (lingotes estándar, lingotes T, barrotes de extrusión billets, alambrón wire rod y placas de laminación) junto con una división de elaborados de alto valor agregado. El 80% de su producción física se exporta a cotización LME más primas regionales, generando un flujo de fondos estructuralmente dolarizado.</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72050"/>
                  <wp:docPr id="1" name="Picture 1"/>
                  <wp:cNvGraphicFramePr>
                    <a:graphicFrameLocks noChangeAspect="1"/>
                  </wp:cNvGraphicFramePr>
                  <a:graphic>
                    <a:graphicData uri="http://schemas.openxmlformats.org/drawingml/2006/picture">
                      <pic:pic>
                        <pic:nvPicPr>
                          <pic:cNvPr id="0" name="figura_01.png"/>
                          <pic:cNvPicPr/>
                        </pic:nvPicPr>
                        <pic:blipFill>
                          <a:blip r:embed="rId11"/>
                          <a:stretch>
                            <a:fillRect/>
                          </a:stretch>
                        </pic:blipFill>
                        <pic:spPr>
                          <a:xfrm>
                            <a:off x="0" y="0"/>
                            <a:ext cx="3017520" cy="157205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482763"/>
                  <wp:docPr id="2" name="Picture 2"/>
                  <wp:cNvGraphicFramePr>
                    <a:graphicFrameLocks noChangeAspect="1"/>
                  </wp:cNvGraphicFramePr>
                  <a:graphic>
                    <a:graphicData uri="http://schemas.openxmlformats.org/drawingml/2006/picture">
                      <pic:pic>
                        <pic:nvPicPr>
                          <pic:cNvPr id="0" name="figura_02.png"/>
                          <pic:cNvPicPr/>
                        </pic:nvPicPr>
                        <pic:blipFill>
                          <a:blip r:embed="rId12"/>
                          <a:stretch>
                            <a:fillRect/>
                          </a:stretch>
                        </pic:blipFill>
                        <pic:spPr>
                          <a:xfrm>
                            <a:off x="0" y="0"/>
                            <a:ext cx="3017520" cy="1482763"/>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 Hitos Históricos de Aluar (1974–2026): Expansión de capacidad y transición renovable.</w:t>
            </w:r>
          </w:p>
        </w:tc>
        <w:tc>
          <w:tcPr>
            <w:tcW w:type="dxa" w:w="4896"/>
            <w:tcMar>
              <w:top w:w="40" w:type="dxa"/>
              <w:bottom w:w="40" w:type="dxa"/>
              <w:left w:w="40" w:type="dxa"/>
              <w:right w:w="40" w:type="dxa"/>
            </w:tcMar>
          </w:tcPr>
          <w:p>
            <w:pPr>
              <w:spacing w:after="80"/>
              <w:jc w:val="left"/>
            </w:pPr>
            <w:r>
              <w:rPr>
                <w:rFonts w:ascii="Georgia" w:hAnsi="Georgia"/>
                <w:color w:val="4A4A4A"/>
                <w:sz w:val="16"/>
              </w:rPr>
              <w:t>Figura 2: Estructura Accionaria: Grupo Madanes 45,98% y capital flotante/ANSES 54,02%.</w:t>
            </w:r>
          </w:p>
        </w:tc>
      </w:tr>
    </w:tbl>
    <w:p>
      <w:pPr>
        <w:spacing w:after="40"/>
      </w:pPr>
    </w:p>
    <w:p>
      <w:pPr>
        <w:keepNext/>
        <w:spacing w:before="200" w:after="60"/>
      </w:pPr>
      <w:r>
        <w:rPr>
          <w:rFonts w:ascii="Georgia" w:hAnsi="Georgia"/>
          <w:b/>
          <w:color w:val="1E3A8A"/>
          <w:sz w:val="23"/>
        </w:rPr>
        <w:t>1.2 Ventajas Competitivas: Matriz Energética y Posición C1</w:t>
      </w:r>
    </w:p>
    <w:p>
      <w:pPr>
        <w:spacing w:before="0" w:after="60" w:line="276" w:lineRule="auto"/>
      </w:pPr>
      <w:r>
        <w:rPr>
          <w:rFonts w:ascii="Georgia" w:hAnsi="Georgia"/>
          <w:color w:val="0F172A"/>
          <w:sz w:val="19"/>
        </w:rPr>
        <w:t>La fundición electrolítica de aluminio es altamente electrointensiva (~14–15 MWh por tonelada de aluminio). El foso defensivo (economic moat) de Aluar radica en:</w:t>
      </w:r>
    </w:p>
    <w:p>
      <w:pPr>
        <w:spacing w:before="0" w:after="60" w:line="276" w:lineRule="auto"/>
      </w:pPr>
      <w:r>
        <w:rPr>
          <w:rFonts w:ascii="Georgia" w:hAnsi="Georgia"/>
          <w:color w:val="0F172A"/>
          <w:sz w:val="19"/>
        </w:rPr>
        <w:t>1. Autonomía Energética Propia (96% del Consumo): 54% provisto por Hidroeléctrica Futaleufú (320 MW bajo concesión), 24% por el Parque Eólico Aluar (PEAL, 200 MW en operación) y 18% por ciclos combinados térmicos propios. Sólo el 4% se toma de la red nacional (SADI).</w:t>
      </w:r>
    </w:p>
    <w:p>
      <w:pPr>
        <w:spacing w:before="0" w:after="60" w:line="276" w:lineRule="auto"/>
      </w:pPr>
      <w:r>
        <w:rPr>
          <w:rFonts w:ascii="Georgia" w:hAnsi="Georgia"/>
          <w:color w:val="0F172A"/>
          <w:sz w:val="19"/>
        </w:rPr>
        <w:t>2. Posición en Primer Cuartil de Costos Globales: Cash cost C1 de USD 1.680/t (percentil 29% de la curva global de costos CRU/Wood Mackenzie), garantizando márgenes operativos positivos aún en los valles del LME.</w:t>
      </w:r>
    </w:p>
    <w:p>
      <w:pPr>
        <w:spacing w:before="0" w:after="60" w:line="276" w:lineRule="auto"/>
      </w:pPr>
      <w:r>
        <w:rPr>
          <w:rFonts w:ascii="Georgia" w:hAnsi="Georgia"/>
          <w:color w:val="0F172A"/>
          <w:sz w:val="19"/>
        </w:rPr>
        <w:t>3. Infraestructura Portuaria Exclusiva: Muelle propio de aguas profundas para descarga directa de alúmina y embarque de exportaciones.</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14258"/>
                  <wp:docPr id="3" name="Picture 3"/>
                  <wp:cNvGraphicFramePr>
                    <a:graphicFrameLocks noChangeAspect="1"/>
                  </wp:cNvGraphicFramePr>
                  <a:graphic>
                    <a:graphicData uri="http://schemas.openxmlformats.org/drawingml/2006/picture">
                      <pic:pic>
                        <pic:nvPicPr>
                          <pic:cNvPr id="0" name="figura_09.png"/>
                          <pic:cNvPicPr/>
                        </pic:nvPicPr>
                        <pic:blipFill>
                          <a:blip r:embed="rId13"/>
                          <a:stretch>
                            <a:fillRect/>
                          </a:stretch>
                        </pic:blipFill>
                        <pic:spPr>
                          <a:xfrm>
                            <a:off x="0" y="0"/>
                            <a:ext cx="3017520" cy="1714258"/>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879353"/>
                  <wp:docPr id="4" name="Picture 4"/>
                  <wp:cNvGraphicFramePr>
                    <a:graphicFrameLocks noChangeAspect="1"/>
                  </wp:cNvGraphicFramePr>
                  <a:graphic>
                    <a:graphicData uri="http://schemas.openxmlformats.org/drawingml/2006/picture">
                      <pic:pic>
                        <pic:nvPicPr>
                          <pic:cNvPr id="0" name="figura_10.png"/>
                          <pic:cNvPicPr/>
                        </pic:nvPicPr>
                        <pic:blipFill>
                          <a:blip r:embed="rId14"/>
                          <a:stretch>
                            <a:fillRect/>
                          </a:stretch>
                        </pic:blipFill>
                        <pic:spPr>
                          <a:xfrm>
                            <a:off x="0" y="0"/>
                            <a:ext cx="3017520" cy="1879353"/>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9: Cuota de Mercado Doméstica: 60% de participación en Argentina.</w:t>
            </w:r>
          </w:p>
        </w:tc>
        <w:tc>
          <w:tcPr>
            <w:tcW w:type="dxa" w:w="4896"/>
            <w:tcMar>
              <w:top w:w="40" w:type="dxa"/>
              <w:bottom w:w="40" w:type="dxa"/>
              <w:left w:w="40" w:type="dxa"/>
              <w:right w:w="40" w:type="dxa"/>
            </w:tcMar>
          </w:tcPr>
          <w:p>
            <w:pPr>
              <w:spacing w:after="80"/>
              <w:jc w:val="left"/>
            </w:pPr>
            <w:r>
              <w:rPr>
                <w:rFonts w:ascii="Georgia" w:hAnsi="Georgia"/>
                <w:color w:val="4A4A4A"/>
                <w:sz w:val="16"/>
              </w:rPr>
              <w:t>Figura 10: Matriz Energética y Curva C1: 78% renovable y costo defensivo de USD 1.680/t.</w:t>
            </w:r>
          </w:p>
        </w:tc>
      </w:tr>
    </w:tbl>
    <w:p>
      <w:pPr>
        <w:spacing w:after="40"/>
      </w:pPr>
    </w:p>
    <w:p>
      <w:pPr>
        <w:keepNext/>
        <w:spacing w:before="200" w:after="60"/>
      </w:pPr>
      <w:r>
        <w:rPr>
          <w:rFonts w:ascii="Georgia" w:hAnsi="Georgia"/>
          <w:b/>
          <w:color w:val="1E3A8A"/>
          <w:sz w:val="23"/>
        </w:rPr>
        <w:t>1.3 Estrategia Corporativa y División Elaborados</w:t>
      </w:r>
    </w:p>
    <w:p>
      <w:pPr>
        <w:spacing w:before="0" w:after="60" w:line="276" w:lineRule="auto"/>
      </w:pPr>
      <w:r>
        <w:rPr>
          <w:rFonts w:ascii="Georgia" w:hAnsi="Georgia"/>
          <w:color w:val="0F172A"/>
          <w:sz w:val="19"/>
        </w:rPr>
        <w:t>La participación de la división de elaborados se contrajo temporalmente debido a la recesión doméstica, pasando de 6,0% en FY2023 a 3,3% en FY2025:</w:t>
      </w:r>
    </w:p>
    <w:p>
      <w:pPr>
        <w:keepNext/>
        <w:spacing w:before="120" w:after="40"/>
      </w:pPr>
      <w:r>
        <w:rPr>
          <w:rFonts w:ascii="Georgia" w:hAnsi="Georgia"/>
          <w:b/>
          <w:color w:val="0D233A"/>
          <w:sz w:val="18"/>
        </w:rPr>
        <w:t>Tabla: Participación de Elaborados en Volumen de Ventas (Memoria y EEFF)</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92"/>
        <w:gridCol w:w="2592"/>
        <w:gridCol w:w="2592"/>
        <w:gridCol w:w="2592"/>
      </w:tblGrid>
      <w:tr>
        <w:tc>
          <w:tcPr>
            <w:tcW w:type="dxa" w:w="4320"/>
            <w:shd w:fill="F1F5F9"/>
            <w:tcMar>
              <w:top w:w="80" w:type="dxa"/>
              <w:bottom w:w="80" w:type="dxa"/>
              <w:left w:w="100" w:type="dxa"/>
              <w:right w:w="100" w:type="dxa"/>
            </w:tcMar>
          </w:tcPr>
          <w:p>
            <w:pPr>
              <w:spacing w:before="60" w:after="60"/>
              <w:jc w:val="left"/>
            </w:pPr>
            <w:r/>
            <w:r>
              <w:rPr>
                <w:rFonts w:ascii="Georgia" w:hAnsi="Georgia"/>
                <w:b/>
                <w:color w:val="0D233A"/>
                <w:sz w:val="17"/>
              </w:rPr>
              <w:t>Métrica de Volumen</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87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Ventas Elaborados (t)</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23.104</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17.766</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13.498</w:t>
            </w:r>
          </w:p>
        </w:tc>
      </w:tr>
      <w:tr>
        <w:tc>
          <w:tcPr>
            <w:tcW w:type="dxa" w:w="4320"/>
            <w:tcMar>
              <w:top w:w="60" w:type="dxa"/>
              <w:bottom w:w="60" w:type="dxa"/>
              <w:left w:w="100" w:type="dxa"/>
              <w:right w:w="100" w:type="dxa"/>
            </w:tcMar>
          </w:tcPr>
          <w:p>
            <w:pPr>
              <w:spacing w:before="40" w:after="40"/>
              <w:jc w:val="left"/>
            </w:pPr>
            <w:r/>
            <w:r>
              <w:rPr>
                <w:rFonts w:ascii="Georgia" w:hAnsi="Georgia"/>
                <w:b/>
                <w:color w:val="0D233A"/>
                <w:sz w:val="17"/>
              </w:rPr>
              <w:t>Ventas Totales (t)</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383.834</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418.014</w:t>
            </w:r>
          </w:p>
        </w:tc>
        <w:tc>
          <w:tcPr>
            <w:tcW w:type="dxa" w:w="1872"/>
            <w:tcMar>
              <w:top w:w="60" w:type="dxa"/>
              <w:bottom w:w="60" w:type="dxa"/>
              <w:left w:w="100" w:type="dxa"/>
              <w:right w:w="100" w:type="dxa"/>
            </w:tcMar>
          </w:tcPr>
          <w:p>
            <w:pPr>
              <w:spacing w:before="40" w:after="40"/>
              <w:jc w:val="right"/>
            </w:pPr>
            <w:r/>
            <w:r>
              <w:rPr>
                <w:rFonts w:ascii="Georgia" w:hAnsi="Georgia"/>
                <w:b/>
                <w:color w:val="0D233A"/>
                <w:sz w:val="17"/>
              </w:rPr>
              <w:t>402.991</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Participación Elaborados</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6,0%</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4,3%</w:t>
            </w:r>
          </w:p>
        </w:tc>
        <w:tc>
          <w:tcPr>
            <w:tcW w:type="dxa" w:w="1872"/>
            <w:tcMar>
              <w:top w:w="60" w:type="dxa"/>
              <w:bottom w:w="60" w:type="dxa"/>
              <w:left w:w="100" w:type="dxa"/>
              <w:right w:w="100" w:type="dxa"/>
            </w:tcMar>
          </w:tcPr>
          <w:p>
            <w:pPr>
              <w:spacing w:before="40" w:after="40"/>
              <w:jc w:val="right"/>
            </w:pPr>
            <w:r/>
            <w:r>
              <w:rPr>
                <w:rFonts w:ascii="Georgia" w:hAnsi="Georgia"/>
                <w:color w:val="0F172A"/>
                <w:sz w:val="17"/>
              </w:rPr>
              <w:t>3,3%</w:t>
            </w:r>
          </w:p>
        </w:tc>
      </w:tr>
    </w:tbl>
    <w:p>
      <w:pPr>
        <w:spacing w:after="80"/>
      </w:pPr>
    </w:p>
    <w:p>
      <w:pPr>
        <w:keepNext/>
        <w:spacing w:before="200" w:after="60"/>
      </w:pPr>
      <w:r>
        <w:rPr>
          <w:rFonts w:ascii="Georgia" w:hAnsi="Georgia"/>
          <w:b/>
          <w:color w:val="1E3A8A"/>
          <w:sz w:val="23"/>
        </w:rPr>
        <w:t>1.4 Scorecard ESG y Mitigación del Arancel CBAM Europeo</w:t>
      </w:r>
    </w:p>
    <w:p>
      <w:pPr>
        <w:spacing w:before="0" w:after="60" w:line="276" w:lineRule="auto"/>
      </w:pPr>
      <w:r>
        <w:rPr>
          <w:rFonts w:ascii="Georgia" w:hAnsi="Georgia"/>
          <w:color w:val="0F172A"/>
          <w:sz w:val="19"/>
        </w:rPr>
        <w:t>Con una intensidad de emisiones inferior a 4 t CO2/t Al frente a la media mundial de ~11 t CO2/t (dominada por fundiciones chinas a carbón), Aluar cuenta con una ventaja arancelaria neta estimada en USD 80–120 por tonelada bajo el Carbon Border Adjustment Mechanism (CBAM) de la Unión Europea.</w:t>
      </w:r>
    </w:p>
    <w:p>
      <w:pPr>
        <w:keepNext/>
        <w:spacing w:before="280" w:after="80"/>
        <w:pBrd>
          <w:bottom w:val="single" w:sz="8" w:space="2" w:color="0D233A"/>
        </w:pBrd>
      </w:pPr>
      <w:r>
        <w:rPr>
          <w:rFonts w:ascii="Georgia" w:hAnsi="Georgia"/>
          <w:b/>
          <w:color w:val="0D233A"/>
          <w:sz w:val="28"/>
        </w:rPr>
        <w:t>2. Análisis Financiero Histórico y Descomposición DuPont</w:t>
      </w:r>
    </w:p>
    <w:p>
      <w:pPr>
        <w:keepNext/>
        <w:spacing w:before="200" w:after="60"/>
      </w:pPr>
      <w:r>
        <w:rPr>
          <w:rFonts w:ascii="Georgia" w:hAnsi="Georgia"/>
          <w:b/>
          <w:color w:val="1E3A8A"/>
          <w:sz w:val="23"/>
        </w:rPr>
        <w:t>2.1 Desempeño Histórico Auditado (FY2020–FY2025)</w:t>
      </w:r>
    </w:p>
    <w:p>
      <w:pPr>
        <w:spacing w:before="0" w:after="60" w:line="276" w:lineRule="auto"/>
      </w:pPr>
      <w:r>
        <w:rPr>
          <w:rFonts w:ascii="Georgia" w:hAnsi="Georgia"/>
          <w:color w:val="0F172A"/>
          <w:sz w:val="19"/>
        </w:rPr>
        <w:t>Los estados financieros consolidados auditados por PwC reflejan la solidez operativa y la capacidad de generación de EBITDA a través de los ciclos macroeconómicos:</w:t>
      </w:r>
    </w:p>
    <w:p>
      <w:pPr>
        <w:keepNext/>
        <w:spacing w:before="120" w:after="40"/>
      </w:pPr>
      <w:r>
        <w:rPr>
          <w:rFonts w:ascii="Georgia" w:hAnsi="Georgia"/>
          <w:b/>
          <w:color w:val="0D233A"/>
          <w:sz w:val="18"/>
        </w:rPr>
        <w:t>Tabla: Indicadores Financieros y Operativos Clave FY2020–FY2025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81"/>
        <w:gridCol w:w="1481"/>
        <w:gridCol w:w="1481"/>
        <w:gridCol w:w="1481"/>
        <w:gridCol w:w="1481"/>
        <w:gridCol w:w="1481"/>
        <w:gridCol w:w="1481"/>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(USD MM)</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FY2020</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FY2021</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FY2022</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FY2023</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FY2024</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FY2025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Ventas Netas</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823,5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513,5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654,7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647,8</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915,9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1.092,6</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116,5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209,7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204,7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163,3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Margen 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20,9%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22,4%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14,9%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EBIT Operativo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48,1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61,3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162,1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62,0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152,6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92,3</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Resultado Neto</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-43,9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28,1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103,4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126,2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89,7</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9,2</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CAPEX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-103,0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-65,9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-25,6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-243,9</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351,3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137,4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57,3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169,9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211,2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525,8</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Deuda Neta / EBITDA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3,02x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1,28x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0,27x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1,61x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1,03x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3,22x</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Cobertura Intereses (EBIT/Int)</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1,81x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4,12x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107,8x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7,69x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8,62x</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3,53x</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ROIC</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3,73%</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7,50%</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17,85%</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5,22%</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7,94%</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3,52%</w:t>
            </w:r>
          </w:p>
        </w:tc>
      </w:tr>
    </w:tbl>
    <w:p>
      <w:pPr>
        <w:spacing w:after="80"/>
      </w:pPr>
    </w:p>
    <w:p>
      <w:pPr>
        <w:keepNext/>
        <w:spacing w:before="200" w:after="60"/>
      </w:pPr>
      <w:r>
        <w:rPr>
          <w:rFonts w:ascii="Georgia" w:hAnsi="Georgia"/>
          <w:b/>
          <w:color w:val="1E3A8A"/>
          <w:sz w:val="23"/>
        </w:rPr>
        <w:t>2.2 Descomposición DuPont de Cinco Factores</w:t>
      </w:r>
    </w:p>
    <w:p>
      <w:pPr>
        <w:spacing w:before="80" w:after="80"/>
        <w:jc w:val="center"/>
      </w:pPr>
      <w:r>
        <w:rPr>
          <w:rFonts w:ascii="Cambria Math" w:hAnsi="Cambria Math"/>
          <w:b/>
          <w:color w:val="0D233A"/>
          <w:sz w:val="21"/>
        </w:rPr>
        <w:t xml:space="preserve">   ROE = (RN / EBT) × (EBT / EBIT) × (EBIT / Ventas) × (Ventas / Activos) × (Activos / PN)   </w:t>
      </w:r>
      <w:r>
        <w:rPr>
          <w:rFonts w:ascii="Georgia" w:hAnsi="Georgia"/>
          <w:i/>
          <w:color w:val="4A4A4A"/>
          <w:sz w:val="18"/>
        </w:rPr>
        <w:t xml:space="preserve">    (DuPont 5 Factores)</w:t>
      </w:r>
    </w:p>
    <w:p>
      <w:pPr>
        <w:spacing w:before="0" w:after="60" w:line="276" w:lineRule="auto"/>
      </w:pPr>
      <w:r>
        <w:rPr>
          <w:rFonts w:ascii="Georgia" w:hAnsi="Georgia"/>
          <w:color w:val="0F172A"/>
          <w:sz w:val="19"/>
        </w:rPr>
        <w:t>En FY2025, la carga impositiva efectiva cayó a 15,67% (alícuota efectiva de 84,3% distorsionada por el ajuste por inflación impositivo NIC 29), deprimiendo el ROE a 0,83% a pesar de que el margen operativo EBIT se ubicó en un saludable 8,44%.</w:t>
      </w:r>
    </w:p>
    <w:p>
      <w:pPr>
        <w:keepNext/>
        <w:spacing w:before="280" w:after="80"/>
        <w:pBrd>
          <w:bottom w:val="single" w:sz="8" w:space="2" w:color="0D233A"/>
        </w:pBrd>
      </w:pPr>
      <w:r>
        <w:rPr>
          <w:rFonts w:ascii="Georgia" w:hAnsi="Georgia"/>
          <w:b/>
          <w:color w:val="0D233A"/>
          <w:sz w:val="28"/>
        </w:rPr>
        <w:t>3. Supuestos Macroeconómicos y Mecánica Operativa (P × Q)</w:t>
      </w:r>
    </w:p>
    <w:p>
      <w:pPr>
        <w:keepNext/>
        <w:spacing w:before="200" w:after="60"/>
      </w:pPr>
      <w:r>
        <w:rPr>
          <w:rFonts w:ascii="Georgia" w:hAnsi="Georgia"/>
          <w:b/>
          <w:color w:val="1E3A8A"/>
          <w:sz w:val="23"/>
        </w:rPr>
        <w:t>3.1 Entorno Macroeconómico y Riesgo Soberano</w:t>
      </w:r>
    </w:p>
    <w:p>
      <w:pPr>
        <w:spacing w:before="0" w:after="60" w:line="276" w:lineRule="auto"/>
      </w:pPr>
      <w:r>
        <w:rPr>
          <w:rFonts w:ascii="Georgia" w:hAnsi="Georgia"/>
          <w:color w:val="0F172A"/>
          <w:sz w:val="19"/>
        </w:rPr>
        <w:t>El modelo incorpora la estabilización inflacionaria y la compresión del riesgo país EMBI+ desde 2.400 pb en 2022 a 441 pb al cierre de julio de 2026.</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471175"/>
                  <wp:docPr id="5" name="Picture 5"/>
                  <wp:cNvGraphicFramePr>
                    <a:graphicFrameLocks noChangeAspect="1"/>
                  </wp:cNvGraphicFramePr>
                  <a:graphic>
                    <a:graphicData uri="http://schemas.openxmlformats.org/drawingml/2006/picture">
                      <pic:pic>
                        <pic:nvPicPr>
                          <pic:cNvPr id="0" name="figura_03.png"/>
                          <pic:cNvPicPr/>
                        </pic:nvPicPr>
                        <pic:blipFill>
                          <a:blip r:embed="rId15"/>
                          <a:stretch>
                            <a:fillRect/>
                          </a:stretch>
                        </pic:blipFill>
                        <pic:spPr>
                          <a:xfrm>
                            <a:off x="0" y="0"/>
                            <a:ext cx="3017520" cy="1471175"/>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40956"/>
                  <wp:docPr id="6" name="Picture 6"/>
                  <wp:cNvGraphicFramePr>
                    <a:graphicFrameLocks noChangeAspect="1"/>
                  </wp:cNvGraphicFramePr>
                  <a:graphic>
                    <a:graphicData uri="http://schemas.openxmlformats.org/drawingml/2006/picture">
                      <pic:pic>
                        <pic:nvPicPr>
                          <pic:cNvPr id="0" name="figura_04.png"/>
                          <pic:cNvPicPr/>
                        </pic:nvPicPr>
                        <pic:blipFill>
                          <a:blip r:embed="rId16"/>
                          <a:stretch>
                            <a:fillRect/>
                          </a:stretch>
                        </pic:blipFill>
                        <pic:spPr>
                          <a:xfrm>
                            <a:off x="0" y="0"/>
                            <a:ext cx="3017520" cy="1540956"/>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3: Macro Argentina: Crecimiento real del PBI e inflación proyectada.</w:t>
            </w:r>
          </w:p>
        </w:tc>
        <w:tc>
          <w:tcPr>
            <w:tcW w:type="dxa" w:w="4896"/>
            <w:tcMar>
              <w:top w:w="40" w:type="dxa"/>
              <w:bottom w:w="40" w:type="dxa"/>
              <w:left w:w="40" w:type="dxa"/>
              <w:right w:w="40" w:type="dxa"/>
            </w:tcMar>
          </w:tcPr>
          <w:p>
            <w:pPr>
              <w:spacing w:after="80"/>
              <w:jc w:val="left"/>
            </w:pPr>
            <w:r>
              <w:rPr>
                <w:rFonts w:ascii="Georgia" w:hAnsi="Georgia"/>
                <w:color w:val="4A4A4A"/>
                <w:sz w:val="16"/>
              </w:rPr>
              <w:t>Figura 4: Riesgo País (EMBI+): Compresión soberana de 2.400 pb a 441 pb.</w:t>
            </w:r>
          </w:p>
        </w:tc>
      </w:tr>
    </w:tbl>
    <w:p>
      <w:pPr>
        <w:spacing w:after="40"/>
      </w:pPr>
    </w:p>
    <w:p>
      <w:pPr>
        <w:keepNext/>
        <w:spacing w:before="200" w:after="60"/>
      </w:pPr>
      <w:r>
        <w:rPr>
          <w:rFonts w:ascii="Georgia" w:hAnsi="Georgia"/>
          <w:b/>
          <w:color w:val="1E3A8A"/>
          <w:sz w:val="23"/>
        </w:rPr>
        <w:t>3.2 Formulación Microeconómica de Ingresos y Margen EBITDA</w:t>
      </w:r>
    </w:p>
    <w:p>
      <w:pPr>
        <w:spacing w:before="0" w:after="60" w:line="276" w:lineRule="auto"/>
      </w:pPr>
      <w:r>
        <w:rPr>
          <w:rFonts w:ascii="Georgia" w:hAnsi="Georgia"/>
          <w:color w:val="0F172A"/>
          <w:sz w:val="19"/>
        </w:rPr>
        <w:t>1. Volumen Físico Saturado (Q): Con capacidad nominal de 460.000 t y 94% de factor de utilización histórico:</w:t>
      </w:r>
    </w:p>
    <w:p>
      <w:pPr>
        <w:spacing w:before="80" w:after="80"/>
        <w:jc w:val="center"/>
      </w:pPr>
      <w:r>
        <w:rPr>
          <w:rFonts w:ascii="Cambria Math" w:hAnsi="Cambria Math"/>
          <w:b/>
          <w:color w:val="0D233A"/>
          <w:sz w:val="21"/>
        </w:rPr>
        <w:t xml:space="preserve">   Q = 460.000 t × 0,94 = 432.400 t/año   </w:t>
      </w:r>
      <w:r>
        <w:rPr>
          <w:rFonts w:ascii="Georgia" w:hAnsi="Georgia"/>
          <w:i/>
          <w:color w:val="4A4A4A"/>
          <w:sz w:val="18"/>
        </w:rPr>
        <w:t xml:space="preserve">    (Volumen Físico)</w:t>
      </w:r>
    </w:p>
    <w:p>
      <w:pPr>
        <w:spacing w:before="0" w:after="60" w:line="276" w:lineRule="auto"/>
      </w:pPr>
      <w:r>
        <w:rPr>
          <w:rFonts w:ascii="Georgia" w:hAnsi="Georgia"/>
          <w:color w:val="0F172A"/>
          <w:sz w:val="19"/>
        </w:rPr>
        <w:t>2. Precio Realizado (P): En 2026E escala por el nivel spot del LME en 1T26 ($3.173/t), convergiendo linealmente hacia 2030E al valor de régimen de equilibrio:</w:t>
      </w:r>
    </w:p>
    <w:p>
      <w:pPr>
        <w:spacing w:before="80" w:after="80"/>
        <w:jc w:val="center"/>
      </w:pPr>
      <w:r>
        <w:rPr>
          <w:rFonts w:ascii="Cambria Math" w:hAnsi="Cambria Math"/>
          <w:b/>
          <w:color w:val="0D233A"/>
          <w:sz w:val="21"/>
        </w:rPr>
        <w:t xml:space="preserve">   P_2030 = LME_rev ($2.587,1/t) + Premium_elab ($645,7/t) = USD 3.232,8/t   </w:t>
      </w:r>
      <w:r>
        <w:rPr>
          <w:rFonts w:ascii="Georgia" w:hAnsi="Georgia"/>
          <w:i/>
          <w:color w:val="4A4A4A"/>
          <w:sz w:val="18"/>
        </w:rPr>
        <w:t xml:space="preserve">    (Precio 2030E)</w:t>
      </w:r>
    </w:p>
    <w:p>
      <w:pPr>
        <w:spacing w:before="0" w:after="60" w:line="276" w:lineRule="auto"/>
      </w:pPr>
      <w:r>
        <w:rPr>
          <w:rFonts w:ascii="Georgia" w:hAnsi="Georgia"/>
          <w:color w:val="0F172A"/>
          <w:sz w:val="19"/>
        </w:rPr>
        <w:t>3. Calibración de Margen EBITDA (k): Calibrado sobre el 1T26 (Revenue $416 MM, EBITDA $106 MM, C1 $1.680/t):</w:t>
      </w:r>
    </w:p>
    <w:p>
      <w:pPr>
        <w:spacing w:before="80" w:after="80"/>
        <w:jc w:val="center"/>
      </w:pPr>
      <w:r>
        <w:rPr>
          <w:rFonts w:ascii="Cambria Math" w:hAnsi="Cambria Math"/>
          <w:b/>
          <w:color w:val="0D233A"/>
          <w:sz w:val="21"/>
        </w:rPr>
        <w:t xml:space="preserve">   k = Margen_Q1 / ((P_Q1 - C1) / P_Q1) = 0,2548 / 0,5634 = 0,4521   </w:t>
      </w:r>
      <w:r>
        <w:rPr>
          <w:rFonts w:ascii="Georgia" w:hAnsi="Georgia"/>
          <w:i/>
          <w:color w:val="4A4A4A"/>
          <w:sz w:val="18"/>
        </w:rPr>
        <w:t xml:space="preserve">    (Calibración k)</w:t>
      </w:r>
    </w:p>
    <w:p>
      <w:pPr>
        <w:spacing w:before="0" w:after="60" w:line="276" w:lineRule="auto"/>
      </w:pPr>
      <w:r>
        <w:rPr>
          <w:rFonts w:ascii="Georgia" w:hAnsi="Georgia"/>
          <w:color w:val="0F172A"/>
          <w:sz w:val="19"/>
        </w:rPr>
        <w:t>4. Absorción de Capital de Trabajo (ΔNWC 2026E): Calculado en base a la mediana histórica (NWC/Ventas = 49,42%):</w:t>
      </w:r>
    </w:p>
    <w:p>
      <w:pPr>
        <w:spacing w:before="80" w:after="80"/>
        <w:jc w:val="center"/>
      </w:pPr>
      <w:r>
        <w:rPr>
          <w:rFonts w:ascii="Cambria Math" w:hAnsi="Cambria Math"/>
          <w:b/>
          <w:color w:val="0D233A"/>
          <w:sz w:val="21"/>
        </w:rPr>
        <w:t xml:space="preserve">   ΔNWC_2026E = (Ventas_2026E - Ventas_2025) × 0,4942 = (1.591,4 - 1.092,6) × 0,4942 = USD 246,5 MM   </w:t>
      </w:r>
      <w:r>
        <w:rPr>
          <w:rFonts w:ascii="Georgia" w:hAnsi="Georgia"/>
          <w:i/>
          <w:color w:val="4A4A4A"/>
          <w:sz w:val="18"/>
        </w:rPr>
        <w:t xml:space="preserve">    (ΔNWC 2026E)</w:t>
      </w:r>
    </w:p>
    <w:p>
      <w:pPr>
        <w:keepNext/>
        <w:spacing w:before="280" w:after="80"/>
        <w:pBrd>
          <w:bottom w:val="single" w:sz="8" w:space="2" w:color="0D233A"/>
        </w:pBrd>
      </w:pPr>
      <w:r>
        <w:rPr>
          <w:rFonts w:ascii="Georgia" w:hAnsi="Georgia"/>
          <w:b/>
          <w:color w:val="0D233A"/>
          <w:sz w:val="28"/>
        </w:rPr>
        <w:t>4. Costo de Capital (WACC), Beta y Factor λ</w:t>
      </w:r>
    </w:p>
    <w:p>
      <w:pPr>
        <w:keepNext/>
        <w:spacing w:before="200" w:after="60"/>
      </w:pPr>
      <w:r>
        <w:rPr>
          <w:rFonts w:ascii="Georgia" w:hAnsi="Georgia"/>
          <w:b/>
          <w:color w:val="1E3A8A"/>
          <w:sz w:val="23"/>
        </w:rPr>
        <w:t>4.1 Formulación Completa del WACC (Dumrauf Cap. 12)</w:t>
      </w:r>
    </w:p>
    <w:p>
      <w:pPr>
        <w:spacing w:before="80" w:after="80"/>
        <w:jc w:val="center"/>
      </w:pPr>
      <w:r>
        <w:rPr>
          <w:rFonts w:ascii="Cambria Math" w:hAnsi="Cambria Math"/>
          <w:b/>
          <w:color w:val="0D233A"/>
          <w:sz w:val="21"/>
        </w:rPr>
        <w:t xml:space="preserve">   WACC = Ke × (E / V) + Kd × (1 - t) × (D / V)   </w:t>
      </w:r>
      <w:r>
        <w:rPr>
          <w:rFonts w:ascii="Georgia" w:hAnsi="Georgia"/>
          <w:i/>
          <w:color w:val="4A4A4A"/>
          <w:sz w:val="18"/>
        </w:rPr>
        <w:t xml:space="preserve">    (WACC Canónico)</w:t>
      </w:r>
    </w:p>
    <w:p>
      <w:pPr>
        <w:spacing w:before="80" w:after="80"/>
        <w:jc w:val="center"/>
      </w:pPr>
      <w:r>
        <w:rPr>
          <w:rFonts w:ascii="Cambria Math" w:hAnsi="Cambria Math"/>
          <w:b/>
          <w:color w:val="0D233A"/>
          <w:sz w:val="21"/>
        </w:rPr>
        <w:t xml:space="preserve">   WACC = 9,30% × 0,6729 + 3,80% × (1 - 0,35) × 0,3271 = 6,26% + 0,81% = 7,06%   </w:t>
      </w:r>
      <w:r>
        <w:rPr>
          <w:rFonts w:ascii="Georgia" w:hAnsi="Georgia"/>
          <w:i/>
          <w:color w:val="4A4A4A"/>
          <w:sz w:val="18"/>
        </w:rPr>
        <w:t xml:space="preserve">    (Sustitución WACC)</w:t>
      </w:r>
    </w:p>
    <w:p>
      <w:pPr>
        <w:keepNext/>
        <w:spacing w:before="200" w:after="60"/>
      </w:pPr>
      <w:r>
        <w:rPr>
          <w:rFonts w:ascii="Georgia" w:hAnsi="Georgia"/>
          <w:b/>
          <w:color w:val="1E3A8A"/>
          <w:sz w:val="23"/>
        </w:rPr>
        <w:t>4.2 Deducción del Beta en Cuatro Pasos</w:t>
      </w:r>
    </w:p>
    <w:p>
      <w:pPr>
        <w:spacing w:before="0" w:after="60" w:line="276" w:lineRule="auto"/>
      </w:pPr>
      <w:r>
        <w:rPr>
          <w:rFonts w:ascii="Georgia" w:hAnsi="Georgia"/>
          <w:color w:val="0F172A"/>
          <w:sz w:val="19"/>
        </w:rPr>
        <w:t>• Paso 1 (Beta OLS 10y, N=2.376 ruedas): Regresión lineal contra S&amp;P 500 arrojó β_OLS = 0,8420 (SE = 0,0563, R² = 8,60%).</w:t>
      </w:r>
    </w:p>
    <w:p>
      <w:pPr>
        <w:spacing w:before="0" w:after="60" w:line="276" w:lineRule="auto"/>
      </w:pPr>
      <w:r>
        <w:rPr>
          <w:rFonts w:ascii="Georgia" w:hAnsi="Georgia"/>
          <w:color w:val="0F172A"/>
          <w:sz w:val="19"/>
        </w:rPr>
        <w:t>• Paso 2 (Ajuste de Blume 1975): β_Blume = (2/3) × 0,8420 + 1/3 = 0,8947.</w:t>
      </w:r>
    </w:p>
    <w:p>
      <w:pPr>
        <w:spacing w:before="0" w:after="60" w:line="276" w:lineRule="auto"/>
      </w:pPr>
      <w:r>
        <w:rPr>
          <w:rFonts w:ascii="Georgia" w:hAnsi="Georgia"/>
          <w:color w:val="0F172A"/>
          <w:sz w:val="19"/>
        </w:rPr>
        <w:t>• Paso 3 (Desapalancamiento Hamada con D/E_hist = 0,5036): β_U = 0,8947 / [1 + (1 - 0,35) × 0,5036] = 0,6745.</w:t>
      </w:r>
    </w:p>
    <w:p>
      <w:pPr>
        <w:spacing w:before="0" w:after="60" w:line="276" w:lineRule="auto"/>
      </w:pPr>
      <w:r>
        <w:rPr>
          <w:rFonts w:ascii="Georgia" w:hAnsi="Georgia"/>
          <w:color w:val="0F172A"/>
          <w:sz w:val="19"/>
        </w:rPr>
        <w:t>• Paso 4 (Reapalancamiento Hamada con D/E_obj = 0,4860): β_L = 0,6745 × [1 + (1 - 0,35) × 0,4860] = 0,8876.</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88528"/>
                  <wp:docPr id="7" name="Picture 7"/>
                  <wp:cNvGraphicFramePr>
                    <a:graphicFrameLocks noChangeAspect="1"/>
                  </wp:cNvGraphicFramePr>
                  <a:graphic>
                    <a:graphicData uri="http://schemas.openxmlformats.org/drawingml/2006/picture">
                      <pic:pic>
                        <pic:nvPicPr>
                          <pic:cNvPr id="0" name="figura_13.png"/>
                          <pic:cNvPicPr/>
                        </pic:nvPicPr>
                        <pic:blipFill>
                          <a:blip r:embed="rId17"/>
                          <a:stretch>
                            <a:fillRect/>
                          </a:stretch>
                        </pic:blipFill>
                        <pic:spPr>
                          <a:xfrm>
                            <a:off x="0" y="0"/>
                            <a:ext cx="3017520" cy="1588528"/>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9851"/>
                  <wp:docPr id="8" name="Picture 8"/>
                  <wp:cNvGraphicFramePr>
                    <a:graphicFrameLocks noChangeAspect="1"/>
                  </wp:cNvGraphicFramePr>
                  <a:graphic>
                    <a:graphicData uri="http://schemas.openxmlformats.org/drawingml/2006/picture">
                      <pic:pic>
                        <pic:nvPicPr>
                          <pic:cNvPr id="0" name="figura_14.png"/>
                          <pic:cNvPicPr/>
                        </pic:nvPicPr>
                        <pic:blipFill>
                          <a:blip r:embed="rId18"/>
                          <a:stretch>
                            <a:fillRect/>
                          </a:stretch>
                        </pic:blipFill>
                        <pic:spPr>
                          <a:xfrm>
                            <a:off x="0" y="0"/>
                            <a:ext cx="3017520" cy="170985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13: Secuencia del Beta en 4 Pasos: OLS 0,842 → Blume 0,895 → Desapalancado 0,675 → Hamada 0,888.</w:t>
            </w:r>
          </w:p>
        </w:tc>
        <w:tc>
          <w:tcPr>
            <w:tcW w:type="dxa" w:w="4896"/>
            <w:tcMar>
              <w:top w:w="40" w:type="dxa"/>
              <w:bottom w:w="40" w:type="dxa"/>
              <w:left w:w="40" w:type="dxa"/>
              <w:right w:w="40" w:type="dxa"/>
            </w:tcMar>
          </w:tcPr>
          <w:p>
            <w:pPr>
              <w:spacing w:after="80"/>
              <w:jc w:val="left"/>
            </w:pPr>
            <w:r>
              <w:rPr>
                <w:rFonts w:ascii="Georgia" w:hAnsi="Georgia"/>
                <w:color w:val="4A4A4A"/>
                <w:sz w:val="16"/>
              </w:rPr>
              <w:t>Figura 14: Descomposición WACC Canónico: Ke = 9,30%, Kd = 2,47% post-tax, WACC = 7,06%.</w:t>
            </w:r>
          </w:p>
        </w:tc>
      </w:tr>
    </w:tbl>
    <w:p>
      <w:pPr>
        <w:spacing w:after="40"/>
      </w:pPr>
    </w:p>
    <w:p>
      <w:pPr>
        <w:keepNext/>
        <w:spacing w:before="200" w:after="60"/>
      </w:pPr>
      <w:r>
        <w:rPr>
          <w:rFonts w:ascii="Georgia" w:hAnsi="Georgia"/>
          <w:b/>
          <w:color w:val="1E3A8A"/>
          <w:sz w:val="23"/>
        </w:rPr>
        <w:t>4.3 Fundamentación del Factor λ = 0,20</w:t>
      </w:r>
    </w:p>
    <w:p>
      <w:pPr>
        <w:spacing w:before="80" w:after="80"/>
        <w:jc w:val="center"/>
      </w:pPr>
      <w:r>
        <w:rPr>
          <w:rFonts w:ascii="Cambria Math" w:hAnsi="Cambria Math"/>
          <w:b/>
          <w:color w:val="0D233A"/>
          <w:sz w:val="21"/>
        </w:rPr>
        <w:t xml:space="preserve">   Ke = Rf + β_L × ERP + λ × EMBI+ = 4,70% + 0,8876 × 4,18% + 0,20 × 4,41% = 9,30%   </w:t>
      </w:r>
      <w:r>
        <w:rPr>
          <w:rFonts w:ascii="Georgia" w:hAnsi="Georgia"/>
          <w:i/>
          <w:color w:val="4A4A4A"/>
          <w:sz w:val="18"/>
        </w:rPr>
        <w:t xml:space="preserve">    (CAPM con λ)</w:t>
      </w:r>
    </w:p>
    <w:p>
      <w:pPr>
        <w:spacing w:before="0" w:after="60" w:line="276" w:lineRule="auto"/>
      </w:pPr>
      <w:r>
        <w:rPr>
          <w:rFonts w:ascii="Georgia" w:hAnsi="Georgia"/>
          <w:color w:val="0F172A"/>
          <w:sz w:val="19"/>
        </w:rPr>
        <w:t>El factor λ = 0,20 coincide exactamente con la porción de ventas domésticas (20%). Dado que el 80% se exporta en USD a cotización LME y los costos laborales/servicios están en ARS, una depreciación del peso reduce los costos en dólares, otorgando una cobertura natural frente al riesgo país.</w:t>
      </w:r>
    </w:p>
    <w:p>
      <w:pPr>
        <w:keepNext/>
        <w:spacing w:before="280" w:after="80"/>
        <w:pBrd>
          <w:bottom w:val="single" w:sz="8" w:space="2" w:color="0D233A"/>
        </w:pBrd>
      </w:pPr>
      <w:r>
        <w:rPr>
          <w:rFonts w:ascii="Georgia" w:hAnsi="Georgia"/>
          <w:b/>
          <w:color w:val="0D233A"/>
          <w:sz w:val="28"/>
        </w:rPr>
        <w:t>5. Valuación Fundamental DCF y Opción Real PEAL V</w:t>
      </w:r>
    </w:p>
    <w:p>
      <w:pPr>
        <w:keepNext/>
        <w:spacing w:before="200" w:after="60"/>
      </w:pPr>
      <w:r>
        <w:rPr>
          <w:rFonts w:ascii="Georgia" w:hAnsi="Georgia"/>
          <w:b/>
          <w:color w:val="1E3A8A"/>
          <w:sz w:val="23"/>
        </w:rPr>
        <w:t>5.1 Esquema de Descuento y Valor Terminal Canónico (Dumrauf Cap. 14)</w:t>
      </w:r>
    </w:p>
    <w:p>
      <w:pPr>
        <w:spacing w:before="80" w:after="80"/>
        <w:jc w:val="center"/>
      </w:pPr>
      <w:r>
        <w:rPr>
          <w:rFonts w:ascii="Cambria Math" w:hAnsi="Cambria Math"/>
          <w:b/>
          <w:color w:val="0D233A"/>
          <w:sz w:val="21"/>
        </w:rPr>
        <w:t xml:space="preserve">   EV = Σ [FCFF_t / (1 + WACC)^t] + TV / (1 + WACC)^4 = USD 3.951,0 MM   </w:t>
      </w:r>
      <w:r>
        <w:rPr>
          <w:rFonts w:ascii="Georgia" w:hAnsi="Georgia"/>
          <w:i/>
          <w:color w:val="4A4A4A"/>
          <w:sz w:val="18"/>
        </w:rPr>
        <w:t xml:space="preserve">    (Enterprise Value)</w:t>
      </w:r>
    </w:p>
    <w:p>
      <w:pPr>
        <w:spacing w:before="0" w:after="60" w:line="276" w:lineRule="auto"/>
      </w:pPr>
      <w:r>
        <w:rPr>
          <w:rFonts w:ascii="Georgia" w:hAnsi="Georgia"/>
          <w:color w:val="0F172A"/>
          <w:sz w:val="19"/>
        </w:rPr>
        <w:t>En estado estacionario de capacidad saturada (460 kt), CAPEX = D&amp;A y ΔNWC = 0, por lo que el FCFF terminal converge al NOPAT de 2030E:</w:t>
      </w:r>
    </w:p>
    <w:p>
      <w:pPr>
        <w:spacing w:before="80" w:after="80"/>
        <w:jc w:val="center"/>
      </w:pPr>
      <w:r>
        <w:rPr>
          <w:rFonts w:ascii="Cambria Math" w:hAnsi="Cambria Math"/>
          <w:b/>
          <w:color w:val="0D233A"/>
          <w:sz w:val="21"/>
        </w:rPr>
        <w:t xml:space="preserve">   TV = NOPAT_2030 × (1 + g) / (WACC - g) = 135,5 × 1,02 / (0,0706 - 0,02) = USD 2.731,4 MM   </w:t>
      </w:r>
      <w:r>
        <w:rPr>
          <w:rFonts w:ascii="Georgia" w:hAnsi="Georgia"/>
          <w:i/>
          <w:color w:val="4A4A4A"/>
          <w:sz w:val="18"/>
        </w:rPr>
        <w:t xml:space="preserve">    (TV Dumrauf)</w:t>
      </w:r>
    </w:p>
    <w:p>
      <w:pPr>
        <w:spacing w:before="0" w:after="60" w:line="276" w:lineRule="auto"/>
      </w:pPr>
      <w:r>
        <w:rPr>
          <w:rFonts w:ascii="Georgia" w:hAnsi="Georgia"/>
          <w:color w:val="0F172A"/>
          <w:sz w:val="19"/>
        </w:rPr>
        <w:t>• Precio Objetivo Base (DCF Dumrauf): ARS 1.236,00 por acción (USD 0,78, +25,8% Upside).</w:t>
      </w:r>
    </w:p>
    <w:p>
      <w:pPr>
        <w:spacing w:before="0" w:after="60" w:line="276" w:lineRule="auto"/>
      </w:pPr>
      <w:r>
        <w:rPr>
          <w:rFonts w:ascii="Georgia" w:hAnsi="Georgia"/>
          <w:color w:val="0F172A"/>
          <w:sz w:val="19"/>
        </w:rPr>
        <w:t>• Opción Real PEAL V (Longstaff-Schwartz LSMC): Modela la flexibilidad americana de inversión en 312 MW eólicos mediante regresión sobre polinomios de Laguerre de orden 2, aportando +ARS 19,60 por acción (+USD 0,01).</w:t>
      </w:r>
    </w:p>
    <w:p>
      <w:pPr>
        <w:spacing w:before="0" w:after="60" w:line="276" w:lineRule="auto"/>
      </w:pPr>
      <w:r>
        <w:rPr>
          <w:rFonts w:ascii="Georgia" w:hAnsi="Georgia"/>
          <w:color w:val="0F172A"/>
          <w:sz w:val="19"/>
        </w:rPr>
        <w:t>• Precio Objetivo Integrado (Base + Opción Real): ARS 1.255,60 por acción (USD 0,79, +27,8% Upside).</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82552"/>
                  <wp:docPr id="9" name="Picture 9"/>
                  <wp:cNvGraphicFramePr>
                    <a:graphicFrameLocks noChangeAspect="1"/>
                  </wp:cNvGraphicFramePr>
                  <a:graphic>
                    <a:graphicData uri="http://schemas.openxmlformats.org/drawingml/2006/picture">
                      <pic:pic>
                        <pic:nvPicPr>
                          <pic:cNvPr id="0" name="figura_15.png"/>
                          <pic:cNvPicPr/>
                        </pic:nvPicPr>
                        <pic:blipFill>
                          <a:blip r:embed="rId19"/>
                          <a:stretch>
                            <a:fillRect/>
                          </a:stretch>
                        </pic:blipFill>
                        <pic:spPr>
                          <a:xfrm>
                            <a:off x="0" y="0"/>
                            <a:ext cx="3017520" cy="1582552"/>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4540"/>
                  <wp:docPr id="10" name="Picture 10"/>
                  <wp:cNvGraphicFramePr>
                    <a:graphicFrameLocks noChangeAspect="1"/>
                  </wp:cNvGraphicFramePr>
                  <a:graphic>
                    <a:graphicData uri="http://schemas.openxmlformats.org/drawingml/2006/picture">
                      <pic:pic>
                        <pic:nvPicPr>
                          <pic:cNvPr id="0" name="figura_18.png"/>
                          <pic:cNvPicPr/>
                        </pic:nvPicPr>
                        <pic:blipFill>
                          <a:blip r:embed="rId20"/>
                          <a:stretch>
                            <a:fillRect/>
                          </a:stretch>
                        </pic:blipFill>
                        <pic:spPr>
                          <a:xfrm>
                            <a:off x="0" y="0"/>
                            <a:ext cx="3017520" cy="1744540"/>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15: Puente de Valuación (Waterfall): Enterprise Value USD 3.951 MM a Equity Value USD 2.186 MM.</w:t>
            </w:r>
          </w:p>
        </w:tc>
        <w:tc>
          <w:tcPr>
            <w:tcW w:type="dxa" w:w="4896"/>
            <w:tcMar>
              <w:top w:w="40" w:type="dxa"/>
              <w:bottom w:w="40" w:type="dxa"/>
              <w:left w:w="40" w:type="dxa"/>
              <w:right w:w="40" w:type="dxa"/>
            </w:tcMar>
          </w:tcPr>
          <w:p>
            <w:pPr>
              <w:spacing w:after="80"/>
              <w:jc w:val="left"/>
            </w:pPr>
            <w:r>
              <w:rPr>
                <w:rFonts w:ascii="Georgia" w:hAnsi="Georgia"/>
                <w:color w:val="4A4A4A"/>
                <w:sz w:val="16"/>
              </w:rPr>
              <w:t>Figura 18: Football Field de Valuación: Comparativa de rangos intrínsecos frente a cotización Spot.</w:t>
            </w:r>
          </w:p>
        </w:tc>
      </w:tr>
    </w:tbl>
    <w:p>
      <w:pPr>
        <w:spacing w:after="40"/>
      </w:pPr>
    </w:p>
    <w:p>
      <w:pPr>
        <w:keepNext/>
        <w:spacing w:before="280" w:after="80"/>
        <w:pBrd>
          <w:bottom w:val="single" w:sz="8" w:space="2" w:color="0D233A"/>
        </w:pBrd>
      </w:pPr>
      <w:r>
        <w:rPr>
          <w:rFonts w:ascii="Georgia" w:hAnsi="Georgia"/>
          <w:b/>
          <w:color w:val="0D233A"/>
          <w:sz w:val="28"/>
        </w:rPr>
        <w:t>6. Valuación Relativa y Múltiplos Comparables</w:t>
      </w:r>
    </w:p>
    <w:p>
      <w:pPr>
        <w:spacing w:before="0" w:after="60" w:line="276" w:lineRule="auto"/>
      </w:pPr>
      <w:r>
        <w:rPr>
          <w:rFonts w:ascii="Georgia" w:hAnsi="Georgia"/>
          <w:color w:val="0F172A"/>
          <w:sz w:val="19"/>
        </w:rPr>
        <w:t>Aluar transa a 13,4x EV/EBITDA LTM sobre el resultado deprimido de FY2025. Sin embargo, al proyectar sobre el EBITDA normalizado de FY2026E (USD 391,2 MM), el múltiplo Forward colapsa a 5,2x EV/EBITDA, ubicando a la acción con un descuento del 20%–25% frente a sus pares globales:</w:t>
      </w:r>
    </w:p>
    <w:p>
      <w:pPr>
        <w:keepNext/>
        <w:spacing w:before="120" w:after="40"/>
      </w:pPr>
      <w:r>
        <w:rPr>
          <w:rFonts w:ascii="Georgia" w:hAnsi="Georgia"/>
          <w:b/>
          <w:color w:val="0D233A"/>
          <w:sz w:val="18"/>
        </w:rPr>
        <w:t>Tabla: Múltiplos Financieros y Comparables Globales (julio-2026)</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074"/>
        <w:gridCol w:w="2074"/>
        <w:gridCol w:w="2074"/>
        <w:gridCol w:w="2074"/>
        <w:gridCol w:w="2074"/>
      </w:tblGrid>
      <w:tr>
        <w:tc>
          <w:tcPr>
            <w:tcW w:type="dxa" w:w="4032"/>
            <w:shd w:fill="F1F5F9"/>
            <w:tcMar>
              <w:top w:w="80" w:type="dxa"/>
              <w:bottom w:w="80" w:type="dxa"/>
              <w:left w:w="100" w:type="dxa"/>
              <w:right w:w="100" w:type="dxa"/>
            </w:tcMar>
          </w:tcPr>
          <w:p>
            <w:pPr>
              <w:spacing w:before="60" w:after="60"/>
              <w:jc w:val="left"/>
            </w:pPr>
            <w:r/>
            <w:r>
              <w:rPr>
                <w:rFonts w:ascii="Georgia" w:hAnsi="Georgia"/>
                <w:b/>
                <w:color w:val="0D233A"/>
                <w:sz w:val="17"/>
              </w:rPr>
              <w:t>Compañía / Ticker</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EV/EBITDA LTM</w:t>
            </w:r>
          </w:p>
        </w:tc>
        <w:tc>
          <w:tcPr>
            <w:tcW w:type="dxa" w:w="1728"/>
            <w:shd w:fill="F1F5F9"/>
            <w:tcMar>
              <w:top w:w="80" w:type="dxa"/>
              <w:bottom w:w="80" w:type="dxa"/>
              <w:left w:w="100" w:type="dxa"/>
              <w:right w:w="100" w:type="dxa"/>
            </w:tcMar>
          </w:tcPr>
          <w:p>
            <w:pPr>
              <w:spacing w:before="60" w:after="60"/>
              <w:jc w:val="right"/>
            </w:pPr>
            <w:r/>
            <w:r>
              <w:rPr>
                <w:rFonts w:ascii="Georgia" w:hAnsi="Georgia"/>
                <w:b/>
                <w:color w:val="0D233A"/>
                <w:sz w:val="17"/>
              </w:rPr>
              <w:t>Margen EBITDA</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ROIC LTM</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FCF Yield 27E</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ALUAR (ALUA.BA)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13,3x</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14,9%</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12,8%</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Alcoa Corp. (AA)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8,5x</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12,0%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4,8%</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Chalco (ACH)</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9,0x</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15,1%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5,2%</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Kaiser Aluminum (KALU)</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7,2x</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9,8%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3,0%</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Norsk Hydro (NHYDY)</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6,4x</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13,5%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6,2%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4,1%</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Constellium (CSTM)</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5,4x</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10,1%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3,5%</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Rusal</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5,1x</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8,4%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w:t>
            </w:r>
          </w:p>
        </w:tc>
      </w:tr>
      <w:tr>
        <w:tc>
          <w:tcPr>
            <w:tcW w:type="dxa" w:w="4032"/>
            <w:tcMar>
              <w:top w:w="60" w:type="dxa"/>
              <w:bottom w:w="60" w:type="dxa"/>
              <w:left w:w="100" w:type="dxa"/>
              <w:right w:w="100" w:type="dxa"/>
            </w:tcMar>
          </w:tcPr>
          <w:p>
            <w:pPr>
              <w:spacing w:before="40" w:after="40"/>
              <w:jc w:val="left"/>
            </w:pPr>
            <w:r/>
            <w:r>
              <w:rPr>
                <w:rFonts w:ascii="Georgia" w:hAnsi="Georgia"/>
                <w:color w:val="0F172A"/>
                <w:sz w:val="17"/>
              </w:rPr>
              <w:t>Mediana Industria</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7,2x</w:t>
            </w:r>
          </w:p>
        </w:tc>
        <w:tc>
          <w:tcPr>
            <w:tcW w:type="dxa" w:w="1728"/>
            <w:tcMar>
              <w:top w:w="60" w:type="dxa"/>
              <w:bottom w:w="60" w:type="dxa"/>
              <w:left w:w="100" w:type="dxa"/>
              <w:right w:w="100" w:type="dxa"/>
            </w:tcMar>
          </w:tcPr>
          <w:p>
            <w:pPr>
              <w:spacing w:before="40" w:after="40"/>
              <w:jc w:val="right"/>
            </w:pPr>
            <w:r/>
            <w:r>
              <w:rPr>
                <w:rFonts w:ascii="Georgia" w:hAnsi="Georgia"/>
                <w:color w:val="0F172A"/>
                <w:sz w:val="17"/>
              </w:rPr>
              <w:t>11,1%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3,8%</w:t>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68243"/>
                  <wp:docPr id="11" name="Picture 11"/>
                  <wp:cNvGraphicFramePr>
                    <a:graphicFrameLocks noChangeAspect="1"/>
                  </wp:cNvGraphicFramePr>
                  <a:graphic>
                    <a:graphicData uri="http://schemas.openxmlformats.org/drawingml/2006/picture">
                      <pic:pic>
                        <pic:nvPicPr>
                          <pic:cNvPr id="0" name="figura_11.png"/>
                          <pic:cNvPicPr/>
                        </pic:nvPicPr>
                        <pic:blipFill>
                          <a:blip r:embed="rId21"/>
                          <a:stretch>
                            <a:fillRect/>
                          </a:stretch>
                        </pic:blipFill>
                        <pic:spPr>
                          <a:xfrm>
                            <a:off x="0" y="0"/>
                            <a:ext cx="3017520" cy="1768243"/>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06881"/>
                  <wp:docPr id="12" name="Picture 12"/>
                  <wp:cNvGraphicFramePr>
                    <a:graphicFrameLocks noChangeAspect="1"/>
                  </wp:cNvGraphicFramePr>
                  <a:graphic>
                    <a:graphicData uri="http://schemas.openxmlformats.org/drawingml/2006/picture">
                      <pic:pic>
                        <pic:nvPicPr>
                          <pic:cNvPr id="0" name="figura_12.png"/>
                          <pic:cNvPicPr/>
                        </pic:nvPicPr>
                        <pic:blipFill>
                          <a:blip r:embed="rId22"/>
                          <a:stretch>
                            <a:fillRect/>
                          </a:stretch>
                        </pic:blipFill>
                        <pic:spPr>
                          <a:xfrm>
                            <a:off x="0" y="0"/>
                            <a:ext cx="3017520" cy="160688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11: Múltiplos EV/EBITDA vs Margen: Posicionamiento frente a competidores globales.</w:t>
            </w:r>
          </w:p>
        </w:tc>
        <w:tc>
          <w:tcPr>
            <w:tcW w:type="dxa" w:w="4896"/>
            <w:tcMar>
              <w:top w:w="40" w:type="dxa"/>
              <w:bottom w:w="40" w:type="dxa"/>
              <w:left w:w="40" w:type="dxa"/>
              <w:right w:w="40" w:type="dxa"/>
            </w:tcMar>
          </w:tcPr>
          <w:p>
            <w:pPr>
              <w:spacing w:after="80"/>
              <w:jc w:val="left"/>
            </w:pPr>
            <w:r>
              <w:rPr>
                <w:rFonts w:ascii="Georgia" w:hAnsi="Georgia"/>
                <w:color w:val="4A4A4A"/>
                <w:sz w:val="16"/>
              </w:rPr>
              <w:t>Figura 12: EBITDA y Desapalancamiento: Reducción de deuda neta post-pico de inversión eólica.</w:t>
            </w:r>
          </w:p>
        </w:tc>
      </w:tr>
    </w:tbl>
    <w:p>
      <w:pPr>
        <w:spacing w:after="40"/>
      </w:pPr>
    </w:p>
    <w:p>
      <w:pPr>
        <w:keepNext/>
        <w:spacing w:before="280" w:after="80"/>
        <w:pBrd>
          <w:bottom w:val="single" w:sz="8" w:space="2" w:color="0D233A"/>
        </w:pBrd>
      </w:pPr>
      <w:r>
        <w:rPr>
          <w:rFonts w:ascii="Georgia" w:hAnsi="Georgia"/>
          <w:b/>
          <w:color w:val="0D233A"/>
          <w:sz w:val="28"/>
        </w:rPr>
        <w:t>7. Análisis de Creación de Valor (EVA) y Disciplina Terminal</w:t>
      </w:r>
    </w:p>
    <w:p>
      <w:pPr>
        <w:spacing w:before="0" w:after="60" w:line="276" w:lineRule="auto"/>
      </w:pPr>
      <w:r>
        <w:rPr>
          <w:rFonts w:ascii="Georgia" w:hAnsi="Georgia"/>
          <w:color w:val="0F172A"/>
          <w:sz w:val="19"/>
        </w:rPr>
        <w:t>El EVA histórico y proyectado (EVA = (ROIC - WACC) × NOA) confirma que en estado estacionario terminal el spread económico converge exactamente a cero (ROIC = WACC = 7,06%):</w:t>
      </w:r>
    </w:p>
    <w:p>
      <w:pPr>
        <w:keepNext/>
        <w:spacing w:before="120" w:after="40"/>
      </w:pPr>
      <w:r>
        <w:rPr>
          <w:rFonts w:ascii="Georgia" w:hAnsi="Georgia"/>
          <w:b/>
          <w:color w:val="0D233A"/>
          <w:sz w:val="18"/>
        </w:rPr>
        <w:t>Tabla: Matriz Histórica y Proyectada de Creación de Valor EVA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296"/>
        <w:gridCol w:w="1296"/>
        <w:gridCol w:w="1296"/>
        <w:gridCol w:w="1296"/>
        <w:gridCol w:w="1296"/>
        <w:gridCol w:w="1296"/>
        <w:gridCol w:w="1296"/>
        <w:gridCol w:w="1296"/>
      </w:tblGrid>
      <w:tr>
        <w:tc>
          <w:tcPr>
            <w:tcW w:type="dxa" w:w="3456"/>
            <w:shd w:fill="F1F5F9"/>
            <w:tcMar>
              <w:top w:w="80" w:type="dxa"/>
              <w:bottom w:w="80" w:type="dxa"/>
              <w:left w:w="100" w:type="dxa"/>
              <w:right w:w="100" w:type="dxa"/>
            </w:tcMar>
          </w:tcPr>
          <w:p>
            <w:pPr>
              <w:spacing w:before="60" w:after="60"/>
              <w:jc w:val="left"/>
            </w:pPr>
            <w:r/>
            <w:r>
              <w:rPr>
                <w:rFonts w:ascii="Georgia" w:hAnsi="Georgia"/>
                <w:b/>
                <w:color w:val="0D233A"/>
                <w:sz w:val="17"/>
              </w:rPr>
              <w:t>Métrica de Valor</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FY20</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FY21</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FY22</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FY23</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FY24</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FY25</w:t>
            </w:r>
          </w:p>
        </w:tc>
        <w:tc>
          <w:tcPr>
            <w:tcW w:type="dxa" w:w="1152"/>
            <w:shd w:fill="F1F5F9"/>
            <w:tcMar>
              <w:top w:w="80" w:type="dxa"/>
              <w:bottom w:w="80" w:type="dxa"/>
              <w:left w:w="100" w:type="dxa"/>
              <w:right w:w="100" w:type="dxa"/>
            </w:tcMar>
          </w:tcPr>
          <w:p>
            <w:pPr>
              <w:spacing w:before="60" w:after="60"/>
              <w:jc w:val="right"/>
            </w:pPr>
            <w:r/>
            <w:r>
              <w:rPr>
                <w:rFonts w:ascii="Georgia" w:hAnsi="Georgia"/>
                <w:b/>
                <w:color w:val="0D233A"/>
                <w:sz w:val="17"/>
              </w:rPr>
              <w:t>2030E</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NOPAT (USD MM)</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31,3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39,9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105,4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40,3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99,2</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60,0</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135,5</w:t>
            </w:r>
          </w:p>
        </w:tc>
      </w:tr>
      <w:tr>
        <w:tc>
          <w:tcPr>
            <w:tcW w:type="dxa" w:w="3456"/>
            <w:tcMar>
              <w:top w:w="60" w:type="dxa"/>
              <w:bottom w:w="60" w:type="dxa"/>
              <w:left w:w="100" w:type="dxa"/>
              <w:right w:w="100" w:type="dxa"/>
            </w:tcMar>
          </w:tcPr>
          <w:p>
            <w:pPr>
              <w:spacing w:before="40" w:after="40"/>
              <w:jc w:val="left"/>
            </w:pPr>
            <w:r/>
            <w:r>
              <w:rPr>
                <w:rFonts w:ascii="Georgia" w:hAnsi="Georgia"/>
                <w:color w:val="0F172A"/>
                <w:sz w:val="17"/>
              </w:rPr>
              <w:t>Capital Invertido (NOA)</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838,4</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531,3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590,5</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771,6</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1.248,9</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1.704,3</w:t>
            </w:r>
          </w:p>
        </w:tc>
        <w:tc>
          <w:tcPr>
            <w:tcW w:type="dxa" w:w="1152"/>
            <w:tcMar>
              <w:top w:w="60" w:type="dxa"/>
              <w:bottom w:w="60" w:type="dxa"/>
              <w:left w:w="100" w:type="dxa"/>
              <w:right w:w="100" w:type="dxa"/>
            </w:tcMar>
          </w:tcPr>
          <w:p>
            <w:pPr>
              <w:spacing w:before="40" w:after="40"/>
              <w:jc w:val="right"/>
            </w:pPr>
            <w:r/>
            <w:r>
              <w:rPr>
                <w:rFonts w:ascii="Georgia" w:hAnsi="Georgia"/>
                <w:color w:val="0F172A"/>
                <w:sz w:val="17"/>
              </w:rPr>
              <w:t>1.919,3</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ROIC</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3,73%</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7,50%</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17,85%</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5,22%</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7,94%</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3,52%</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7,06%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WACC</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7,06%</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7,06%</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Spread (ROIC - WACC)</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-3,33%</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+0,44%</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+10,79%</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-1,84%</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+0,88%</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-3,54%</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0,00%</w:t>
            </w:r>
          </w:p>
        </w:tc>
      </w:tr>
      <w:tr>
        <w:tc>
          <w:tcPr>
            <w:tcW w:type="dxa" w:w="3456"/>
            <w:tcMar>
              <w:top w:w="60" w:type="dxa"/>
              <w:bottom w:w="60" w:type="dxa"/>
              <w:left w:w="100" w:type="dxa"/>
              <w:right w:w="100" w:type="dxa"/>
            </w:tcMar>
          </w:tcPr>
          <w:p>
            <w:pPr>
              <w:spacing w:before="40" w:after="40"/>
              <w:jc w:val="left"/>
            </w:pPr>
            <w:r/>
            <w:r>
              <w:rPr>
                <w:rFonts w:ascii="Georgia" w:hAnsi="Georgia"/>
                <w:b/>
                <w:color w:val="0D233A"/>
                <w:sz w:val="17"/>
              </w:rPr>
              <w:t>EVA (USD MM)</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-27,9</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2,3</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63,7</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-14,2</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11,0</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-60,3</w:t>
            </w:r>
          </w:p>
        </w:tc>
        <w:tc>
          <w:tcPr>
            <w:tcW w:type="dxa" w:w="1152"/>
            <w:tcMar>
              <w:top w:w="60" w:type="dxa"/>
              <w:bottom w:w="60" w:type="dxa"/>
              <w:left w:w="100" w:type="dxa"/>
              <w:right w:w="100" w:type="dxa"/>
            </w:tcMar>
          </w:tcPr>
          <w:p>
            <w:pPr>
              <w:spacing w:before="40" w:after="40"/>
              <w:jc w:val="right"/>
            </w:pPr>
            <w:r/>
            <w:r>
              <w:rPr>
                <w:rFonts w:ascii="Georgia" w:hAnsi="Georgia"/>
                <w:b/>
                <w:color w:val="0D233A"/>
                <w:sz w:val="17"/>
              </w:rPr>
              <w:t>0,0</w:t>
            </w:r>
          </w:p>
        </w:tc>
      </w:tr>
    </w:tbl>
    <w:p>
      <w:pPr>
        <w:spacing w:after="80"/>
      </w:pPr>
    </w:p>
    <w:p>
      <w:pPr>
        <w:keepNext/>
        <w:spacing w:before="280" w:after="80"/>
        <w:pBrd>
          <w:bottom w:val="single" w:sz="8" w:space="2" w:color="0D233A"/>
        </w:pBrd>
      </w:pPr>
      <w:r>
        <w:rPr>
          <w:rFonts w:ascii="Georgia" w:hAnsi="Georgia"/>
          <w:b/>
          <w:color w:val="0D233A"/>
          <w:sz w:val="28"/>
        </w:rPr>
        <w:t>8. Sensibilidad, Simulación Monte Carlo y Reverse DCF</w:t>
      </w:r>
    </w:p>
    <w:p>
      <w:pPr>
        <w:spacing w:before="0" w:after="60" w:line="276" w:lineRule="auto"/>
      </w:pPr>
      <w:r>
        <w:rPr>
          <w:rFonts w:ascii="Georgia" w:hAnsi="Georgia"/>
          <w:color w:val="0F172A"/>
          <w:sz w:val="19"/>
        </w:rPr>
        <w:t>• Simulación Monte Carlo (20.000 iteraciones, t-Student ν=4,2): Mediana ARS 1.237, intervalo P5–P95 [ARS 844 – ARS 1.737], con 85,2% de probabilidad de retorno positivo frente al spot.</w:t>
      </w:r>
    </w:p>
    <w:p>
      <w:pPr>
        <w:spacing w:before="0" w:after="60" w:line="276" w:lineRule="auto"/>
      </w:pPr>
      <w:r>
        <w:rPr>
          <w:rFonts w:ascii="Georgia" w:hAnsi="Georgia"/>
          <w:color w:val="0F172A"/>
          <w:sz w:val="19"/>
        </w:rPr>
        <w:t>• Reverse DCF: El precio spot actual de ARS 982,50 descuenta una tasa terminal implícita pesimista de apenas g* = 0,69%, muy por debajo del 2,0% fundamental.</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541920"/>
                  <wp:docPr id="13" name="Picture 13"/>
                  <wp:cNvGraphicFramePr>
                    <a:graphicFrameLocks noChangeAspect="1"/>
                  </wp:cNvGraphicFramePr>
                  <a:graphic>
                    <a:graphicData uri="http://schemas.openxmlformats.org/drawingml/2006/picture">
                      <pic:pic>
                        <pic:nvPicPr>
                          <pic:cNvPr id="0" name="figura_19.png"/>
                          <pic:cNvPicPr/>
                        </pic:nvPicPr>
                        <pic:blipFill>
                          <a:blip r:embed="rId23"/>
                          <a:stretch>
                            <a:fillRect/>
                          </a:stretch>
                        </pic:blipFill>
                        <pic:spPr>
                          <a:xfrm>
                            <a:off x="0" y="0"/>
                            <a:ext cx="3017520" cy="1541920"/>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35190"/>
                  <wp:docPr id="14" name="Picture 14"/>
                  <wp:cNvGraphicFramePr>
                    <a:graphicFrameLocks noChangeAspect="1"/>
                  </wp:cNvGraphicFramePr>
                  <a:graphic>
                    <a:graphicData uri="http://schemas.openxmlformats.org/drawingml/2006/picture">
                      <pic:pic>
                        <pic:nvPicPr>
                          <pic:cNvPr id="0" name="figura_20.png"/>
                          <pic:cNvPicPr/>
                        </pic:nvPicPr>
                        <pic:blipFill>
                          <a:blip r:embed="rId24"/>
                          <a:stretch>
                            <a:fillRect/>
                          </a:stretch>
                        </pic:blipFill>
                        <pic:spPr>
                          <a:xfrm>
                            <a:off x="0" y="0"/>
                            <a:ext cx="3017520" cy="1735190"/>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19: Mapa de Calor WACC vs g: Matriz bidimensional de sensibilidad del precio por acción.</w:t>
            </w:r>
          </w:p>
        </w:tc>
        <w:tc>
          <w:tcPr>
            <w:tcW w:type="dxa" w:w="4896"/>
            <w:tcMar>
              <w:top w:w="40" w:type="dxa"/>
              <w:bottom w:w="40" w:type="dxa"/>
              <w:left w:w="40" w:type="dxa"/>
              <w:right w:w="40" w:type="dxa"/>
            </w:tcMar>
          </w:tcPr>
          <w:p>
            <w:pPr>
              <w:spacing w:after="80"/>
              <w:jc w:val="left"/>
            </w:pPr>
            <w:r>
              <w:rPr>
                <w:rFonts w:ascii="Georgia" w:hAnsi="Georgia"/>
                <w:color w:val="4A4A4A"/>
                <w:sz w:val="16"/>
              </w:rPr>
              <w:t>Figura 20: Monte Carlo (20.000 iteraciones): Densidad empírica con colas pesadas t-Student.</w:t>
            </w:r>
          </w:p>
        </w:tc>
      </w:tr>
    </w:tbl>
    <w:p>
      <w:pPr>
        <w:spacing w:after="40"/>
      </w:pPr>
    </w:p>
    <w:p>
      <w:pPr>
        <w:keepNext/>
        <w:spacing w:before="280" w:after="80"/>
        <w:pBrd>
          <w:bottom w:val="single" w:sz="8" w:space="2" w:color="0D233A"/>
        </w:pBrd>
      </w:pPr>
      <w:r>
        <w:rPr>
          <w:rFonts w:ascii="Georgia" w:hAnsi="Georgia"/>
          <w:b/>
          <w:color w:val="0D233A"/>
          <w:sz w:val="28"/>
        </w:rPr>
        <w:t>9. Gestión Cuantitativa de Riesgo y Validación Econométrica</w:t>
      </w:r>
    </w:p>
    <w:p>
      <w:pPr>
        <w:spacing w:before="0" w:after="60" w:line="276" w:lineRule="auto"/>
      </w:pPr>
      <w:r>
        <w:rPr>
          <w:rFonts w:ascii="Georgia" w:hAnsi="Georgia"/>
          <w:color w:val="0F172A"/>
          <w:sz w:val="19"/>
        </w:rPr>
        <w:t>• Asignación de Kelly: Full-Kelly 73,5%, Half-Kelly 36,8%, acotado al 20,0% por política de CVaR al 95% (-32,80%).</w:t>
      </w:r>
    </w:p>
    <w:p>
      <w:pPr>
        <w:spacing w:before="0" w:after="60" w:line="276" w:lineRule="auto"/>
      </w:pPr>
      <w:r>
        <w:rPr>
          <w:rFonts w:ascii="Georgia" w:hAnsi="Georgia"/>
          <w:color w:val="0F172A"/>
          <w:sz w:val="19"/>
        </w:rPr>
        <w:t>• Filtro de Kalman Dinámico: El beta de mercado converge a 0,764 en el régimen reciente.</w:t>
      </w:r>
    </w:p>
    <w:p>
      <w:pPr>
        <w:spacing w:before="0" w:after="60" w:line="276" w:lineRule="auto"/>
      </w:pPr>
      <w:r>
        <w:rPr>
          <w:rFonts w:ascii="Georgia" w:hAnsi="Georgia"/>
          <w:color w:val="0F172A"/>
          <w:sz w:val="19"/>
        </w:rPr>
        <w:t>• Teoría de Valores Extremos (EVT-GPD): Ajuste Pareto Generalizado con ξ = 0,214 &gt; 0 (colas pesadas Fréchet), arrojando VaR 99% = -8,20% y Expected Shortfall 99% = -10,35%.</w:t>
      </w:r>
    </w:p>
    <w:p>
      <w:pPr>
        <w:spacing w:before="0" w:after="60" w:line="276" w:lineRule="auto"/>
      </w:pPr>
      <w:r>
        <w:rPr>
          <w:rFonts w:ascii="Georgia" w:hAnsi="Georgia"/>
          <w:color w:val="0F172A"/>
          <w:sz w:val="19"/>
        </w:rPr>
        <w:t>• Proceso Estocástico CIR (Riesgo País): dr_t = κ(θ - r_t)dt + σ√r_t dW_t, verificando la condición de Feller (2κθ = 0,2448 &gt; 0,0072 = σ²).</w:t>
      </w:r>
    </w:p>
    <w:p>
      <w:pPr>
        <w:spacing w:before="0" w:after="60" w:line="276" w:lineRule="auto"/>
      </w:pPr>
      <w:r>
        <w:rPr>
          <w:rFonts w:ascii="Georgia" w:hAnsi="Georgia"/>
          <w:color w:val="0F172A"/>
          <w:sz w:val="19"/>
        </w:rPr>
        <w:t>• Cópula de Clayton: Captura dependencia asimétrica de cola inferior (λ_L = 2^(-1/θ) = 0,38).</w:t>
      </w: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8097"/>
                  <wp:docPr id="15" name="Picture 15"/>
                  <wp:cNvGraphicFramePr>
                    <a:graphicFrameLocks noChangeAspect="1"/>
                  </wp:cNvGraphicFramePr>
                  <a:graphic>
                    <a:graphicData uri="http://schemas.openxmlformats.org/drawingml/2006/picture">
                      <pic:pic>
                        <pic:nvPicPr>
                          <pic:cNvPr id="0" name="figura_23.png"/>
                          <pic:cNvPicPr/>
                        </pic:nvPicPr>
                        <pic:blipFill>
                          <a:blip r:embed="rId25"/>
                          <a:stretch>
                            <a:fillRect/>
                          </a:stretch>
                        </pic:blipFill>
                        <pic:spPr>
                          <a:xfrm>
                            <a:off x="0" y="0"/>
                            <a:ext cx="3017520" cy="1748097"/>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21771"/>
                  <wp:docPr id="16" name="Picture 16"/>
                  <wp:cNvGraphicFramePr>
                    <a:graphicFrameLocks noChangeAspect="1"/>
                  </wp:cNvGraphicFramePr>
                  <a:graphic>
                    <a:graphicData uri="http://schemas.openxmlformats.org/drawingml/2006/picture">
                      <pic:pic>
                        <pic:nvPicPr>
                          <pic:cNvPr id="0" name="figura_24.png"/>
                          <pic:cNvPicPr/>
                        </pic:nvPicPr>
                        <pic:blipFill>
                          <a:blip r:embed="rId26"/>
                          <a:stretch>
                            <a:fillRect/>
                          </a:stretch>
                        </pic:blipFill>
                        <pic:spPr>
                          <a:xfrm>
                            <a:off x="0" y="0"/>
                            <a:ext cx="3017520" cy="1621771"/>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23: Criterio de Asignación de Kelly: Fracción óptima y límite de riesgo por CVaR.</w:t>
            </w:r>
          </w:p>
        </w:tc>
        <w:tc>
          <w:tcPr>
            <w:tcW w:type="dxa" w:w="4896"/>
            <w:tcMar>
              <w:top w:w="40" w:type="dxa"/>
              <w:bottom w:w="40" w:type="dxa"/>
              <w:left w:w="40" w:type="dxa"/>
              <w:right w:w="40" w:type="dxa"/>
            </w:tcMar>
          </w:tcPr>
          <w:p>
            <w:pPr>
              <w:spacing w:after="80"/>
              <w:jc w:val="left"/>
            </w:pPr>
            <w:r>
              <w:rPr>
                <w:rFonts w:ascii="Georgia" w:hAnsi="Georgia"/>
                <w:color w:val="4A4A4A"/>
                <w:sz w:val="16"/>
              </w:rPr>
              <w:t>Figura 24: Beta Dinámico por Filtro de Kalman: Evolución temporal y convergencia a 0,764.</w:t>
            </w:r>
          </w:p>
        </w:tc>
      </w:tr>
    </w:tbl>
    <w:p>
      <w:pPr>
        <w:spacing w:after="40"/>
      </w:pP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9929"/>
                  <wp:docPr id="17" name="Picture 17"/>
                  <wp:cNvGraphicFramePr>
                    <a:graphicFrameLocks noChangeAspect="1"/>
                  </wp:cNvGraphicFramePr>
                  <a:graphic>
                    <a:graphicData uri="http://schemas.openxmlformats.org/drawingml/2006/picture">
                      <pic:pic>
                        <pic:nvPicPr>
                          <pic:cNvPr id="0" name="figura_25.png"/>
                          <pic:cNvPicPr/>
                        </pic:nvPicPr>
                        <pic:blipFill>
                          <a:blip r:embed="rId27"/>
                          <a:stretch>
                            <a:fillRect/>
                          </a:stretch>
                        </pic:blipFill>
                        <pic:spPr>
                          <a:xfrm>
                            <a:off x="0" y="0"/>
                            <a:ext cx="3017520" cy="174992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664532"/>
                  <wp:docPr id="18" name="Picture 18"/>
                  <wp:cNvGraphicFramePr>
                    <a:graphicFrameLocks noChangeAspect="1"/>
                  </wp:cNvGraphicFramePr>
                  <a:graphic>
                    <a:graphicData uri="http://schemas.openxmlformats.org/drawingml/2006/picture">
                      <pic:pic>
                        <pic:nvPicPr>
                          <pic:cNvPr id="0" name="figura_26.png"/>
                          <pic:cNvPicPr/>
                        </pic:nvPicPr>
                        <pic:blipFill>
                          <a:blip r:embed="rId28"/>
                          <a:stretch>
                            <a:fillRect/>
                          </a:stretch>
                        </pic:blipFill>
                        <pic:spPr>
                          <a:xfrm>
                            <a:off x="0" y="0"/>
                            <a:ext cx="3017520" cy="1664532"/>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25: Teoría de Valores Extremos (EVT-GPD): Estimación de pérdidas extremas de cola.</w:t>
            </w:r>
          </w:p>
        </w:tc>
        <w:tc>
          <w:tcPr>
            <w:tcW w:type="dxa" w:w="4896"/>
            <w:tcMar>
              <w:top w:w="40" w:type="dxa"/>
              <w:bottom w:w="40" w:type="dxa"/>
              <w:left w:w="40" w:type="dxa"/>
              <w:right w:w="40" w:type="dxa"/>
            </w:tcMar>
          </w:tcPr>
          <w:p>
            <w:pPr>
              <w:spacing w:after="80"/>
              <w:jc w:val="left"/>
            </w:pPr>
            <w:r>
              <w:rPr>
                <w:rFonts w:ascii="Georgia" w:hAnsi="Georgia"/>
                <w:color w:val="4A4A4A"/>
                <w:sz w:val="16"/>
              </w:rPr>
              <w:t>Figura 26: Simulación LME (Ornstein-Uhlenbeck): Reversión a la media (θ = USD 2.814/t).</w:t>
            </w:r>
          </w:p>
        </w:tc>
      </w:tr>
    </w:tbl>
    <w:p>
      <w:pPr>
        <w:spacing w:after="40"/>
      </w:pPr>
    </w:p>
    <w:tbl>
      <w:tblPr>
        <w:tblW w:type="auto" w:w="0"/>
        <w:jc w:val="center"/>
        <w:tblLayout w:type="fixed"/>
        <w:tblLook w:firstColumn="1" w:firstRow="1" w:lastColumn="0" w:lastRow="0" w:noHBand="0" w:noVBand="1" w:val="04A0"/>
      </w:tblPr>
      <w:tblGrid>
        <w:gridCol w:w="5184"/>
        <w:gridCol w:w="5184"/>
      </w:tblGrid>
      <w:tr>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01609"/>
                  <wp:docPr id="19" name="Picture 19"/>
                  <wp:cNvGraphicFramePr>
                    <a:graphicFrameLocks noChangeAspect="1"/>
                  </wp:cNvGraphicFramePr>
                  <a:graphic>
                    <a:graphicData uri="http://schemas.openxmlformats.org/drawingml/2006/picture">
                      <pic:pic>
                        <pic:nvPicPr>
                          <pic:cNvPr id="0" name="figura_29.png"/>
                          <pic:cNvPicPr/>
                        </pic:nvPicPr>
                        <pic:blipFill>
                          <a:blip r:embed="rId29"/>
                          <a:stretch>
                            <a:fillRect/>
                          </a:stretch>
                        </pic:blipFill>
                        <pic:spPr>
                          <a:xfrm>
                            <a:off x="0" y="0"/>
                            <a:ext cx="3017520" cy="1701609"/>
                          </a:xfrm>
                          <a:prstGeom prst="rect"/>
                        </pic:spPr>
                      </pic:pic>
                    </a:graphicData>
                  </a:graphic>
                </wp:inline>
              </w:drawing>
            </w:r>
          </w:p>
        </w:tc>
        <w:tc>
          <w:tcPr>
            <w:tcW w:type="dxa" w:w="4896"/>
            <w:tcMar>
              <w:top w:w="40" w:type="dxa"/>
              <w:bottom w:w="40" w:type="dxa"/>
              <w:left w:w="40" w:type="dxa"/>
              <w:right w:w="40" w:type="dxa"/>
            </w:tcMar>
          </w:tcPr>
          <w:p>
            <w:pPr>
              <w:spacing w:after="40"/>
              <w:jc w:val="center"/>
            </w:pPr>
            <w:r>
              <w:drawing>
                <wp:inline xmlns:a="http://schemas.openxmlformats.org/drawingml/2006/main" xmlns:pic="http://schemas.openxmlformats.org/drawingml/2006/picture">
                  <wp:extent cx="3017520" cy="1740520"/>
                  <wp:docPr id="20" name="Picture 20"/>
                  <wp:cNvGraphicFramePr>
                    <a:graphicFrameLocks noChangeAspect="1"/>
                  </wp:cNvGraphicFramePr>
                  <a:graphic>
                    <a:graphicData uri="http://schemas.openxmlformats.org/drawingml/2006/picture">
                      <pic:pic>
                        <pic:nvPicPr>
                          <pic:cNvPr id="0" name="figura_31.png"/>
                          <pic:cNvPicPr/>
                        </pic:nvPicPr>
                        <pic:blipFill>
                          <a:blip r:embed="rId30"/>
                          <a:stretch>
                            <a:fillRect/>
                          </a:stretch>
                        </pic:blipFill>
                        <pic:spPr>
                          <a:xfrm>
                            <a:off x="0" y="0"/>
                            <a:ext cx="3017520" cy="1740520"/>
                          </a:xfrm>
                          <a:prstGeom prst="rect"/>
                        </pic:spPr>
                      </pic:pic>
                    </a:graphicData>
                  </a:graphic>
                </wp:inline>
              </w:drawing>
            </w:r>
          </w:p>
        </w:tc>
      </w:tr>
      <w:tr>
        <w:tc>
          <w:tcPr>
            <w:tcW w:type="dxa" w:w="4896"/>
            <w:tcMar>
              <w:top w:w="40" w:type="dxa"/>
              <w:bottom w:w="40" w:type="dxa"/>
              <w:left w:w="40" w:type="dxa"/>
              <w:right w:w="40" w:type="dxa"/>
            </w:tcMar>
          </w:tcPr>
          <w:p>
            <w:pPr>
              <w:spacing w:after="80"/>
              <w:jc w:val="left"/>
            </w:pPr>
            <w:r>
              <w:rPr>
                <w:rFonts w:ascii="Georgia" w:hAnsi="Georgia"/>
                <w:color w:val="4A4A4A"/>
                <w:sz w:val="16"/>
              </w:rPr>
              <w:t>Figura 29: Proceso CIR Soberano: Simulación de tasas respetando no-negatividad.</w:t>
            </w:r>
          </w:p>
        </w:tc>
        <w:tc>
          <w:tcPr>
            <w:tcW w:type="dxa" w:w="4896"/>
            <w:tcMar>
              <w:top w:w="40" w:type="dxa"/>
              <w:bottom w:w="40" w:type="dxa"/>
              <w:left w:w="40" w:type="dxa"/>
              <w:right w:w="40" w:type="dxa"/>
            </w:tcMar>
          </w:tcPr>
          <w:p>
            <w:pPr>
              <w:spacing w:after="80"/>
              <w:jc w:val="left"/>
            </w:pPr>
            <w:r>
              <w:rPr>
                <w:rFonts w:ascii="Georgia" w:hAnsi="Georgia"/>
                <w:color w:val="4A4A4A"/>
                <w:sz w:val="16"/>
              </w:rPr>
              <w:t>Figura 31: Cópula de Clayton: Dependencia asimétrica en caídas de mercado (λ_L = 0,38).</w:t>
            </w:r>
          </w:p>
        </w:tc>
      </w:tr>
    </w:tbl>
    <w:p>
      <w:pPr>
        <w:spacing w:after="40"/>
      </w:pPr>
    </w:p>
    <w:p>
      <w:pPr>
        <w:keepNext/>
        <w:spacing w:before="280" w:after="80"/>
        <w:pBrd>
          <w:bottom w:val="single" w:sz="8" w:space="2" w:color="0D233A"/>
        </w:pBrd>
      </w:pPr>
      <w:r>
        <w:rPr>
          <w:rFonts w:ascii="Georgia" w:hAnsi="Georgia"/>
          <w:b/>
          <w:color w:val="0D233A"/>
          <w:sz w:val="28"/>
        </w:rPr>
        <w:t>10. Dictamen Final y Apéndice de Estados Financieros Auditados</w:t>
      </w:r>
    </w:p>
    <w:p>
      <w:pPr>
        <w:spacing w:before="0" w:after="60" w:line="276" w:lineRule="auto"/>
      </w:pPr>
      <w:r>
        <w:rPr>
          <w:rFonts w:ascii="Georgia" w:hAnsi="Georgia"/>
          <w:color w:val="0F172A"/>
          <w:sz w:val="19"/>
        </w:rPr>
        <w:t>Se ratifica el dictamen de COMPRAR con un Precio Objetivo Base de ARS 1.236,00 (+25,8%) e Integrado de ARS 1.255,60 (+27,8%).</w:t>
      </w:r>
    </w:p>
    <w:p>
      <w:pPr>
        <w:keepNext/>
        <w:spacing w:before="200" w:after="60"/>
      </w:pPr>
      <w:r>
        <w:rPr>
          <w:rFonts w:ascii="Georgia" w:hAnsi="Georgia"/>
          <w:b/>
          <w:color w:val="1E3A8A"/>
          <w:sz w:val="23"/>
        </w:rPr>
        <w:t>10.1 Proyecciones Explícitas de Flujo de Fondos (FCFF 2026E–2030E, USD MM)</w:t>
      </w:r>
    </w:p>
    <w:p>
      <w:pPr>
        <w:keepNext/>
        <w:spacing w:before="120" w:after="40"/>
      </w:pPr>
      <w:r>
        <w:rPr>
          <w:rFonts w:ascii="Georgia" w:hAnsi="Georgia"/>
          <w:b/>
          <w:color w:val="0D233A"/>
          <w:sz w:val="18"/>
        </w:rPr>
        <w:t>Tabla: Proyecciones del Free Cash Flow to the Firm (FCFF 2026E–2030E, USD MM)</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728"/>
        <w:gridCol w:w="1728"/>
        <w:gridCol w:w="1728"/>
        <w:gridCol w:w="1728"/>
        <w:gridCol w:w="1728"/>
        <w:gridCol w:w="1728"/>
      </w:tblGrid>
      <w:tr>
        <w:tc>
          <w:tcPr>
            <w:tcW w:type="dxa" w:w="4320"/>
            <w:shd w:fill="F1F5F9"/>
            <w:tcMar>
              <w:top w:w="80" w:type="dxa"/>
              <w:bottom w:w="80" w:type="dxa"/>
              <w:left w:w="100" w:type="dxa"/>
              <w:right w:w="100" w:type="dxa"/>
            </w:tcMar>
          </w:tcPr>
          <w:p>
            <w:pPr>
              <w:spacing w:before="60" w:after="60"/>
              <w:jc w:val="left"/>
            </w:pPr>
            <w:r/>
            <w:r>
              <w:rPr>
                <w:rFonts w:ascii="Georgia" w:hAnsi="Georgia"/>
                <w:b/>
                <w:color w:val="0D233A"/>
                <w:sz w:val="17"/>
              </w:rPr>
              <w:t>Línea de Flujo / Año Fiscal</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2026E</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2027E</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2028E</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2029E</w:t>
            </w:r>
          </w:p>
        </w:tc>
        <w:tc>
          <w:tcPr>
            <w:tcW w:type="dxa" w:w="1440"/>
            <w:shd w:fill="F1F5F9"/>
            <w:tcMar>
              <w:top w:w="80" w:type="dxa"/>
              <w:bottom w:w="80" w:type="dxa"/>
              <w:left w:w="100" w:type="dxa"/>
              <w:right w:w="100" w:type="dxa"/>
            </w:tcMar>
          </w:tcPr>
          <w:p>
            <w:pPr>
              <w:spacing w:before="60" w:after="60"/>
              <w:jc w:val="right"/>
            </w:pPr>
            <w:r/>
            <w:r>
              <w:rPr>
                <w:rFonts w:ascii="Georgia" w:hAnsi="Georgia"/>
                <w:b/>
                <w:color w:val="0D233A"/>
                <w:sz w:val="17"/>
              </w:rPr>
              <w:t>2030E</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Ventas Netas (Revenue)</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1.591,4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1.543,0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1.494,6</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1.446,3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1.397,9</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EBITDA</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391,2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369,3</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347,4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325,5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303,6</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 Depreciación y Amortización</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-108,4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-105,1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-101,8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-98,5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-95,2</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EBIT Operativo</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282,8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264,2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245,6</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227,0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208,4</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 Impuestos Operativos (35%)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-99,0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-92,5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-86,0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-79,4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-72,9</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NOPAT</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183,8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171,7</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159,6</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147,6</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135,5</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 D&amp;A (Reversión)</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108,4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105,1</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101,8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98,5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95,2</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 CAPEX de Mantenimiento</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-103,2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-100,0</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-96,9</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-93,8</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-90,6</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 Variación Capital Trabajo (ΔNWC)</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-246,5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23,9</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23,9</w:t>
            </w:r>
          </w:p>
        </w:tc>
      </w:tr>
      <w:tr>
        <w:tc>
          <w:tcPr>
            <w:tcW w:type="dxa" w:w="4320"/>
            <w:tcMar>
              <w:top w:w="60" w:type="dxa"/>
              <w:bottom w:w="60" w:type="dxa"/>
              <w:left w:w="100" w:type="dxa"/>
              <w:right w:w="100" w:type="dxa"/>
            </w:tcMar>
          </w:tcPr>
          <w:p>
            <w:pPr>
              <w:spacing w:before="40" w:after="40"/>
              <w:jc w:val="left"/>
            </w:pPr>
            <w:r/>
            <w:r>
              <w:rPr>
                <w:rFonts w:ascii="Georgia" w:hAnsi="Georgia"/>
                <w:color w:val="0F172A"/>
                <w:sz w:val="17"/>
              </w:rPr>
              <w:t>FCFF Explícito Anual</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-57,5</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200,7</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188,4</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176,2</w:t>
            </w:r>
          </w:p>
        </w:tc>
        <w:tc>
          <w:tcPr>
            <w:tcW w:type="dxa" w:w="1440"/>
            <w:tcMar>
              <w:top w:w="60" w:type="dxa"/>
              <w:bottom w:w="60" w:type="dxa"/>
              <w:left w:w="100" w:type="dxa"/>
              <w:right w:w="100" w:type="dxa"/>
            </w:tcMar>
          </w:tcPr>
          <w:p>
            <w:pPr>
              <w:spacing w:before="40" w:after="40"/>
              <w:jc w:val="right"/>
            </w:pPr>
            <w:r/>
            <w:r>
              <w:rPr>
                <w:rFonts w:ascii="Georgia" w:hAnsi="Georgia"/>
                <w:color w:val="0F172A"/>
                <w:sz w:val="17"/>
              </w:rPr>
              <w:t>164,0</w:t>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080"/>
            <w:shd w:fill="F8FAFC"/>
            <w:tcMar>
              <w:top w:w="140" w:type="dxa"/>
              <w:bottom w:w="140" w:type="dxa"/>
              <w:left w:w="180" w:type="dxa"/>
              <w:right w:w="180" w:type="dxa"/>
            </w:tcMar>
            <w:tcBorders>
              <w:top w:val="single" w:sz="4" w:space="0" w:color="0D233A"/>
              <w:left w:val="single" w:sz="24" w:space="0" w:color="0D233A"/>
              <w:bottom w:val="single" w:sz="4" w:space="0" w:color="0D233A"/>
              <w:right w:val="single" w:sz="4" w:space="0" w:color="0D233A"/>
            </w:tcBorders>
          </w:tcPr>
          <w:p>
            <w:pPr>
              <w:spacing w:before="40" w:after="40" w:line="276" w:lineRule="auto"/>
            </w:pPr>
            <w:r>
              <w:rPr>
                <w:rFonts w:ascii="Georgia" w:hAnsi="Georgia"/>
                <w:b/>
                <w:color w:val="0D233A"/>
                <w:sz w:val="20"/>
              </w:rPr>
              <w:t>Aviso Legal y Certificación del Analista (Research Standards / Ley 26.831)</w:t>
              <w:br/>
            </w:r>
            <w:r>
              <w:rPr>
                <w:rFonts w:ascii="Georgia" w:hAnsi="Georgia"/>
                <w:color w:val="0F172A"/>
                <w:sz w:val="18"/>
              </w:rPr>
              <w:t>Este documento fue elaborado con fines exclusivamente de investigación académica, educativa y de análisis cuantitativo independiente por Federico Agustín Chillón (FCE, Universidad Nacional de Cuyo). El presente reporte no constituye una oferta pública, asesoramiento financiero personalizado, recomendación vinculante de compra o venta, ni intermediación bursátil en los términos de la Ley de Mercado de Capitales N.° 26.831 y las normas reglamentarias de la Comisión Nacional de Valores (CNV). El autor certifica que las opiniones técnicas, estimaciones financieras y modelizaciones cuantitativas reflejan un análisis independiente fundamentado rigurosamente en datos contables públicos auditados por Price Waterhouse &amp; Co. S.R.L., series de mercado de BYMA, CBOE, S&amp;P Dow Jones y el London Metal Exchange (LME). Cualquier decisión de inversión que un tercero adopte en base a este modelo es de su exclusiva responsabilidad y riesgo.</w:t>
              <w:br/>
            </w:r>
          </w:p>
        </w:tc>
      </w:tr>
    </w:tbl>
    <w:p>
      <w:pPr>
        <w:spacing w:after="80"/>
      </w:pPr>
    </w:p>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Georgia" w:hAnsi="Georgia"/>
        <w:color w:val="4A4A4A"/>
        <w:sz w:val="16"/>
      </w:rPr>
      <w:t>Analista Principal: Federico Agustín Chillón | federico.chillon@fce.uncu.edu.ar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b/>
        <w:color w:val="0D233A"/>
        <w:sz w:val="17"/>
      </w:rPr>
      <w:t xml:space="preserve">ALUAR S.A.I.C. (ALUA.BA) · Equity Research                                                 </w:t>
    </w:r>
    <w:r>
      <w:rPr>
        <w:rFonts w:ascii="Georgia" w:hAnsi="Georgia"/>
        <w:color w:val="4A4A4A"/>
        <w:sz w:val="17"/>
      </w:rPr>
      <w:t>FCE · UNCuyo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