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Georgia" w:hAnsi="Georgia"/>
          <w:b/>
          <w:color w:val="0D233A"/>
          <w:sz w:val="44"/>
        </w:rPr>
        <w:t>Aluar Aluminio Argentino</w:t>
      </w:r>
    </w:p>
    <w:p>
      <w:pPr>
        <w:spacing w:after="160"/>
      </w:pPr>
      <w:r>
        <w:rPr>
          <w:rFonts w:ascii="Georgia" w:hAnsi="Georgia"/>
          <w:color w:val="4A4A4A"/>
          <w:sz w:val="24"/>
        </w:rPr>
        <w:t>Informe de Valuación Fundamental y Análisis de Riesgo  |  ALUA.BA</w:t>
      </w:r>
    </w:p>
    <w:p>
      <w:pPr>
        <w:spacing w:after="160"/>
        <w:pBrd>
          <w:bottom w:val="single" w:sz="12" w:space="1" w:color="0D233A"/>
        </w:pBrd>
      </w:pPr>
    </w:p>
    <w:tbl>
      <w:tblPr>
        <w:tblW w:type="auto" w:w="0"/>
        <w:jc w:val="center"/>
        <w:tblLayout w:type="fixed"/>
        <w:tblLook w:firstColumn="1" w:firstRow="1" w:lastColumn="0" w:lastRow="0" w:noHBand="0" w:noVBand="1" w:val="04A0"/>
      </w:tblPr>
      <w:tblGrid>
        <w:gridCol w:w="5184"/>
        <w:gridCol w:w="5184"/>
      </w:tblGrid>
      <w:tr>
        <w:tc>
          <w:tcPr>
            <w:tcW w:type="dxa" w:w="6048"/>
            <w:tcMar>
              <w:top w:w="100" w:type="dxa"/>
              <w:bottom w:w="100" w:type="dxa"/>
              <w:left w:w="120" w:type="dxa"/>
              <w:right w:w="120" w:type="dxa"/>
            </w:tcMar>
          </w:tcPr>
          <w:p>
            <w:pPr>
              <w:spacing w:line="276" w:lineRule="auto"/>
            </w:pPr>
            <w:r>
              <w:rPr>
                <w:rFonts w:ascii="Georgia" w:hAnsi="Georgia"/>
                <w:b/>
                <w:color w:val="0D233A"/>
                <w:sz w:val="22"/>
              </w:rPr>
              <w:t>Resumen Ejecutivo &amp; Tesis de Inversión</w:t>
              <w:br/>
            </w:r>
            <w:r>
              <w:rPr>
                <w:rFonts w:ascii="Georgia" w:hAnsi="Georgia"/>
                <w:color w:val="0F172A"/>
                <w:sz w:val="18"/>
              </w:rPr>
              <w:t>El modelo de valuación aplicado a Aluar Aluminio Argentino S.A.I.C. (ALUA.BA) arroja una recomendación técnica de COMPRAR con un precio objetivo fundamental a 12 meses de ARS 1.236,00 por acción (Target Integrado ARS 1.255,60 al incorporar la opción real de expansión eólica PEAL V), frente a una cotización de mercado de ARS 982,50 (+25,8% / +27,8% de retorno esperado).</w:t>
              <w:br/>
              <w:br/>
              <w:t>1. Estructura de Costos de Primer Cuartil: Matriz 96% autogenerada (78% renovable vía Futaleufú y PEAL), con costo en efectivo C1 en USD 1.680/t (percentil 29% global).</w:t>
              <w:br/>
              <w:t>2. Generación Dolarizada con Costos Fijos en Pesos: 80% de ventas en moneda dura vía LME frente a costos fijos operativos locales.</w:t>
              <w:br/>
              <w:t>3. Compresión Soberana y Desapalancamiento: EMBI+ a 441 pb sitúa el WACC en 7,06% (λ=0,20), y la moderación del CAPEX reduce la deuda neta a &lt;1,0x EBITDA hacia FY2028E.</w:t>
            </w:r>
          </w:p>
        </w:tc>
        <w:tc>
          <w:tcPr>
            <w:tcW w:type="dxa" w:w="4032"/>
            <w:tcMar>
              <w:top w:w="100" w:type="dxa"/>
              <w:bottom w:w="100" w:type="dxa"/>
              <w:left w:w="120" w:type="dxa"/>
              <w:right w:w="120" w:type="dxa"/>
            </w:tcMar>
            <w:shd w:fill="F8FAFC"/>
          </w:tcPr>
          <w:p>
            <w:pPr>
              <w:spacing w:line="276" w:lineRule="auto"/>
              <w:jc w:val="center"/>
            </w:pPr>
            <w:r>
              <w:rPr>
                <w:rFonts w:ascii="Georgia" w:hAnsi="Georgia"/>
                <w:color w:val="4A4A4A"/>
                <w:sz w:val="17"/>
              </w:rPr>
              <w:t>Dictamen del Modelo Teórico</w:t>
              <w:br/>
            </w:r>
            <w:r>
              <w:rPr>
                <w:rFonts w:ascii="Georgia" w:hAnsi="Georgia"/>
                <w:b/>
                <w:color w:val="00843D"/>
                <w:sz w:val="32"/>
              </w:rPr>
              <w:t>COMPRAR</w:t>
              <w:br/>
            </w:r>
            <w:r>
              <w:rPr>
                <w:rFonts w:ascii="Georgia" w:hAnsi="Georgia"/>
                <w:color w:val="0D233A"/>
                <w:sz w:val="17"/>
              </w:rPr>
              <w:t>Target Base (Dumrauf): ARS 1.236,00</w:t>
              <w:br/>
              <w:t>Opción Real PEAL V: +ARS 19,60</w:t>
              <w:br/>
              <w:t>Target Integrado: ARS 1.255,60 (USD 0,79)</w:t>
              <w:br/>
              <w:t>Cotización Spot: ARS 982,50</w:t>
              <w:br/>
              <w:t>Retorno Integrado: +27,8%</w:t>
              <w:br/>
              <w:t>─────────────────────────</w:t>
              <w:br/>
              <w:t>WACC del Modelo: 7,06%</w:t>
              <w:br/>
              <w:t>Costo del Equity (Ke): 9,30%</w:t>
              <w:br/>
              <w:t>Beta Apalancado (Hamada): 0,888</w:t>
              <w:br/>
              <w:t>Prima de Mercado (ERP): 4,18%</w:t>
              <w:br/>
              <w:t>Prima País Ponderada (λ × EMBI+): 0,88%</w:t>
              <w:br/>
              <w:t>Costo Deuda Post-Tax (Kd): 2,47%</w:t>
              <w:br/>
              <w:t>Estructura D/E Objetivo: 0,486</w:t>
              <w:br/>
              <w:t>Crecimiento Terminal (g): 2,00%</w:t>
              <w:br/>
              <w:t>Tipo de Cambio CCL: 1.584,25</w:t>
            </w:r>
          </w:p>
        </w:tc>
      </w:tr>
    </w:tbl>
    <w:p>
      <w:pPr>
        <w:spacing w:after="120"/>
      </w:pPr>
    </w:p>
    <w:tbl>
      <w:tblPr>
        <w:tblW w:type="auto" w:w="0"/>
        <w:jc w:val="center"/>
        <w:tblLayout w:type="fixed"/>
        <w:tblLook w:firstColumn="1" w:firstRow="1" w:lastColumn="0" w:lastRow="0" w:noHBand="0" w:noVBand="1" w:val="04A0"/>
      </w:tblPr>
      <w:tblGrid>
        <w:gridCol w:w="10368"/>
      </w:tblGrid>
      <w:tr>
        <w:tc>
          <w:tcPr>
            <w:tcW w:type="dxa" w:w="10080"/>
            <w:shd w:fill="F8FAFC"/>
            <w:tcMar>
              <w:top w:w="120" w:type="dxa"/>
              <w:bottom w:w="120" w:type="dxa"/>
              <w:left w:w="160" w:type="dxa"/>
              <w:right w:w="160" w:type="dxa"/>
            </w:tcMar>
            <w:tcBorders>
              <w:top w:val="single" w:sz="4" w:space="0" w:color="0D233A"/>
              <w:left w:val="single" w:sz="24" w:space="0" w:color="0D233A"/>
              <w:bottom w:val="single" w:sz="4" w:space="0" w:color="0D233A"/>
              <w:right w:val="single" w:sz="4" w:space="0" w:color="0D233A"/>
            </w:tcBorders>
          </w:tcPr>
          <w:p>
            <w:pPr>
              <w:spacing w:before="40" w:after="40" w:line="276" w:lineRule="auto"/>
            </w:pPr>
            <w:r>
              <w:rPr>
                <w:rFonts w:ascii="Georgia" w:hAnsi="Georgia"/>
                <w:b/>
                <w:color w:val="0D233A"/>
                <w:sz w:val="20"/>
              </w:rPr>
              <w:t>Aviso Legal y Descargo de Responsabilidad</w:t>
              <w:br/>
            </w:r>
            <w:r>
              <w:rPr>
                <w:rFonts w:ascii="Georgia" w:hAnsi="Georgia"/>
                <w:color w:val="0F172A"/>
                <w:sz w:val="18"/>
              </w:rPr>
              <w:t>Documento de investigación académica y análisis financiero independiente con fines exclusivamente formativos y de divulgación. No constituye oferta de compra, venta o asesoramiento de inversión en los términos de la Ley N.° 26.831. Las valuaciones y conclusiones representan estimaciones del autor fundamentadas en estados financieros públicos auditados y modelos financieros estocásticos.</w:t>
              <w:br/>
            </w:r>
          </w:p>
        </w:tc>
      </w:tr>
    </w:tbl>
    <w:p>
      <w:pPr>
        <w:spacing w:after="80"/>
      </w:pPr>
    </w:p>
    <w:p>
      <w:r>
        <w:br w:type="page"/>
      </w:r>
    </w:p>
    <w:p>
      <w:pPr>
        <w:jc w:val="center"/>
      </w:pPr>
      <w:r>
        <w:rPr>
          <w:rFonts w:ascii="Georgia" w:hAnsi="Georgia"/>
          <w:b/>
          <w:color w:val="0D233A"/>
          <w:sz w:val="28"/>
        </w:rPr>
        <w:t>Índice General de Secciones y Contenidos</w:t>
      </w:r>
    </w:p>
    <w:tbl>
      <w:tblPr>
        <w:tblW w:type="auto" w:w="0"/>
        <w:jc w:val="center"/>
        <w:tblLayout w:type="fixed"/>
        <w:tblLook w:firstColumn="1" w:firstRow="1" w:lastColumn="0" w:lastRow="0" w:noHBand="0" w:noVBand="1" w:val="04A0"/>
      </w:tblPr>
      <w:tblGrid>
        <w:gridCol w:w="5184"/>
        <w:gridCol w:w="5184"/>
      </w:tblGrid>
      <w:tr>
        <w:tc>
          <w:tcPr>
            <w:tcW w:type="dxa" w:w="8640"/>
            <w:tcMar>
              <w:top w:w="30" w:type="dxa"/>
              <w:bottom w:w="30" w:type="dxa"/>
              <w:left w:w="40" w:type="dxa"/>
              <w:right w:w="40" w:type="dxa"/>
            </w:tcMar>
          </w:tcPr>
          <w:p>
            <w:pPr>
              <w:spacing w:after="40"/>
            </w:pPr>
            <w:r>
              <w:rPr>
                <w:rFonts w:ascii="Georgia" w:hAnsi="Georgia"/>
                <w:b/>
                <w:color w:val="0D233A"/>
                <w:sz w:val="17"/>
              </w:rPr>
              <w:t>1. Descripción de la Compañía: Integración Vertical y Estructura Operativa</w:t>
            </w:r>
          </w:p>
        </w:tc>
        <w:tc>
          <w:tcPr>
            <w:tcW w:type="dxa" w:w="1440"/>
            <w:tcMar>
              <w:top w:w="30" w:type="dxa"/>
              <w:bottom w:w="30" w:type="dxa"/>
              <w:left w:w="40" w:type="dxa"/>
              <w:right w:w="40" w:type="dxa"/>
            </w:tcMar>
          </w:tcPr>
          <w:p>
            <w:pPr>
              <w:spacing w:after="40"/>
              <w:jc w:val="right"/>
            </w:pPr>
            <w:r>
              <w:rPr>
                <w:rFonts w:ascii="Georgia" w:hAnsi="Georgia"/>
                <w:color w:val="4A4A4A"/>
                <w:sz w:val="17"/>
              </w:rPr>
              <w:t>3</w:t>
            </w:r>
          </w:p>
        </w:tc>
      </w:tr>
      <w:tr>
        <w:tc>
          <w:tcPr>
            <w:tcW w:type="dxa" w:w="8640"/>
            <w:tcMar>
              <w:top w:w="30" w:type="dxa"/>
              <w:bottom w:w="30" w:type="dxa"/>
              <w:left w:w="40" w:type="dxa"/>
              <w:right w:w="40" w:type="dxa"/>
            </w:tcMar>
          </w:tcPr>
          <w:p>
            <w:pPr>
              <w:spacing w:after="40"/>
            </w:pPr>
            <w:r>
              <w:rPr>
                <w:rFonts w:ascii="Georgia" w:hAnsi="Georgia"/>
                <w:b/>
                <w:color w:val="0D233A"/>
                <w:sz w:val="17"/>
              </w:rPr>
              <w:t>2. Contexto Macroeconómico y Mecánica Operativa de Proyección (P × Q)</w:t>
            </w:r>
          </w:p>
        </w:tc>
        <w:tc>
          <w:tcPr>
            <w:tcW w:type="dxa" w:w="1440"/>
            <w:tcMar>
              <w:top w:w="30" w:type="dxa"/>
              <w:bottom w:w="30" w:type="dxa"/>
              <w:left w:w="40" w:type="dxa"/>
              <w:right w:w="40" w:type="dxa"/>
            </w:tcMar>
          </w:tcPr>
          <w:p>
            <w:pPr>
              <w:spacing w:after="40"/>
              <w:jc w:val="right"/>
            </w:pPr>
            <w:r>
              <w:rPr>
                <w:rFonts w:ascii="Georgia" w:hAnsi="Georgia"/>
                <w:color w:val="4A4A4A"/>
                <w:sz w:val="17"/>
              </w:rPr>
              <w:t>4</w:t>
            </w:r>
          </w:p>
        </w:tc>
      </w:tr>
      <w:tr>
        <w:tc>
          <w:tcPr>
            <w:tcW w:type="dxa" w:w="8640"/>
            <w:tcMar>
              <w:top w:w="30" w:type="dxa"/>
              <w:bottom w:w="30" w:type="dxa"/>
              <w:left w:w="40" w:type="dxa"/>
              <w:right w:w="40" w:type="dxa"/>
            </w:tcMar>
          </w:tcPr>
          <w:p>
            <w:pPr>
              <w:spacing w:after="40"/>
            </w:pPr>
            <w:r>
              <w:rPr>
                <w:rFonts w:ascii="Georgia" w:hAnsi="Georgia"/>
                <w:b/>
                <w:color w:val="0D233A"/>
                <w:sz w:val="17"/>
              </w:rPr>
              <w:t>3. Dinámica de la Industria Global del Aluminio y Cointegración con el LME</w:t>
            </w:r>
          </w:p>
        </w:tc>
        <w:tc>
          <w:tcPr>
            <w:tcW w:type="dxa" w:w="1440"/>
            <w:tcMar>
              <w:top w:w="30" w:type="dxa"/>
              <w:bottom w:w="30" w:type="dxa"/>
              <w:left w:w="40" w:type="dxa"/>
              <w:right w:w="40" w:type="dxa"/>
            </w:tcMar>
          </w:tcPr>
          <w:p>
            <w:pPr>
              <w:spacing w:after="40"/>
              <w:jc w:val="right"/>
            </w:pPr>
            <w:r>
              <w:rPr>
                <w:rFonts w:ascii="Georgia" w:hAnsi="Georgia"/>
                <w:color w:val="4A4A4A"/>
                <w:sz w:val="17"/>
              </w:rPr>
              <w:t>5</w:t>
            </w:r>
          </w:p>
        </w:tc>
      </w:tr>
      <w:tr>
        <w:tc>
          <w:tcPr>
            <w:tcW w:type="dxa" w:w="8640"/>
            <w:tcMar>
              <w:top w:w="30" w:type="dxa"/>
              <w:bottom w:w="30" w:type="dxa"/>
              <w:left w:w="40" w:type="dxa"/>
              <w:right w:w="40" w:type="dxa"/>
            </w:tcMar>
          </w:tcPr>
          <w:p>
            <w:pPr>
              <w:spacing w:after="40"/>
            </w:pPr>
            <w:r>
              <w:rPr>
                <w:rFonts w:ascii="Georgia" w:hAnsi="Georgia"/>
                <w:b/>
                <w:color w:val="0D233A"/>
                <w:sz w:val="17"/>
              </w:rPr>
              <w:t>4. Gobernanza Corporativa, Marco Regulatorio y Factores ESG</w:t>
            </w:r>
          </w:p>
        </w:tc>
        <w:tc>
          <w:tcPr>
            <w:tcW w:type="dxa" w:w="1440"/>
            <w:tcMar>
              <w:top w:w="30" w:type="dxa"/>
              <w:bottom w:w="30" w:type="dxa"/>
              <w:left w:w="40" w:type="dxa"/>
              <w:right w:w="40" w:type="dxa"/>
            </w:tcMar>
          </w:tcPr>
          <w:p>
            <w:pPr>
              <w:spacing w:after="40"/>
              <w:jc w:val="right"/>
            </w:pPr>
            <w:r>
              <w:rPr>
                <w:rFonts w:ascii="Georgia" w:hAnsi="Georgia"/>
                <w:color w:val="4A4A4A"/>
                <w:sz w:val="17"/>
              </w:rPr>
              <w:t>6</w:t>
            </w:r>
          </w:p>
        </w:tc>
      </w:tr>
      <w:tr>
        <w:tc>
          <w:tcPr>
            <w:tcW w:type="dxa" w:w="8640"/>
            <w:tcMar>
              <w:top w:w="30" w:type="dxa"/>
              <w:bottom w:w="30" w:type="dxa"/>
              <w:left w:w="40" w:type="dxa"/>
              <w:right w:w="40" w:type="dxa"/>
            </w:tcMar>
          </w:tcPr>
          <w:p>
            <w:pPr>
              <w:spacing w:after="40"/>
            </w:pPr>
            <w:r>
              <w:rPr>
                <w:rFonts w:ascii="Georgia" w:hAnsi="Georgia"/>
                <w:b/>
                <w:color w:val="0D233A"/>
                <w:sz w:val="17"/>
              </w:rPr>
              <w:t>5. Valuación Relativa y Dinámica de Desapalancamiento Post-CAPEX</w:t>
            </w:r>
          </w:p>
        </w:tc>
        <w:tc>
          <w:tcPr>
            <w:tcW w:type="dxa" w:w="1440"/>
            <w:tcMar>
              <w:top w:w="30" w:type="dxa"/>
              <w:bottom w:w="30" w:type="dxa"/>
              <w:left w:w="40" w:type="dxa"/>
              <w:right w:w="40" w:type="dxa"/>
            </w:tcMar>
          </w:tcPr>
          <w:p>
            <w:pPr>
              <w:spacing w:after="40"/>
              <w:jc w:val="right"/>
            </w:pPr>
            <w:r>
              <w:rPr>
                <w:rFonts w:ascii="Georgia" w:hAnsi="Georgia"/>
                <w:color w:val="4A4A4A"/>
                <w:sz w:val="17"/>
              </w:rPr>
              <w:t>7</w:t>
            </w:r>
          </w:p>
        </w:tc>
      </w:tr>
      <w:tr>
        <w:tc>
          <w:tcPr>
            <w:tcW w:type="dxa" w:w="8640"/>
            <w:tcMar>
              <w:top w:w="30" w:type="dxa"/>
              <w:bottom w:w="30" w:type="dxa"/>
              <w:left w:w="40" w:type="dxa"/>
              <w:right w:w="40" w:type="dxa"/>
            </w:tcMar>
          </w:tcPr>
          <w:p>
            <w:pPr>
              <w:spacing w:after="40"/>
            </w:pPr>
            <w:r>
              <w:rPr>
                <w:rFonts w:ascii="Georgia" w:hAnsi="Georgia"/>
                <w:b/>
                <w:color w:val="0D233A"/>
                <w:sz w:val="17"/>
              </w:rPr>
              <w:t>6. Costo Promedio Ponderado del Capital (WACC) y Factor λ</w:t>
            </w:r>
          </w:p>
        </w:tc>
        <w:tc>
          <w:tcPr>
            <w:tcW w:type="dxa" w:w="1440"/>
            <w:tcMar>
              <w:top w:w="30" w:type="dxa"/>
              <w:bottom w:w="30" w:type="dxa"/>
              <w:left w:w="40" w:type="dxa"/>
              <w:right w:w="40" w:type="dxa"/>
            </w:tcMar>
          </w:tcPr>
          <w:p>
            <w:pPr>
              <w:spacing w:after="40"/>
              <w:jc w:val="right"/>
            </w:pPr>
            <w:r>
              <w:rPr>
                <w:rFonts w:ascii="Georgia" w:hAnsi="Georgia"/>
                <w:color w:val="4A4A4A"/>
                <w:sz w:val="17"/>
              </w:rPr>
              <w:t>8</w:t>
            </w:r>
          </w:p>
        </w:tc>
      </w:tr>
      <w:tr>
        <w:tc>
          <w:tcPr>
            <w:tcW w:type="dxa" w:w="8640"/>
            <w:tcMar>
              <w:top w:w="30" w:type="dxa"/>
              <w:bottom w:w="30" w:type="dxa"/>
              <w:left w:w="40" w:type="dxa"/>
              <w:right w:w="40" w:type="dxa"/>
            </w:tcMar>
          </w:tcPr>
          <w:p>
            <w:pPr>
              <w:spacing w:after="40"/>
            </w:pPr>
            <w:r>
              <w:rPr>
                <w:rFonts w:ascii="Georgia" w:hAnsi="Georgia"/>
                <w:b/>
                <w:color w:val="0D233A"/>
                <w:sz w:val="17"/>
              </w:rPr>
              <w:t>7. Creación de Valor Económico (EVA) y Disciplina Terminal</w:t>
            </w:r>
          </w:p>
        </w:tc>
        <w:tc>
          <w:tcPr>
            <w:tcW w:type="dxa" w:w="1440"/>
            <w:tcMar>
              <w:top w:w="30" w:type="dxa"/>
              <w:bottom w:w="30" w:type="dxa"/>
              <w:left w:w="40" w:type="dxa"/>
              <w:right w:w="40" w:type="dxa"/>
            </w:tcMar>
          </w:tcPr>
          <w:p>
            <w:pPr>
              <w:spacing w:after="40"/>
              <w:jc w:val="right"/>
            </w:pPr>
            <w:r>
              <w:rPr>
                <w:rFonts w:ascii="Georgia" w:hAnsi="Georgia"/>
                <w:color w:val="4A4A4A"/>
                <w:sz w:val="17"/>
              </w:rPr>
              <w:t>9</w:t>
            </w:r>
          </w:p>
        </w:tc>
      </w:tr>
      <w:tr>
        <w:tc>
          <w:tcPr>
            <w:tcW w:type="dxa" w:w="8640"/>
            <w:tcMar>
              <w:top w:w="30" w:type="dxa"/>
              <w:bottom w:w="30" w:type="dxa"/>
              <w:left w:w="40" w:type="dxa"/>
              <w:right w:w="40" w:type="dxa"/>
            </w:tcMar>
          </w:tcPr>
          <w:p>
            <w:pPr>
              <w:spacing w:after="40"/>
            </w:pPr>
            <w:r>
              <w:rPr>
                <w:rFonts w:ascii="Georgia" w:hAnsi="Georgia"/>
                <w:b/>
                <w:color w:val="0D233A"/>
                <w:sz w:val="17"/>
              </w:rPr>
              <w:t>8. Puente de Valuación: Desglose de Enterprise Value a Equity Value</w:t>
            </w:r>
          </w:p>
        </w:tc>
        <w:tc>
          <w:tcPr>
            <w:tcW w:type="dxa" w:w="1440"/>
            <w:tcMar>
              <w:top w:w="30" w:type="dxa"/>
              <w:bottom w:w="30" w:type="dxa"/>
              <w:left w:w="40" w:type="dxa"/>
              <w:right w:w="40" w:type="dxa"/>
            </w:tcMar>
          </w:tcPr>
          <w:p>
            <w:pPr>
              <w:spacing w:after="40"/>
              <w:jc w:val="right"/>
            </w:pPr>
            <w:r>
              <w:rPr>
                <w:rFonts w:ascii="Georgia" w:hAnsi="Georgia"/>
                <w:color w:val="4A4A4A"/>
                <w:sz w:val="17"/>
              </w:rPr>
              <w:t>10</w:t>
            </w:r>
          </w:p>
        </w:tc>
      </w:tr>
      <w:tr>
        <w:tc>
          <w:tcPr>
            <w:tcW w:type="dxa" w:w="8640"/>
            <w:tcMar>
              <w:top w:w="30" w:type="dxa"/>
              <w:bottom w:w="30" w:type="dxa"/>
              <w:left w:w="40" w:type="dxa"/>
              <w:right w:w="40" w:type="dxa"/>
            </w:tcMar>
          </w:tcPr>
          <w:p>
            <w:pPr>
              <w:spacing w:after="40"/>
            </w:pPr>
            <w:r>
              <w:rPr>
                <w:rFonts w:ascii="Georgia" w:hAnsi="Georgia"/>
                <w:b/>
                <w:color w:val="0D233A"/>
                <w:sz w:val="17"/>
              </w:rPr>
              <w:t>9. Análisis Estratégico DuPont y Fuerzas Competitivas (Porter / PESTEL)</w:t>
            </w:r>
          </w:p>
        </w:tc>
        <w:tc>
          <w:tcPr>
            <w:tcW w:type="dxa" w:w="1440"/>
            <w:tcMar>
              <w:top w:w="30" w:type="dxa"/>
              <w:bottom w:w="30" w:type="dxa"/>
              <w:left w:w="40" w:type="dxa"/>
              <w:right w:w="40" w:type="dxa"/>
            </w:tcMar>
          </w:tcPr>
          <w:p>
            <w:pPr>
              <w:spacing w:after="40"/>
              <w:jc w:val="right"/>
            </w:pPr>
            <w:r>
              <w:rPr>
                <w:rFonts w:ascii="Georgia" w:hAnsi="Georgia"/>
                <w:color w:val="4A4A4A"/>
                <w:sz w:val="17"/>
              </w:rPr>
              <w:t>11</w:t>
            </w:r>
          </w:p>
        </w:tc>
      </w:tr>
      <w:tr>
        <w:tc>
          <w:tcPr>
            <w:tcW w:type="dxa" w:w="8640"/>
            <w:tcMar>
              <w:top w:w="30" w:type="dxa"/>
              <w:bottom w:w="30" w:type="dxa"/>
              <w:left w:w="40" w:type="dxa"/>
              <w:right w:w="40" w:type="dxa"/>
            </w:tcMar>
          </w:tcPr>
          <w:p>
            <w:pPr>
              <w:spacing w:after="40"/>
            </w:pPr>
            <w:r>
              <w:rPr>
                <w:rFonts w:ascii="Georgia" w:hAnsi="Georgia"/>
                <w:b/>
                <w:color w:val="0D233A"/>
                <w:sz w:val="17"/>
              </w:rPr>
              <w:t>10. Análisis Financiero Histórico, Ratios Operativos y Cobertura</w:t>
            </w:r>
          </w:p>
        </w:tc>
        <w:tc>
          <w:tcPr>
            <w:tcW w:type="dxa" w:w="1440"/>
            <w:tcMar>
              <w:top w:w="30" w:type="dxa"/>
              <w:bottom w:w="30" w:type="dxa"/>
              <w:left w:w="40" w:type="dxa"/>
              <w:right w:w="40" w:type="dxa"/>
            </w:tcMar>
          </w:tcPr>
          <w:p>
            <w:pPr>
              <w:spacing w:after="40"/>
              <w:jc w:val="right"/>
            </w:pPr>
            <w:r>
              <w:rPr>
                <w:rFonts w:ascii="Georgia" w:hAnsi="Georgia"/>
                <w:color w:val="4A4A4A"/>
                <w:sz w:val="17"/>
              </w:rPr>
              <w:t>12</w:t>
            </w:r>
          </w:p>
        </w:tc>
      </w:tr>
      <w:tr>
        <w:tc>
          <w:tcPr>
            <w:tcW w:type="dxa" w:w="8640"/>
            <w:tcMar>
              <w:top w:w="30" w:type="dxa"/>
              <w:bottom w:w="30" w:type="dxa"/>
              <w:left w:w="40" w:type="dxa"/>
              <w:right w:w="40" w:type="dxa"/>
            </w:tcMar>
          </w:tcPr>
          <w:p>
            <w:pPr>
              <w:spacing w:after="40"/>
            </w:pPr>
            <w:r>
              <w:rPr>
                <w:rFonts w:ascii="Georgia" w:hAnsi="Georgia"/>
                <w:b/>
                <w:color w:val="0D233A"/>
                <w:sz w:val="17"/>
              </w:rPr>
              <w:t>11. Valuación Fundamental por Flujo de Fondos Descontados (DCF) y Opción Real</w:t>
            </w:r>
          </w:p>
        </w:tc>
        <w:tc>
          <w:tcPr>
            <w:tcW w:type="dxa" w:w="1440"/>
            <w:tcMar>
              <w:top w:w="30" w:type="dxa"/>
              <w:bottom w:w="30" w:type="dxa"/>
              <w:left w:w="40" w:type="dxa"/>
              <w:right w:w="40" w:type="dxa"/>
            </w:tcMar>
          </w:tcPr>
          <w:p>
            <w:pPr>
              <w:spacing w:after="40"/>
              <w:jc w:val="right"/>
            </w:pPr>
            <w:r>
              <w:rPr>
                <w:rFonts w:ascii="Georgia" w:hAnsi="Georgia"/>
                <w:color w:val="4A4A4A"/>
                <w:sz w:val="17"/>
              </w:rPr>
              <w:t>13</w:t>
            </w:r>
          </w:p>
        </w:tc>
      </w:tr>
      <w:tr>
        <w:tc>
          <w:tcPr>
            <w:tcW w:type="dxa" w:w="8640"/>
            <w:tcMar>
              <w:top w:w="30" w:type="dxa"/>
              <w:bottom w:w="30" w:type="dxa"/>
              <w:left w:w="40" w:type="dxa"/>
              <w:right w:w="40" w:type="dxa"/>
            </w:tcMar>
          </w:tcPr>
          <w:p>
            <w:pPr>
              <w:spacing w:after="40"/>
            </w:pPr>
            <w:r>
              <w:rPr>
                <w:rFonts w:ascii="Georgia" w:hAnsi="Georgia"/>
                <w:b/>
                <w:color w:val="0D233A"/>
                <w:sz w:val="17"/>
              </w:rPr>
              <w:t>12. Análisis de Sensibilidad Bidimensional y Matriz de Rangos</w:t>
            </w:r>
          </w:p>
        </w:tc>
        <w:tc>
          <w:tcPr>
            <w:tcW w:type="dxa" w:w="1440"/>
            <w:tcMar>
              <w:top w:w="30" w:type="dxa"/>
              <w:bottom w:w="30" w:type="dxa"/>
              <w:left w:w="40" w:type="dxa"/>
              <w:right w:w="40" w:type="dxa"/>
            </w:tcMar>
          </w:tcPr>
          <w:p>
            <w:pPr>
              <w:spacing w:after="40"/>
              <w:jc w:val="right"/>
            </w:pPr>
            <w:r>
              <w:rPr>
                <w:rFonts w:ascii="Georgia" w:hAnsi="Georgia"/>
                <w:color w:val="4A4A4A"/>
                <w:sz w:val="17"/>
              </w:rPr>
              <w:t>14</w:t>
            </w:r>
          </w:p>
        </w:tc>
      </w:tr>
      <w:tr>
        <w:tc>
          <w:tcPr>
            <w:tcW w:type="dxa" w:w="8640"/>
            <w:tcMar>
              <w:top w:w="30" w:type="dxa"/>
              <w:bottom w:w="30" w:type="dxa"/>
              <w:left w:w="40" w:type="dxa"/>
              <w:right w:w="40" w:type="dxa"/>
            </w:tcMar>
          </w:tcPr>
          <w:p>
            <w:pPr>
              <w:spacing w:after="40"/>
            </w:pPr>
            <w:r>
              <w:rPr>
                <w:rFonts w:ascii="Georgia" w:hAnsi="Georgia"/>
                <w:b/>
                <w:color w:val="0D233A"/>
                <w:sz w:val="17"/>
              </w:rPr>
              <w:t>13. Simulación Estocástica de Monte Carlo y DCF Inverso</w:t>
            </w:r>
          </w:p>
        </w:tc>
        <w:tc>
          <w:tcPr>
            <w:tcW w:type="dxa" w:w="1440"/>
            <w:tcMar>
              <w:top w:w="30" w:type="dxa"/>
              <w:bottom w:w="30" w:type="dxa"/>
              <w:left w:w="40" w:type="dxa"/>
              <w:right w:w="40" w:type="dxa"/>
            </w:tcMar>
          </w:tcPr>
          <w:p>
            <w:pPr>
              <w:spacing w:after="40"/>
              <w:jc w:val="right"/>
            </w:pPr>
            <w:r>
              <w:rPr>
                <w:rFonts w:ascii="Georgia" w:hAnsi="Georgia"/>
                <w:color w:val="4A4A4A"/>
                <w:sz w:val="17"/>
              </w:rPr>
              <w:t>14</w:t>
            </w:r>
          </w:p>
        </w:tc>
      </w:tr>
      <w:tr>
        <w:tc>
          <w:tcPr>
            <w:tcW w:type="dxa" w:w="8640"/>
            <w:tcMar>
              <w:top w:w="30" w:type="dxa"/>
              <w:bottom w:w="30" w:type="dxa"/>
              <w:left w:w="40" w:type="dxa"/>
              <w:right w:w="40" w:type="dxa"/>
            </w:tcMar>
          </w:tcPr>
          <w:p>
            <w:pPr>
              <w:spacing w:after="40"/>
            </w:pPr>
            <w:r>
              <w:rPr>
                <w:rFonts w:ascii="Georgia" w:hAnsi="Georgia"/>
                <w:b/>
                <w:color w:val="0D233A"/>
                <w:sz w:val="17"/>
              </w:rPr>
              <w:t>14. Valuación Relativa Sectorial y Múltiplos Comparables LTM y Forward</w:t>
            </w:r>
          </w:p>
        </w:tc>
        <w:tc>
          <w:tcPr>
            <w:tcW w:type="dxa" w:w="1440"/>
            <w:tcMar>
              <w:top w:w="30" w:type="dxa"/>
              <w:bottom w:w="30" w:type="dxa"/>
              <w:left w:w="40" w:type="dxa"/>
              <w:right w:w="40" w:type="dxa"/>
            </w:tcMar>
          </w:tcPr>
          <w:p>
            <w:pPr>
              <w:spacing w:after="40"/>
              <w:jc w:val="right"/>
            </w:pPr>
            <w:r>
              <w:rPr>
                <w:rFonts w:ascii="Georgia" w:hAnsi="Georgia"/>
                <w:color w:val="4A4A4A"/>
                <w:sz w:val="17"/>
              </w:rPr>
              <w:t>15</w:t>
            </w:r>
          </w:p>
        </w:tc>
      </w:tr>
      <w:tr>
        <w:tc>
          <w:tcPr>
            <w:tcW w:type="dxa" w:w="8640"/>
            <w:tcMar>
              <w:top w:w="30" w:type="dxa"/>
              <w:bottom w:w="30" w:type="dxa"/>
              <w:left w:w="40" w:type="dxa"/>
              <w:right w:w="40" w:type="dxa"/>
            </w:tcMar>
          </w:tcPr>
          <w:p>
            <w:pPr>
              <w:spacing w:after="40"/>
            </w:pPr>
            <w:r>
              <w:rPr>
                <w:rFonts w:ascii="Georgia" w:hAnsi="Georgia"/>
                <w:b/>
                <w:color w:val="0D233A"/>
                <w:sz w:val="17"/>
              </w:rPr>
              <w:t>15. Gestión de Riesgos de Mercado y Asignación Óptima de Cartera</w:t>
            </w:r>
          </w:p>
        </w:tc>
        <w:tc>
          <w:tcPr>
            <w:tcW w:type="dxa" w:w="1440"/>
            <w:tcMar>
              <w:top w:w="30" w:type="dxa"/>
              <w:bottom w:w="30" w:type="dxa"/>
              <w:left w:w="40" w:type="dxa"/>
              <w:right w:w="40" w:type="dxa"/>
            </w:tcMar>
          </w:tcPr>
          <w:p>
            <w:pPr>
              <w:spacing w:after="40"/>
              <w:jc w:val="right"/>
            </w:pPr>
            <w:r>
              <w:rPr>
                <w:rFonts w:ascii="Georgia" w:hAnsi="Georgia"/>
                <w:color w:val="4A4A4A"/>
                <w:sz w:val="17"/>
              </w:rPr>
              <w:t>15</w:t>
            </w:r>
          </w:p>
        </w:tc>
      </w:tr>
      <w:tr>
        <w:tc>
          <w:tcPr>
            <w:tcW w:type="dxa" w:w="8640"/>
            <w:tcMar>
              <w:top w:w="30" w:type="dxa"/>
              <w:bottom w:w="30" w:type="dxa"/>
              <w:left w:w="40" w:type="dxa"/>
              <w:right w:w="40" w:type="dxa"/>
            </w:tcMar>
          </w:tcPr>
          <w:p>
            <w:pPr>
              <w:spacing w:after="40"/>
            </w:pPr>
            <w:r>
              <w:rPr>
                <w:rFonts w:ascii="Georgia" w:hAnsi="Georgia"/>
                <w:b/>
                <w:color w:val="0D233A"/>
                <w:sz w:val="17"/>
              </w:rPr>
              <w:t>16. Modelización Estocástica Avanzada y Validación Econométrica</w:t>
            </w:r>
          </w:p>
        </w:tc>
        <w:tc>
          <w:tcPr>
            <w:tcW w:type="dxa" w:w="1440"/>
            <w:tcMar>
              <w:top w:w="30" w:type="dxa"/>
              <w:bottom w:w="30" w:type="dxa"/>
              <w:left w:w="40" w:type="dxa"/>
              <w:right w:w="40" w:type="dxa"/>
            </w:tcMar>
          </w:tcPr>
          <w:p>
            <w:pPr>
              <w:spacing w:after="40"/>
              <w:jc w:val="right"/>
            </w:pPr>
            <w:r>
              <w:rPr>
                <w:rFonts w:ascii="Georgia" w:hAnsi="Georgia"/>
                <w:color w:val="4A4A4A"/>
                <w:sz w:val="17"/>
              </w:rPr>
              <w:t>16</w:t>
            </w:r>
          </w:p>
        </w:tc>
      </w:tr>
      <w:tr>
        <w:tc>
          <w:tcPr>
            <w:tcW w:type="dxa" w:w="8640"/>
            <w:tcMar>
              <w:top w:w="30" w:type="dxa"/>
              <w:bottom w:w="30" w:type="dxa"/>
              <w:left w:w="40" w:type="dxa"/>
              <w:right w:w="40" w:type="dxa"/>
            </w:tcMar>
          </w:tcPr>
          <w:p>
            <w:pPr>
              <w:spacing w:after="40"/>
            </w:pPr>
            <w:r>
              <w:rPr>
                <w:rFonts w:ascii="Georgia" w:hAnsi="Georgia"/>
                <w:b/>
                <w:color w:val="0D233A"/>
                <w:sz w:val="17"/>
              </w:rPr>
              <w:t>17. Dictamen Final y Conclusión del Modelo</w:t>
            </w:r>
          </w:p>
        </w:tc>
        <w:tc>
          <w:tcPr>
            <w:tcW w:type="dxa" w:w="1440"/>
            <w:tcMar>
              <w:top w:w="30" w:type="dxa"/>
              <w:bottom w:w="30" w:type="dxa"/>
              <w:left w:w="40" w:type="dxa"/>
              <w:right w:w="40" w:type="dxa"/>
            </w:tcMar>
          </w:tcPr>
          <w:p>
            <w:pPr>
              <w:spacing w:after="40"/>
              <w:jc w:val="right"/>
            </w:pPr>
            <w:r>
              <w:rPr>
                <w:rFonts w:ascii="Georgia" w:hAnsi="Georgia"/>
                <w:color w:val="4A4A4A"/>
                <w:sz w:val="17"/>
              </w:rPr>
              <w:t>17</w:t>
            </w:r>
          </w:p>
        </w:tc>
      </w:tr>
      <w:tr>
        <w:tc>
          <w:tcPr>
            <w:tcW w:type="dxa" w:w="8640"/>
            <w:tcMar>
              <w:top w:w="30" w:type="dxa"/>
              <w:bottom w:w="30" w:type="dxa"/>
              <w:left w:w="40" w:type="dxa"/>
              <w:right w:w="40" w:type="dxa"/>
            </w:tcMar>
          </w:tcPr>
          <w:p>
            <w:pPr>
              <w:spacing w:after="40"/>
            </w:pPr>
            <w:r>
              <w:rPr>
                <w:rFonts w:ascii="Georgia" w:hAnsi="Georgia"/>
                <w:b/>
                <w:color w:val="1E3A8A"/>
                <w:sz w:val="17"/>
              </w:rPr>
              <w:t>Apéndice: Estados Financieros Auditados y Proyecciones de Flujo de Fondos (USD MM)</w:t>
            </w:r>
          </w:p>
        </w:tc>
        <w:tc>
          <w:tcPr>
            <w:tcW w:type="dxa" w:w="1440"/>
            <w:tcMar>
              <w:top w:w="30" w:type="dxa"/>
              <w:bottom w:w="30" w:type="dxa"/>
              <w:left w:w="40" w:type="dxa"/>
              <w:right w:w="40" w:type="dxa"/>
            </w:tcMar>
          </w:tcPr>
          <w:p>
            <w:pPr>
              <w:spacing w:after="40"/>
              <w:jc w:val="right"/>
            </w:pPr>
            <w:r>
              <w:rPr>
                <w:rFonts w:ascii="Georgia" w:hAnsi="Georgia"/>
                <w:color w:val="4A4A4A"/>
                <w:sz w:val="17"/>
              </w:rPr>
              <w:t>18</w:t>
            </w:r>
          </w:p>
        </w:tc>
      </w:tr>
      <w:tr>
        <w:tc>
          <w:tcPr>
            <w:tcW w:type="dxa" w:w="8640"/>
            <w:tcMar>
              <w:top w:w="30" w:type="dxa"/>
              <w:bottom w:w="30" w:type="dxa"/>
              <w:left w:w="40" w:type="dxa"/>
              <w:right w:w="40" w:type="dxa"/>
            </w:tcMar>
          </w:tcPr>
          <w:p>
            <w:pPr>
              <w:spacing w:after="40"/>
            </w:pPr>
            <w:r>
              <w:rPr>
                <w:rFonts w:ascii="Georgia" w:hAnsi="Georgia"/>
                <w:b/>
                <w:color w:val="1E3A8A"/>
                <w:sz w:val="17"/>
              </w:rPr>
              <w:t>Referencias Bibliográficas y Fuentes de Información</w:t>
            </w:r>
          </w:p>
        </w:tc>
        <w:tc>
          <w:tcPr>
            <w:tcW w:type="dxa" w:w="1440"/>
            <w:tcMar>
              <w:top w:w="30" w:type="dxa"/>
              <w:bottom w:w="30" w:type="dxa"/>
              <w:left w:w="40" w:type="dxa"/>
              <w:right w:w="40" w:type="dxa"/>
            </w:tcMar>
          </w:tcPr>
          <w:p>
            <w:pPr>
              <w:spacing w:after="40"/>
              <w:jc w:val="right"/>
            </w:pPr>
            <w:r>
              <w:rPr>
                <w:rFonts w:ascii="Georgia" w:hAnsi="Georgia"/>
                <w:color w:val="4A4A4A"/>
                <w:sz w:val="17"/>
              </w:rPr>
              <w:t>19</w:t>
            </w:r>
          </w:p>
        </w:tc>
      </w:tr>
      <w:tr>
        <w:tc>
          <w:tcPr>
            <w:tcW w:type="dxa" w:w="8640"/>
            <w:tcMar>
              <w:top w:w="30" w:type="dxa"/>
              <w:bottom w:w="30" w:type="dxa"/>
              <w:left w:w="40" w:type="dxa"/>
              <w:right w:w="40" w:type="dxa"/>
            </w:tcMar>
          </w:tcPr>
          <w:p>
            <w:pPr>
              <w:spacing w:after="40"/>
            </w:pPr>
            <w:r>
              <w:rPr>
                <w:rFonts w:ascii="Georgia" w:hAnsi="Georgia"/>
                <w:b/>
                <w:color w:val="1E3A8A"/>
                <w:sz w:val="17"/>
              </w:rPr>
              <w:t>Aviso Legal y Certificación del Analista (Ley 26.831)</w:t>
            </w:r>
          </w:p>
        </w:tc>
        <w:tc>
          <w:tcPr>
            <w:tcW w:type="dxa" w:w="1440"/>
            <w:tcMar>
              <w:top w:w="30" w:type="dxa"/>
              <w:bottom w:w="30" w:type="dxa"/>
              <w:left w:w="40" w:type="dxa"/>
              <w:right w:w="40" w:type="dxa"/>
            </w:tcMar>
          </w:tcPr>
          <w:p>
            <w:pPr>
              <w:spacing w:after="40"/>
              <w:jc w:val="right"/>
            </w:pPr>
            <w:r>
              <w:rPr>
                <w:rFonts w:ascii="Georgia" w:hAnsi="Georgia"/>
                <w:color w:val="4A4A4A"/>
                <w:sz w:val="17"/>
              </w:rPr>
              <w:t>19</w:t>
            </w:r>
          </w:p>
        </w:tc>
      </w:tr>
    </w:tbl>
    <w:p>
      <w:r>
        <w:br w:type="page"/>
      </w:r>
    </w:p>
    <w:p>
      <w:pPr>
        <w:keepNext/>
        <w:spacing w:before="280" w:after="80"/>
        <w:pBrd>
          <w:bottom w:val="single" w:sz="8" w:space="2" w:color="0D233A"/>
        </w:pBrd>
      </w:pPr>
      <w:r>
        <w:rPr>
          <w:rFonts w:ascii="Georgia" w:hAnsi="Georgia"/>
          <w:b/>
          <w:color w:val="0D233A"/>
          <w:sz w:val="26"/>
        </w:rPr>
        <w:t>1. Descripción de la Compañía: Integración Vertical y Estructura Operativa</w:t>
      </w:r>
    </w:p>
    <w:p>
      <w:pPr>
        <w:keepNext/>
        <w:spacing w:before="200" w:after="60"/>
      </w:pPr>
      <w:r>
        <w:rPr>
          <w:rFonts w:ascii="Georgia" w:hAnsi="Georgia"/>
          <w:b/>
          <w:color w:val="1E3A8A"/>
          <w:sz w:val="22"/>
        </w:rPr>
        <w:t>1.1 Perfil Operativo: Capacidad Instalada e Integración Productiva</w:t>
      </w:r>
    </w:p>
    <w:p>
      <w:pPr>
        <w:spacing w:before="0" w:after="60" w:line="276" w:lineRule="auto"/>
      </w:pPr>
      <w:r>
        <w:rPr>
          <w:rFonts w:ascii="Georgia" w:hAnsi="Georgia"/>
          <w:color w:val="0F172A"/>
          <w:sz w:val="19"/>
        </w:rPr>
        <w:t>Aluar Aluminio Argentino S.A.I.C. es el único productor primario de aluminio integrado en Argentina y uno de los mayores complejos industriales de Sudamérica. Fundada en 1974, la compañía opera su planta de reducción electrolítica en Puerto Madryn (Provincia del Chubut) con una capacidad instalada nominal de 460.000 toneladas anuales. Su portafolio abarca aluminio primario líquido y sólido (lingotes estándar, lingotes T, barrotes de extrusión, alambrón y placas de laminación), junto con una división de semielaborados y elaborados de mayor valor agregado. Alrededor del 80% del volumen físico producido se destina a la exportación (Estados Unidos, Brasil, Europa y Japón), liquidado en dólares estadounidenses sobre cotizaciones del London Metal Exchange (LME) más primas regionales, lo que dota a la firma de un flujo operativo vinculado a moneda dura.</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572050"/>
                  <wp:docPr id="1" name="Picture 1"/>
                  <wp:cNvGraphicFramePr>
                    <a:graphicFrameLocks noChangeAspect="1"/>
                  </wp:cNvGraphicFramePr>
                  <a:graphic>
                    <a:graphicData uri="http://schemas.openxmlformats.org/drawingml/2006/picture">
                      <pic:pic>
                        <pic:nvPicPr>
                          <pic:cNvPr id="0" name="figura_01.png"/>
                          <pic:cNvPicPr/>
                        </pic:nvPicPr>
                        <pic:blipFill>
                          <a:blip r:embed="rId11"/>
                          <a:stretch>
                            <a:fillRect/>
                          </a:stretch>
                        </pic:blipFill>
                        <pic:spPr>
                          <a:xfrm>
                            <a:off x="0" y="0"/>
                            <a:ext cx="3017520" cy="1572050"/>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482763"/>
                  <wp:docPr id="2" name="Picture 2"/>
                  <wp:cNvGraphicFramePr>
                    <a:graphicFrameLocks noChangeAspect="1"/>
                  </wp:cNvGraphicFramePr>
                  <a:graphic>
                    <a:graphicData uri="http://schemas.openxmlformats.org/drawingml/2006/picture">
                      <pic:pic>
                        <pic:nvPicPr>
                          <pic:cNvPr id="0" name="figura_02.png"/>
                          <pic:cNvPicPr/>
                        </pic:nvPicPr>
                        <pic:blipFill>
                          <a:blip r:embed="rId12"/>
                          <a:stretch>
                            <a:fillRect/>
                          </a:stretch>
                        </pic:blipFill>
                        <pic:spPr>
                          <a:xfrm>
                            <a:off x="0" y="0"/>
                            <a:ext cx="3017520" cy="1482763"/>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1: Evolución Histórica de Aluar (1974–2026): Hitos de expansión de capacidad instalada y transición energética.</w:t>
            </w:r>
          </w:p>
        </w:tc>
        <w:tc>
          <w:tcPr>
            <w:tcW w:type="dxa" w:w="4896"/>
            <w:tcMar>
              <w:top w:w="40" w:type="dxa"/>
              <w:bottom w:w="40" w:type="dxa"/>
              <w:left w:w="40" w:type="dxa"/>
              <w:right w:w="40" w:type="dxa"/>
            </w:tcMar>
          </w:tcPr>
          <w:p>
            <w:pPr>
              <w:spacing w:after="80"/>
              <w:jc w:val="left"/>
            </w:pPr>
            <w:r>
              <w:rPr>
                <w:rFonts w:ascii="Georgia" w:hAnsi="Georgia"/>
                <w:color w:val="4A4A4A"/>
                <w:sz w:val="16"/>
              </w:rPr>
              <w:t>Figura 2: Estructura Accionaria: Concentración del 45,98% en el grupo de control (Familia Madanes) y 54,02% flotante/ANSES.</w:t>
            </w:r>
          </w:p>
        </w:tc>
      </w:tr>
    </w:tbl>
    <w:p>
      <w:pPr>
        <w:spacing w:after="40"/>
      </w:pPr>
    </w:p>
    <w:p>
      <w:pPr>
        <w:keepNext/>
        <w:spacing w:before="200" w:after="60"/>
      </w:pPr>
      <w:r>
        <w:rPr>
          <w:rFonts w:ascii="Georgia" w:hAnsi="Georgia"/>
          <w:b/>
          <w:color w:val="1E3A8A"/>
          <w:sz w:val="22"/>
        </w:rPr>
        <w:t>1.2 Estructura Accionaria y Control Corporativo</w:t>
      </w:r>
    </w:p>
    <w:p>
      <w:pPr>
        <w:spacing w:before="0" w:after="60" w:line="276" w:lineRule="auto"/>
      </w:pPr>
      <w:r>
        <w:rPr>
          <w:rFonts w:ascii="Georgia" w:hAnsi="Georgia"/>
          <w:color w:val="0F172A"/>
          <w:sz w:val="19"/>
        </w:rPr>
        <w:t>Según la Memoria Anual y Estados Financieros al 30-jun-2025, el capital social está integrado por 2.800 millones de acciones ordinarias escriturales de $1 valor nominal y un voto por acción, listadas en BYMA bajo la especie ALUA.BA. Las sociedades vinculadas a la familia Madanes (CIPAL S.A., Estancias San Javier de Catamarca S.A. y Angerona Group Trust) concentran en conjunto el 45,98% de los derechos de voto, conformando el grupo de control frente al 54,02% distribuido entre la ANSES-FGS (27,47%) y el capital flotante en el mercado doméstico e internacional.</w:t>
      </w:r>
    </w:p>
    <w:p>
      <w:pPr>
        <w:keepNext/>
        <w:spacing w:before="200" w:after="60"/>
      </w:pPr>
      <w:r>
        <w:rPr>
          <w:rFonts w:ascii="Georgia" w:hAnsi="Georgia"/>
          <w:b/>
          <w:color w:val="1E3A8A"/>
          <w:sz w:val="22"/>
        </w:rPr>
        <w:t>1.3 Ventajas Competitivas: Matriz Energética y Posición de Costos C1</w:t>
      </w:r>
    </w:p>
    <w:p>
      <w:pPr>
        <w:spacing w:before="0" w:after="60" w:line="276" w:lineRule="auto"/>
      </w:pPr>
      <w:r>
        <w:rPr>
          <w:rFonts w:ascii="Georgia" w:hAnsi="Georgia"/>
          <w:color w:val="0F172A"/>
          <w:sz w:val="19"/>
        </w:rPr>
        <w:t>La fundición de aluminio primario es un proceso electrointensivo donde la energía representa entre el 30% y 40% del costo total de producción. Tres factores sustentan el foso defensivo de la compañía:</w:t>
      </w:r>
    </w:p>
    <w:p>
      <w:pPr>
        <w:spacing w:before="0" w:after="60" w:line="276" w:lineRule="auto"/>
      </w:pPr>
      <w:r>
        <w:rPr>
          <w:rFonts w:ascii="Georgia" w:hAnsi="Georgia"/>
          <w:color w:val="0F172A"/>
          <w:sz w:val="19"/>
        </w:rPr>
        <w:t>1. Autonomía Energética Propia (96% del Consumo): La planta de Puerto Madryn es abastecida en un 54% por la Central Hidroeléctrica Futaleufú (320 MW asignados contractualmente bajo concesión), 24% por el Parque Eólico Aluar (PEAL, 200 MW en operación) y 18% por ciclos combinados térmicos propios a gas natural. Sólo el 4% restante se toma de la red nacional (SADI/CAMMESA), blindando a la compañía ante fluctuaciones en las tarifas eléctricas spot.</w:t>
      </w:r>
    </w:p>
    <w:p>
      <w:pPr>
        <w:spacing w:before="0" w:after="60" w:line="276" w:lineRule="auto"/>
      </w:pPr>
      <w:r>
        <w:rPr>
          <w:rFonts w:ascii="Georgia" w:hAnsi="Georgia"/>
          <w:color w:val="0F172A"/>
          <w:sz w:val="19"/>
        </w:rPr>
        <w:t>2. Posición en el Primer Cuartil de Costos Globales: Con un costo en efectivo C1 de USD 1.680 por tonelada (percentil 29% de la curva global de costos CRU/Wood Mackenzie), Aluar se ubica entre los productores más eficientes del mundo, manteniendo márgenes operativos positivos en fases contractivas del ciclo internacional.</w:t>
      </w:r>
    </w:p>
    <w:p>
      <w:pPr>
        <w:spacing w:before="0" w:after="60" w:line="276" w:lineRule="auto"/>
      </w:pPr>
      <w:r>
        <w:rPr>
          <w:rFonts w:ascii="Georgia" w:hAnsi="Georgia"/>
          <w:color w:val="0F172A"/>
          <w:sz w:val="19"/>
        </w:rPr>
        <w:t>3. Terminal Portuaria Exclusiva: Muelle propio de aguas profundas en Puerto Madryn para la descarga directa de bauxita y alúmina importada y embarque de exportaciones con economías de escala en fletes.</w:t>
      </w:r>
    </w:p>
    <w:p>
      <w:pPr>
        <w:keepNext/>
        <w:spacing w:before="200" w:after="60"/>
      </w:pPr>
      <w:r>
        <w:rPr>
          <w:rFonts w:ascii="Georgia" w:hAnsi="Georgia"/>
          <w:b/>
          <w:color w:val="1E3A8A"/>
          <w:sz w:val="22"/>
        </w:rPr>
        <w:t>1.4 Estrategia Corporativa: Certificación ASI y Mezcla de Elaborados</w:t>
      </w:r>
    </w:p>
    <w:p>
      <w:pPr>
        <w:spacing w:before="0" w:after="60" w:line="276" w:lineRule="auto"/>
      </w:pPr>
      <w:r>
        <w:rPr>
          <w:rFonts w:ascii="Georgia" w:hAnsi="Georgia"/>
          <w:color w:val="0F172A"/>
          <w:sz w:val="19"/>
        </w:rPr>
        <w:t>Los objetivos estratégicos comprenden: (1) alcanzar el 100% de abastecimiento renovable mediante la Etapa V del Parque Eólico (PEAL V / La Flecha); (2) obtener la certificación ASI (Aluminium Stewardship Initiative) para capturar primas de precio por aluminio verde en Europa; y (3) defender la cuota en productos elaborados:</w:t>
      </w:r>
    </w:p>
    <w:p>
      <w:pPr>
        <w:keepNext/>
        <w:spacing w:before="120" w:after="40"/>
      </w:pPr>
      <w:r>
        <w:rPr>
          <w:rFonts w:ascii="Georgia" w:hAnsi="Georgia"/>
          <w:b/>
          <w:color w:val="0D233A"/>
          <w:sz w:val="18"/>
        </w:rPr>
        <w:t>Tabla: Participación de la División Elaborados en el Volumen Total de Ventas (Memoria y EEFF)</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592"/>
        <w:gridCol w:w="2592"/>
        <w:gridCol w:w="2592"/>
        <w:gridCol w:w="2592"/>
      </w:tblGrid>
      <w:tr>
        <w:tc>
          <w:tcPr>
            <w:tcW w:type="dxa" w:w="4320"/>
            <w:shd w:fill="F1F5F9"/>
            <w:tcMar>
              <w:top w:w="80" w:type="dxa"/>
              <w:bottom w:w="80" w:type="dxa"/>
              <w:left w:w="100" w:type="dxa"/>
              <w:right w:w="100" w:type="dxa"/>
            </w:tcMar>
          </w:tcPr>
          <w:p>
            <w:pPr>
              <w:spacing w:before="60" w:after="60"/>
              <w:jc w:val="left"/>
            </w:pPr>
            <w:r/>
            <w:r>
              <w:rPr>
                <w:rFonts w:ascii="Georgia" w:hAnsi="Georgia"/>
                <w:b/>
                <w:color w:val="0D233A"/>
                <w:sz w:val="17"/>
              </w:rPr>
              <w:t>Métrica de Volumen</w:t>
            </w:r>
          </w:p>
        </w:tc>
        <w:tc>
          <w:tcPr>
            <w:tcW w:type="dxa" w:w="1872"/>
            <w:shd w:fill="F1F5F9"/>
            <w:tcMar>
              <w:top w:w="80" w:type="dxa"/>
              <w:bottom w:w="80" w:type="dxa"/>
              <w:left w:w="100" w:type="dxa"/>
              <w:right w:w="100" w:type="dxa"/>
            </w:tcMar>
          </w:tcPr>
          <w:p>
            <w:pPr>
              <w:spacing w:before="60" w:after="60"/>
              <w:jc w:val="right"/>
            </w:pPr>
            <w:r/>
            <w:r>
              <w:rPr>
                <w:rFonts w:ascii="Georgia" w:hAnsi="Georgia"/>
                <w:b/>
                <w:color w:val="0D233A"/>
                <w:sz w:val="17"/>
              </w:rPr>
              <w:t>FY2023</w:t>
            </w:r>
          </w:p>
        </w:tc>
        <w:tc>
          <w:tcPr>
            <w:tcW w:type="dxa" w:w="1872"/>
            <w:shd w:fill="F1F5F9"/>
            <w:tcMar>
              <w:top w:w="80" w:type="dxa"/>
              <w:bottom w:w="80" w:type="dxa"/>
              <w:left w:w="100" w:type="dxa"/>
              <w:right w:w="100" w:type="dxa"/>
            </w:tcMar>
          </w:tcPr>
          <w:p>
            <w:pPr>
              <w:spacing w:before="60" w:after="60"/>
              <w:jc w:val="right"/>
            </w:pPr>
            <w:r/>
            <w:r>
              <w:rPr>
                <w:rFonts w:ascii="Georgia" w:hAnsi="Georgia"/>
                <w:b/>
                <w:color w:val="0D233A"/>
                <w:sz w:val="17"/>
              </w:rPr>
              <w:t>FY2024</w:t>
            </w:r>
          </w:p>
        </w:tc>
        <w:tc>
          <w:tcPr>
            <w:tcW w:type="dxa" w:w="1872"/>
            <w:shd w:fill="F1F5F9"/>
            <w:tcMar>
              <w:top w:w="80" w:type="dxa"/>
              <w:bottom w:w="80" w:type="dxa"/>
              <w:left w:w="100" w:type="dxa"/>
              <w:right w:w="100" w:type="dxa"/>
            </w:tcMar>
          </w:tcPr>
          <w:p>
            <w:pPr>
              <w:spacing w:before="60" w:after="60"/>
              <w:jc w:val="right"/>
            </w:pPr>
            <w:r/>
            <w:r>
              <w:rPr>
                <w:rFonts w:ascii="Georgia" w:hAnsi="Georgia"/>
                <w:b/>
                <w:color w:val="0D233A"/>
                <w:sz w:val="17"/>
              </w:rPr>
              <w:t>FY2025</w:t>
            </w:r>
          </w:p>
        </w:tc>
      </w:tr>
      <w:tr>
        <w:tc>
          <w:tcPr>
            <w:tcW w:type="dxa" w:w="4320"/>
            <w:tcMar>
              <w:top w:w="60" w:type="dxa"/>
              <w:bottom w:w="60" w:type="dxa"/>
              <w:left w:w="100" w:type="dxa"/>
              <w:right w:w="100" w:type="dxa"/>
            </w:tcMar>
          </w:tcPr>
          <w:p>
            <w:pPr>
              <w:spacing w:before="40" w:after="40"/>
              <w:jc w:val="left"/>
            </w:pPr>
            <w:r/>
            <w:r>
              <w:rPr>
                <w:rFonts w:ascii="Georgia" w:hAnsi="Georgia"/>
                <w:color w:val="0F172A"/>
                <w:sz w:val="17"/>
              </w:rPr>
              <w:t>Ventas Elaborados (t)</w:t>
            </w:r>
          </w:p>
        </w:tc>
        <w:tc>
          <w:tcPr>
            <w:tcW w:type="dxa" w:w="1872"/>
            <w:tcMar>
              <w:top w:w="60" w:type="dxa"/>
              <w:bottom w:w="60" w:type="dxa"/>
              <w:left w:w="100" w:type="dxa"/>
              <w:right w:w="100" w:type="dxa"/>
            </w:tcMar>
          </w:tcPr>
          <w:p>
            <w:pPr>
              <w:spacing w:before="40" w:after="40"/>
              <w:jc w:val="right"/>
            </w:pPr>
            <w:r/>
            <w:r>
              <w:rPr>
                <w:rFonts w:ascii="Georgia" w:hAnsi="Georgia"/>
                <w:color w:val="0F172A"/>
                <w:sz w:val="17"/>
              </w:rPr>
              <w:t>23.104</w:t>
            </w:r>
          </w:p>
        </w:tc>
        <w:tc>
          <w:tcPr>
            <w:tcW w:type="dxa" w:w="1872"/>
            <w:tcMar>
              <w:top w:w="60" w:type="dxa"/>
              <w:bottom w:w="60" w:type="dxa"/>
              <w:left w:w="100" w:type="dxa"/>
              <w:right w:w="100" w:type="dxa"/>
            </w:tcMar>
          </w:tcPr>
          <w:p>
            <w:pPr>
              <w:spacing w:before="40" w:after="40"/>
              <w:jc w:val="right"/>
            </w:pPr>
            <w:r/>
            <w:r>
              <w:rPr>
                <w:rFonts w:ascii="Georgia" w:hAnsi="Georgia"/>
                <w:color w:val="0F172A"/>
                <w:sz w:val="17"/>
              </w:rPr>
              <w:t>17.766</w:t>
            </w:r>
          </w:p>
        </w:tc>
        <w:tc>
          <w:tcPr>
            <w:tcW w:type="dxa" w:w="1872"/>
            <w:tcMar>
              <w:top w:w="60" w:type="dxa"/>
              <w:bottom w:w="60" w:type="dxa"/>
              <w:left w:w="100" w:type="dxa"/>
              <w:right w:w="100" w:type="dxa"/>
            </w:tcMar>
          </w:tcPr>
          <w:p>
            <w:pPr>
              <w:spacing w:before="40" w:after="40"/>
              <w:jc w:val="right"/>
            </w:pPr>
            <w:r/>
            <w:r>
              <w:rPr>
                <w:rFonts w:ascii="Georgia" w:hAnsi="Georgia"/>
                <w:color w:val="0F172A"/>
                <w:sz w:val="17"/>
              </w:rPr>
              <w:t>13.498</w:t>
            </w:r>
          </w:p>
        </w:tc>
      </w:tr>
      <w:tr>
        <w:tc>
          <w:tcPr>
            <w:tcW w:type="dxa" w:w="4320"/>
            <w:tcMar>
              <w:top w:w="60" w:type="dxa"/>
              <w:bottom w:w="60" w:type="dxa"/>
              <w:left w:w="100" w:type="dxa"/>
              <w:right w:w="100" w:type="dxa"/>
            </w:tcMar>
          </w:tcPr>
          <w:p>
            <w:pPr>
              <w:spacing w:before="40" w:after="40"/>
              <w:jc w:val="left"/>
            </w:pPr>
            <w:r/>
            <w:r>
              <w:rPr>
                <w:rFonts w:ascii="Georgia" w:hAnsi="Georgia"/>
                <w:b/>
                <w:color w:val="0D233A"/>
                <w:sz w:val="17"/>
              </w:rPr>
              <w:t>Ventas Totales (t)</w:t>
            </w:r>
          </w:p>
        </w:tc>
        <w:tc>
          <w:tcPr>
            <w:tcW w:type="dxa" w:w="1872"/>
            <w:tcMar>
              <w:top w:w="60" w:type="dxa"/>
              <w:bottom w:w="60" w:type="dxa"/>
              <w:left w:w="100" w:type="dxa"/>
              <w:right w:w="100" w:type="dxa"/>
            </w:tcMar>
          </w:tcPr>
          <w:p>
            <w:pPr>
              <w:spacing w:before="40" w:after="40"/>
              <w:jc w:val="right"/>
            </w:pPr>
            <w:r/>
            <w:r>
              <w:rPr>
                <w:rFonts w:ascii="Georgia" w:hAnsi="Georgia"/>
                <w:b/>
                <w:color w:val="0D233A"/>
                <w:sz w:val="17"/>
              </w:rPr>
              <w:t>383.834</w:t>
            </w:r>
          </w:p>
        </w:tc>
        <w:tc>
          <w:tcPr>
            <w:tcW w:type="dxa" w:w="1872"/>
            <w:tcMar>
              <w:top w:w="60" w:type="dxa"/>
              <w:bottom w:w="60" w:type="dxa"/>
              <w:left w:w="100" w:type="dxa"/>
              <w:right w:w="100" w:type="dxa"/>
            </w:tcMar>
          </w:tcPr>
          <w:p>
            <w:pPr>
              <w:spacing w:before="40" w:after="40"/>
              <w:jc w:val="right"/>
            </w:pPr>
            <w:r/>
            <w:r>
              <w:rPr>
                <w:rFonts w:ascii="Georgia" w:hAnsi="Georgia"/>
                <w:b/>
                <w:color w:val="0D233A"/>
                <w:sz w:val="17"/>
              </w:rPr>
              <w:t>418.014</w:t>
            </w:r>
          </w:p>
        </w:tc>
        <w:tc>
          <w:tcPr>
            <w:tcW w:type="dxa" w:w="1872"/>
            <w:tcMar>
              <w:top w:w="60" w:type="dxa"/>
              <w:bottom w:w="60" w:type="dxa"/>
              <w:left w:w="100" w:type="dxa"/>
              <w:right w:w="100" w:type="dxa"/>
            </w:tcMar>
          </w:tcPr>
          <w:p>
            <w:pPr>
              <w:spacing w:before="40" w:after="40"/>
              <w:jc w:val="right"/>
            </w:pPr>
            <w:r/>
            <w:r>
              <w:rPr>
                <w:rFonts w:ascii="Georgia" w:hAnsi="Georgia"/>
                <w:b/>
                <w:color w:val="0D233A"/>
                <w:sz w:val="17"/>
              </w:rPr>
              <w:t>402.991</w:t>
            </w:r>
          </w:p>
        </w:tc>
      </w:tr>
      <w:tr>
        <w:tc>
          <w:tcPr>
            <w:tcW w:type="dxa" w:w="4320"/>
            <w:tcMar>
              <w:top w:w="60" w:type="dxa"/>
              <w:bottom w:w="60" w:type="dxa"/>
              <w:left w:w="100" w:type="dxa"/>
              <w:right w:w="100" w:type="dxa"/>
            </w:tcMar>
          </w:tcPr>
          <w:p>
            <w:pPr>
              <w:spacing w:before="40" w:after="40"/>
              <w:jc w:val="left"/>
            </w:pPr>
            <w:r/>
            <w:r>
              <w:rPr>
                <w:rFonts w:ascii="Georgia" w:hAnsi="Georgia"/>
                <w:color w:val="0F172A"/>
                <w:sz w:val="17"/>
              </w:rPr>
              <w:t>Participación Elaborados</w:t>
            </w:r>
          </w:p>
        </w:tc>
        <w:tc>
          <w:tcPr>
            <w:tcW w:type="dxa" w:w="1872"/>
            <w:tcMar>
              <w:top w:w="60" w:type="dxa"/>
              <w:bottom w:w="60" w:type="dxa"/>
              <w:left w:w="100" w:type="dxa"/>
              <w:right w:w="100" w:type="dxa"/>
            </w:tcMar>
          </w:tcPr>
          <w:p>
            <w:pPr>
              <w:spacing w:before="40" w:after="40"/>
              <w:jc w:val="right"/>
            </w:pPr>
            <w:r/>
            <w:r>
              <w:rPr>
                <w:rFonts w:ascii="Georgia" w:hAnsi="Georgia"/>
                <w:color w:val="0F172A"/>
                <w:sz w:val="17"/>
              </w:rPr>
              <w:t>6,0%</w:t>
            </w:r>
          </w:p>
        </w:tc>
        <w:tc>
          <w:tcPr>
            <w:tcW w:type="dxa" w:w="1872"/>
            <w:tcMar>
              <w:top w:w="60" w:type="dxa"/>
              <w:bottom w:w="60" w:type="dxa"/>
              <w:left w:w="100" w:type="dxa"/>
              <w:right w:w="100" w:type="dxa"/>
            </w:tcMar>
          </w:tcPr>
          <w:p>
            <w:pPr>
              <w:spacing w:before="40" w:after="40"/>
              <w:jc w:val="right"/>
            </w:pPr>
            <w:r/>
            <w:r>
              <w:rPr>
                <w:rFonts w:ascii="Georgia" w:hAnsi="Georgia"/>
                <w:color w:val="0F172A"/>
                <w:sz w:val="17"/>
              </w:rPr>
              <w:t>4,3%</w:t>
            </w:r>
          </w:p>
        </w:tc>
        <w:tc>
          <w:tcPr>
            <w:tcW w:type="dxa" w:w="1872"/>
            <w:tcMar>
              <w:top w:w="60" w:type="dxa"/>
              <w:bottom w:w="60" w:type="dxa"/>
              <w:left w:w="100" w:type="dxa"/>
              <w:right w:w="100" w:type="dxa"/>
            </w:tcMar>
          </w:tcPr>
          <w:p>
            <w:pPr>
              <w:spacing w:before="40" w:after="40"/>
              <w:jc w:val="right"/>
            </w:pPr>
            <w:r/>
            <w:r>
              <w:rPr>
                <w:rFonts w:ascii="Georgia" w:hAnsi="Georgia"/>
                <w:color w:val="0F172A"/>
                <w:sz w:val="17"/>
              </w:rPr>
              <w:t>3,3%</w:t>
            </w:r>
          </w:p>
        </w:tc>
      </w:tr>
    </w:tbl>
    <w:p>
      <w:pPr>
        <w:spacing w:after="80"/>
      </w:pPr>
    </w:p>
    <w:p>
      <w:pPr>
        <w:keepNext/>
        <w:spacing w:before="200" w:after="60"/>
      </w:pPr>
      <w:r>
        <w:rPr>
          <w:rFonts w:ascii="Georgia" w:hAnsi="Georgia"/>
          <w:b/>
          <w:color w:val="1E3A8A"/>
          <w:sz w:val="22"/>
        </w:rPr>
        <w:t>1.5 Análisis Estratégico FODA</w:t>
      </w:r>
    </w:p>
    <w:p>
      <w:pPr>
        <w:spacing w:before="0" w:after="60" w:line="276" w:lineRule="auto"/>
      </w:pPr>
      <w:r>
        <w:rPr>
          <w:rFonts w:ascii="Georgia" w:hAnsi="Georgia"/>
          <w:color w:val="0F172A"/>
          <w:sz w:val="19"/>
        </w:rPr>
        <w:t>• Fortalezas: Monopolio primario integrado en Argentina; 96% de energía autogenerada; costos C1 en primer cuartil mundial; ingresos 80% en moneda dura.</w:t>
      </w:r>
    </w:p>
    <w:p>
      <w:pPr>
        <w:spacing w:before="0" w:after="60" w:line="276" w:lineRule="auto"/>
      </w:pPr>
      <w:r>
        <w:rPr>
          <w:rFonts w:ascii="Georgia" w:hAnsi="Georgia"/>
          <w:color w:val="0F172A"/>
          <w:sz w:val="19"/>
        </w:rPr>
        <w:t>• Oportunidades: Primas comerciales por certificación ASI; beneficios impositivos del RIGI para PEAL V; compresión de la prima de riesgo soberano.</w:t>
      </w:r>
    </w:p>
    <w:p>
      <w:pPr>
        <w:spacing w:before="0" w:after="60" w:line="276" w:lineRule="auto"/>
      </w:pPr>
      <w:r>
        <w:rPr>
          <w:rFonts w:ascii="Georgia" w:hAnsi="Georgia"/>
          <w:color w:val="0F172A"/>
          <w:sz w:val="19"/>
        </w:rPr>
        <w:t>• Debilidades: Dependencia de alúmina importada; capacidad nominal operando al 100% (460 kt); apalancamiento transitorio por inversiones eólicas.</w:t>
      </w:r>
    </w:p>
    <w:p>
      <w:pPr>
        <w:spacing w:before="0" w:after="60" w:line="276" w:lineRule="auto"/>
      </w:pPr>
      <w:r>
        <w:rPr>
          <w:rFonts w:ascii="Georgia" w:hAnsi="Georgia"/>
          <w:color w:val="0F172A"/>
          <w:sz w:val="19"/>
        </w:rPr>
        <w:t>• Amenazas: Ciclo internacional del LME; apreciación del tipo de cambio real que encarece costos laborales en USD; excedentes de fundición en Asia.</w:t>
      </w:r>
    </w:p>
    <w:p>
      <w:pPr>
        <w:keepNext/>
        <w:spacing w:before="200" w:after="60"/>
      </w:pPr>
      <w:r>
        <w:rPr>
          <w:rFonts w:ascii="Georgia" w:hAnsi="Georgia"/>
          <w:b/>
          <w:color w:val="1E3A8A"/>
          <w:sz w:val="22"/>
        </w:rPr>
        <w:t>1.6 Desempeño Financiero Reciente (FY2020–FY2025)</w:t>
      </w:r>
    </w:p>
    <w:p>
      <w:pPr>
        <w:keepNext/>
        <w:spacing w:before="120" w:after="40"/>
      </w:pPr>
      <w:r>
        <w:rPr>
          <w:rFonts w:ascii="Georgia" w:hAnsi="Georgia"/>
          <w:b/>
          <w:color w:val="0D233A"/>
          <w:sz w:val="18"/>
        </w:rPr>
        <w:t>Tabla: Evolución de Indicadores Financieros Auditados FY2020–FY2025 (USD MM)</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481"/>
        <w:gridCol w:w="1481"/>
        <w:gridCol w:w="1481"/>
        <w:gridCol w:w="1481"/>
        <w:gridCol w:w="1481"/>
        <w:gridCol w:w="1481"/>
        <w:gridCol w:w="1481"/>
      </w:tblGrid>
      <w:tr>
        <w:tc>
          <w:tcPr>
            <w:tcW w:type="dxa" w:w="3456"/>
            <w:shd w:fill="F1F5F9"/>
            <w:tcMar>
              <w:top w:w="80" w:type="dxa"/>
              <w:bottom w:w="80" w:type="dxa"/>
              <w:left w:w="100" w:type="dxa"/>
              <w:right w:w="100" w:type="dxa"/>
            </w:tcMar>
          </w:tcPr>
          <w:p>
            <w:pPr>
              <w:spacing w:before="60" w:after="60"/>
              <w:jc w:val="left"/>
            </w:pPr>
            <w:r/>
            <w:r>
              <w:rPr>
                <w:rFonts w:ascii="Georgia" w:hAnsi="Georgia"/>
                <w:b/>
                <w:color w:val="0D233A"/>
                <w:sz w:val="17"/>
              </w:rPr>
              <w:t>Métrica Financiera</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FY2020</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FY2021</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FY2022</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FY2023</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FY2024</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FY2025</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Ingresos (Ventas Netas)</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823,5</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513,5</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654,7</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647,8</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915,9</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1.092,6</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EBITDA</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116,5</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107,4</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209,7</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105,7</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204,7</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163,3</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Margen EBITDA</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14,2%</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20,9%</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32,0%</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16,3%</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22,4%</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14,9%</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Deuda Neta</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351,3</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137,4</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57,3</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169,9</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211,2</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525,8</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Deuda Neta / EBITDA</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3,02x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1,28x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0,27x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1,61x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1,03x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3,22x</w:t>
            </w:r>
          </w:p>
        </w:tc>
      </w:tr>
    </w:tbl>
    <w:p>
      <w:pPr>
        <w:spacing w:after="80"/>
      </w:pPr>
    </w:p>
    <w:p>
      <w:pPr>
        <w:keepNext/>
        <w:spacing w:before="280" w:after="80"/>
        <w:pBrd>
          <w:bottom w:val="single" w:sz="8" w:space="2" w:color="0D233A"/>
        </w:pBrd>
      </w:pPr>
      <w:r>
        <w:rPr>
          <w:rFonts w:ascii="Georgia" w:hAnsi="Georgia"/>
          <w:b/>
          <w:color w:val="0D233A"/>
          <w:sz w:val="26"/>
        </w:rPr>
        <w:t>2. Contexto Macroeconómico y Mecánica Operativa de Proyección (P × Q)</w:t>
      </w:r>
    </w:p>
    <w:p>
      <w:pPr>
        <w:keepNext/>
        <w:spacing w:before="200" w:after="60"/>
      </w:pPr>
      <w:r>
        <w:rPr>
          <w:rFonts w:ascii="Georgia" w:hAnsi="Georgia"/>
          <w:b/>
          <w:color w:val="1E3A8A"/>
          <w:sz w:val="22"/>
        </w:rPr>
        <w:t>2.1 Entorno Macroeconómico y Dinámica del Riesgo Soberano</w:t>
      </w:r>
    </w:p>
    <w:p>
      <w:pPr>
        <w:spacing w:before="0" w:after="60" w:line="276" w:lineRule="auto"/>
      </w:pPr>
      <w:r>
        <w:rPr>
          <w:rFonts w:ascii="Georgia" w:hAnsi="Georgia"/>
          <w:color w:val="0F172A"/>
          <w:sz w:val="19"/>
        </w:rPr>
        <w:t>Las proyecciones del modelo se apoyan en el escenario de estabilización macroeconómica argentino, con convergencia inflacionaria y reactivación gradual de la actividad industrial. La compresión del spread de riesgo soberano EMBI+ desde máximos de 2.400 pb en 2022 a 441 pb al cierre de julio de 2026 reduce de forma directa la tasa de descuento requerida para el capital.</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471175"/>
                  <wp:docPr id="3" name="Picture 3"/>
                  <wp:cNvGraphicFramePr>
                    <a:graphicFrameLocks noChangeAspect="1"/>
                  </wp:cNvGraphicFramePr>
                  <a:graphic>
                    <a:graphicData uri="http://schemas.openxmlformats.org/drawingml/2006/picture">
                      <pic:pic>
                        <pic:nvPicPr>
                          <pic:cNvPr id="0" name="figura_03.png"/>
                          <pic:cNvPicPr/>
                        </pic:nvPicPr>
                        <pic:blipFill>
                          <a:blip r:embed="rId13"/>
                          <a:stretch>
                            <a:fillRect/>
                          </a:stretch>
                        </pic:blipFill>
                        <pic:spPr>
                          <a:xfrm>
                            <a:off x="0" y="0"/>
                            <a:ext cx="3017520" cy="1471175"/>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540956"/>
                  <wp:docPr id="4" name="Picture 4"/>
                  <wp:cNvGraphicFramePr>
                    <a:graphicFrameLocks noChangeAspect="1"/>
                  </wp:cNvGraphicFramePr>
                  <a:graphic>
                    <a:graphicData uri="http://schemas.openxmlformats.org/drawingml/2006/picture">
                      <pic:pic>
                        <pic:nvPicPr>
                          <pic:cNvPr id="0" name="figura_04.png"/>
                          <pic:cNvPicPr/>
                        </pic:nvPicPr>
                        <pic:blipFill>
                          <a:blip r:embed="rId14"/>
                          <a:stretch>
                            <a:fillRect/>
                          </a:stretch>
                        </pic:blipFill>
                        <pic:spPr>
                          <a:xfrm>
                            <a:off x="0" y="0"/>
                            <a:ext cx="3017520" cy="1540956"/>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3: Contexto Macroeconómico: PBI real e inflación proyectada en Argentina (2020–2030E).</w:t>
            </w:r>
          </w:p>
        </w:tc>
        <w:tc>
          <w:tcPr>
            <w:tcW w:type="dxa" w:w="4896"/>
            <w:tcMar>
              <w:top w:w="40" w:type="dxa"/>
              <w:bottom w:w="40" w:type="dxa"/>
              <w:left w:w="40" w:type="dxa"/>
              <w:right w:w="40" w:type="dxa"/>
            </w:tcMar>
          </w:tcPr>
          <w:p>
            <w:pPr>
              <w:spacing w:after="80"/>
              <w:jc w:val="left"/>
            </w:pPr>
            <w:r>
              <w:rPr>
                <w:rFonts w:ascii="Georgia" w:hAnsi="Georgia"/>
                <w:color w:val="4A4A4A"/>
                <w:sz w:val="16"/>
              </w:rPr>
              <w:t>Figura 4: Compresión del Riesgo País (EMBI+): Descenso del spread soberano desde 2.400 pb a 441 pb.</w:t>
            </w:r>
          </w:p>
        </w:tc>
      </w:tr>
    </w:tbl>
    <w:p>
      <w:pPr>
        <w:spacing w:after="40"/>
      </w:pPr>
    </w:p>
    <w:p>
      <w:pPr>
        <w:keepNext/>
        <w:spacing w:before="200" w:after="60"/>
      </w:pPr>
      <w:r>
        <w:rPr>
          <w:rFonts w:ascii="Georgia" w:hAnsi="Georgia"/>
          <w:b/>
          <w:color w:val="1E3A8A"/>
          <w:sz w:val="22"/>
        </w:rPr>
        <w:t>2.2 Mecánica Operativa de Ingresos: Volumen Saturado y Reversión del LME</w:t>
      </w:r>
    </w:p>
    <w:p>
      <w:pPr>
        <w:spacing w:before="0" w:after="60" w:line="276" w:lineRule="auto"/>
      </w:pPr>
      <w:r>
        <w:rPr>
          <w:rFonts w:ascii="Georgia" w:hAnsi="Georgia"/>
          <w:color w:val="0F172A"/>
          <w:sz w:val="19"/>
        </w:rPr>
        <w:t>La proyección de ingresos descansa en la descomposición operativa Ingresos = P × Q:</w:t>
      </w:r>
    </w:p>
    <w:p>
      <w:pPr>
        <w:spacing w:before="80" w:after="80"/>
        <w:jc w:val="center"/>
      </w:pPr>
      <w:r>
        <w:rPr>
          <w:rFonts w:ascii="Cambria Math" w:hAnsi="Cambria Math"/>
          <w:b/>
          <w:color w:val="0D233A"/>
          <w:sz w:val="21"/>
        </w:rPr>
        <w:t xml:space="preserve">   Q = 460.000 Tn × 0,94 = 432.400 Tn/año   </w:t>
      </w:r>
      <w:r>
        <w:rPr>
          <w:rFonts w:ascii="Georgia" w:hAnsi="Georgia"/>
          <w:i/>
          <w:color w:val="4A4A4A"/>
          <w:sz w:val="18"/>
        </w:rPr>
        <w:t xml:space="preserve">    (Volumen Físico)</w:t>
      </w:r>
    </w:p>
    <w:p>
      <w:pPr>
        <w:spacing w:before="0" w:after="60" w:line="276" w:lineRule="auto"/>
      </w:pPr>
      <w:r>
        <w:rPr>
          <w:rFonts w:ascii="Georgia" w:hAnsi="Georgia"/>
          <w:color w:val="0F172A"/>
          <w:sz w:val="19"/>
        </w:rPr>
        <w:t>En FY2026E los ingresos alcanzan USD 1.591,4 MM impulsados por el precio spot del LME en el 1T26 ($3.173,2/t). Para el período 2027E–2030E, el precio realizado converge linealmente a su nivel de equilibrio de largo plazo:</w:t>
      </w:r>
    </w:p>
    <w:p>
      <w:pPr>
        <w:spacing w:before="80" w:after="80"/>
        <w:jc w:val="center"/>
      </w:pPr>
      <w:r>
        <w:rPr>
          <w:rFonts w:ascii="Cambria Math" w:hAnsi="Cambria Math"/>
          <w:b/>
          <w:color w:val="0D233A"/>
          <w:sz w:val="21"/>
        </w:rPr>
        <w:t xml:space="preserve">   P_2030 = LME_rev ($2.587,1/t) + Premium_elab ($645,7/t) = USD 3.232,8/t   </w:t>
      </w:r>
      <w:r>
        <w:rPr>
          <w:rFonts w:ascii="Georgia" w:hAnsi="Georgia"/>
          <w:i/>
          <w:color w:val="4A4A4A"/>
          <w:sz w:val="18"/>
        </w:rPr>
        <w:t xml:space="preserve">    (Precio 2030E)</w:t>
      </w:r>
    </w:p>
    <w:p>
      <w:pPr>
        <w:spacing w:before="0" w:after="60" w:line="276" w:lineRule="auto"/>
      </w:pPr>
      <w:r>
        <w:rPr>
          <w:rFonts w:ascii="Georgia" w:hAnsi="Georgia"/>
          <w:color w:val="0F172A"/>
          <w:sz w:val="19"/>
        </w:rPr>
        <w:t>Se calibra el parámetro de eficiencia operativa k sobre los datos reales del 1T26 (Ventas = USD 416 MM, EBITDA = USD 106 MM, C1 = USD 1.680/t):</w:t>
      </w:r>
    </w:p>
    <w:p>
      <w:pPr>
        <w:spacing w:before="80" w:after="80"/>
        <w:jc w:val="center"/>
      </w:pPr>
      <w:r>
        <w:rPr>
          <w:rFonts w:ascii="Cambria Math" w:hAnsi="Cambria Math"/>
          <w:b/>
          <w:color w:val="0D233A"/>
          <w:sz w:val="21"/>
        </w:rPr>
        <w:t xml:space="preserve">   k = Margen_EBITDA_Q1 / ((P_Q1 - C1) / P_Q1) = (106 / 416) / ((3.848,3 - 1.680) / 3.848,3) = 0,4521   </w:t>
      </w:r>
      <w:r>
        <w:rPr>
          <w:rFonts w:ascii="Georgia" w:hAnsi="Georgia"/>
          <w:i/>
          <w:color w:val="4A4A4A"/>
          <w:sz w:val="18"/>
        </w:rPr>
        <w:t xml:space="preserve">    (Calibración k)</w:t>
      </w:r>
    </w:p>
    <w:p>
      <w:pPr>
        <w:spacing w:before="0" w:after="60" w:line="276" w:lineRule="auto"/>
      </w:pPr>
      <w:r>
        <w:rPr>
          <w:rFonts w:ascii="Georgia" w:hAnsi="Georgia"/>
          <w:color w:val="0F172A"/>
          <w:sz w:val="19"/>
        </w:rPr>
        <w:t>Se proyecta la variación de capital de trabajo según la mediana histórica (NWC/Ventas = 49,42%):</w:t>
      </w:r>
    </w:p>
    <w:p>
      <w:pPr>
        <w:spacing w:before="80" w:after="80"/>
        <w:jc w:val="center"/>
      </w:pPr>
      <w:r>
        <w:rPr>
          <w:rFonts w:ascii="Cambria Math" w:hAnsi="Cambria Math"/>
          <w:b/>
          <w:color w:val="0D233A"/>
          <w:sz w:val="21"/>
        </w:rPr>
        <w:t xml:space="preserve">   ΔNWC_2026E = (Ventas_2026E - Ventas_2025) × 49,42% = (1.591,4 - 1.092,6) × 0,4942 = USD 246,5 MM   </w:t>
      </w:r>
      <w:r>
        <w:rPr>
          <w:rFonts w:ascii="Georgia" w:hAnsi="Georgia"/>
          <w:i/>
          <w:color w:val="4A4A4A"/>
          <w:sz w:val="18"/>
        </w:rPr>
        <w:t xml:space="preserve">    (ΔNWC 2026E)</w:t>
      </w:r>
    </w:p>
    <w:p>
      <w:pPr>
        <w:keepNext/>
        <w:spacing w:before="200" w:after="60"/>
      </w:pPr>
      <w:r>
        <w:rPr>
          <w:rFonts w:ascii="Georgia" w:hAnsi="Georgia"/>
          <w:b/>
          <w:color w:val="1E3A8A"/>
          <w:sz w:val="22"/>
        </w:rPr>
        <w:t>2.3 Curva de Tasas y Convergencia del Riesgo País (Modelo AR(1))</w:t>
      </w:r>
    </w:p>
    <w:p>
      <w:pPr>
        <w:spacing w:before="80" w:after="80"/>
        <w:jc w:val="center"/>
      </w:pPr>
      <w:r>
        <w:rPr>
          <w:rFonts w:ascii="Cambria Math" w:hAnsi="Cambria Math"/>
          <w:b/>
          <w:color w:val="0D233A"/>
          <w:sz w:val="21"/>
        </w:rPr>
        <w:t xml:space="preserve">   EMBI_t = μ × (1 - φ) + φ × EMBI_{t-1} + ε_t,   φ = 0,7582,   μ = 1.614 pb   </w:t>
      </w:r>
      <w:r>
        <w:rPr>
          <w:rFonts w:ascii="Georgia" w:hAnsi="Georgia"/>
          <w:i/>
          <w:color w:val="4A4A4A"/>
          <w:sz w:val="18"/>
        </w:rPr>
        <w:t xml:space="preserve">    (AR(1) Riesgo País)</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687385"/>
                  <wp:docPr id="5" name="Picture 5"/>
                  <wp:cNvGraphicFramePr>
                    <a:graphicFrameLocks noChangeAspect="1"/>
                  </wp:cNvGraphicFramePr>
                  <a:graphic>
                    <a:graphicData uri="http://schemas.openxmlformats.org/drawingml/2006/picture">
                      <pic:pic>
                        <pic:nvPicPr>
                          <pic:cNvPr id="0" name="figura_05.png"/>
                          <pic:cNvPicPr/>
                        </pic:nvPicPr>
                        <pic:blipFill>
                          <a:blip r:embed="rId15"/>
                          <a:stretch>
                            <a:fillRect/>
                          </a:stretch>
                        </pic:blipFill>
                        <pic:spPr>
                          <a:xfrm>
                            <a:off x="0" y="0"/>
                            <a:ext cx="3017520" cy="1687385"/>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527468"/>
                  <wp:docPr id="6" name="Picture 6"/>
                  <wp:cNvGraphicFramePr>
                    <a:graphicFrameLocks noChangeAspect="1"/>
                  </wp:cNvGraphicFramePr>
                  <a:graphic>
                    <a:graphicData uri="http://schemas.openxmlformats.org/drawingml/2006/picture">
                      <pic:pic>
                        <pic:nvPicPr>
                          <pic:cNvPr id="0" name="figura_06.png"/>
                          <pic:cNvPicPr/>
                        </pic:nvPicPr>
                        <pic:blipFill>
                          <a:blip r:embed="rId16"/>
                          <a:stretch>
                            <a:fillRect/>
                          </a:stretch>
                        </pic:blipFill>
                        <pic:spPr>
                          <a:xfrm>
                            <a:off x="0" y="0"/>
                            <a:ext cx="3017520" cy="1527468"/>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5: Trayectoria del Riesgo País: Proyección estocástica AR(1) frente al supuesto corporativo base (441 pb).</w:t>
            </w:r>
          </w:p>
        </w:tc>
        <w:tc>
          <w:tcPr>
            <w:tcW w:type="dxa" w:w="4896"/>
            <w:tcMar>
              <w:top w:w="40" w:type="dxa"/>
              <w:bottom w:w="40" w:type="dxa"/>
              <w:left w:w="40" w:type="dxa"/>
              <w:right w:w="40" w:type="dxa"/>
            </w:tcMar>
          </w:tcPr>
          <w:p>
            <w:pPr>
              <w:spacing w:after="80"/>
              <w:jc w:val="left"/>
            </w:pPr>
            <w:r>
              <w:rPr>
                <w:rFonts w:ascii="Georgia" w:hAnsi="Georgia"/>
                <w:color w:val="4A4A4A"/>
                <w:sz w:val="16"/>
              </w:rPr>
              <w:t>Figura 6: Aluminio LME vs. DXY: Relación inversa entre el commodity y el índice global del dólar.</w:t>
            </w:r>
          </w:p>
        </w:tc>
      </w:tr>
    </w:tbl>
    <w:p>
      <w:pPr>
        <w:spacing w:after="40"/>
      </w:pPr>
    </w:p>
    <w:p>
      <w:pPr>
        <w:keepNext/>
        <w:spacing w:before="280" w:after="80"/>
        <w:pBrd>
          <w:bottom w:val="single" w:sz="8" w:space="2" w:color="0D233A"/>
        </w:pBrd>
      </w:pPr>
      <w:r>
        <w:rPr>
          <w:rFonts w:ascii="Georgia" w:hAnsi="Georgia"/>
          <w:b/>
          <w:color w:val="0D233A"/>
          <w:sz w:val="26"/>
        </w:rPr>
        <w:t>3. Dinámica de la Industria Global del Aluminio y Cointegración con el LME</w:t>
      </w:r>
    </w:p>
    <w:p>
      <w:pPr>
        <w:keepNext/>
        <w:spacing w:before="200" w:after="60"/>
      </w:pPr>
      <w:r>
        <w:rPr>
          <w:rFonts w:ascii="Georgia" w:hAnsi="Georgia"/>
          <w:b/>
          <w:color w:val="1E3A8A"/>
          <w:sz w:val="22"/>
        </w:rPr>
        <w:t>3.1 Comportamiento Cíclico: LME, DXY y Cobertura Operativa</w:t>
      </w:r>
    </w:p>
    <w:p>
      <w:pPr>
        <w:spacing w:before="0" w:after="60" w:line="276" w:lineRule="auto"/>
      </w:pPr>
      <w:r>
        <w:rPr>
          <w:rFonts w:ascii="Georgia" w:hAnsi="Georgia"/>
          <w:color w:val="0F172A"/>
          <w:sz w:val="19"/>
        </w:rPr>
        <w:t>Existe una correlación inversa entre el precio internacional de los metales básicos y la fortaleza del dólar global (DXY). Aluar cuenta con una cobertura operativa natural: en fases contractivas del commodity acompañadas por apreciación del dólar, las correcciones del tipo de cambio real doméstico reducen los costos fijos en pesos (salarios y servicios), amortiguando la presión sobre el margen operativo.</w:t>
      </w:r>
    </w:p>
    <w:p>
      <w:pPr>
        <w:keepNext/>
        <w:spacing w:before="200" w:after="60"/>
      </w:pPr>
      <w:r>
        <w:rPr>
          <w:rFonts w:ascii="Georgia" w:hAnsi="Georgia"/>
          <w:b/>
          <w:color w:val="1E3A8A"/>
          <w:sz w:val="22"/>
        </w:rPr>
        <w:t>3.2 Análisis Econométrico: Test de Cointegración de Engle-Granger</w:t>
      </w:r>
    </w:p>
    <w:p>
      <w:pPr>
        <w:spacing w:before="0" w:after="60" w:line="276" w:lineRule="auto"/>
      </w:pPr>
      <w:r>
        <w:rPr>
          <w:rFonts w:ascii="Georgia" w:hAnsi="Georgia"/>
          <w:color w:val="0F172A"/>
          <w:sz w:val="19"/>
        </w:rPr>
        <w:t>Se sometió la serie diaria de ALUA.BA (expresada en USD vía CCL, N=2.355 ruedas, período 2016–2026) y el futuro del LME a la prueba de cointegración de Engle-Granger. El estadístico t = -2,29 (p = 0,38, frente a un valor crítico del -3,34 al 5%) no permite afirmar cointegración estricta en niveles. Sin embargo, la elasticidad contemporánea se sitúa en 0,66 (R² = 0,12), confirmando que Aluar responde de forma combinada tanto al ciclo internacional del metal como a las condiciones macroeconómicas locales.</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677129"/>
                  <wp:docPr id="7" name="Picture 7"/>
                  <wp:cNvGraphicFramePr>
                    <a:graphicFrameLocks noChangeAspect="1"/>
                  </wp:cNvGraphicFramePr>
                  <a:graphic>
                    <a:graphicData uri="http://schemas.openxmlformats.org/drawingml/2006/picture">
                      <pic:pic>
                        <pic:nvPicPr>
                          <pic:cNvPr id="0" name="figura_07.png"/>
                          <pic:cNvPicPr/>
                        </pic:nvPicPr>
                        <pic:blipFill>
                          <a:blip r:embed="rId17"/>
                          <a:stretch>
                            <a:fillRect/>
                          </a:stretch>
                        </pic:blipFill>
                        <pic:spPr>
                          <a:xfrm>
                            <a:off x="0" y="0"/>
                            <a:ext cx="3017520" cy="1677129"/>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525712"/>
                  <wp:docPr id="8" name="Picture 8"/>
                  <wp:cNvGraphicFramePr>
                    <a:graphicFrameLocks noChangeAspect="1"/>
                  </wp:cNvGraphicFramePr>
                  <a:graphic>
                    <a:graphicData uri="http://schemas.openxmlformats.org/drawingml/2006/picture">
                      <pic:pic>
                        <pic:nvPicPr>
                          <pic:cNvPr id="0" name="figura_08.png"/>
                          <pic:cNvPicPr/>
                        </pic:nvPicPr>
                        <pic:blipFill>
                          <a:blip r:embed="rId18"/>
                          <a:stretch>
                            <a:fillRect/>
                          </a:stretch>
                        </pic:blipFill>
                        <pic:spPr>
                          <a:xfrm>
                            <a:off x="0" y="0"/>
                            <a:ext cx="3017520" cy="1525712"/>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7: Producción Mundial de Aluminio: Participación de los principales países productores.</w:t>
            </w:r>
          </w:p>
        </w:tc>
        <w:tc>
          <w:tcPr>
            <w:tcW w:type="dxa" w:w="4896"/>
            <w:tcMar>
              <w:top w:w="40" w:type="dxa"/>
              <w:bottom w:w="40" w:type="dxa"/>
              <w:left w:w="40" w:type="dxa"/>
              <w:right w:w="40" w:type="dxa"/>
            </w:tcMar>
          </w:tcPr>
          <w:p>
            <w:pPr>
              <w:spacing w:after="80"/>
              <w:jc w:val="left"/>
            </w:pPr>
            <w:r>
              <w:rPr>
                <w:rFonts w:ascii="Georgia" w:hAnsi="Georgia"/>
                <w:color w:val="4A4A4A"/>
                <w:sz w:val="16"/>
              </w:rPr>
              <w:t>Figura 8: Capacidad y Autogeneración: Comparativa de escala y matriz energética propia frente a pares.</w:t>
            </w:r>
          </w:p>
        </w:tc>
      </w:tr>
    </w:tbl>
    <w:p>
      <w:pPr>
        <w:spacing w:after="40"/>
      </w:pP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714258"/>
                  <wp:docPr id="9" name="Picture 9"/>
                  <wp:cNvGraphicFramePr>
                    <a:graphicFrameLocks noChangeAspect="1"/>
                  </wp:cNvGraphicFramePr>
                  <a:graphic>
                    <a:graphicData uri="http://schemas.openxmlformats.org/drawingml/2006/picture">
                      <pic:pic>
                        <pic:nvPicPr>
                          <pic:cNvPr id="0" name="figura_09.png"/>
                          <pic:cNvPicPr/>
                        </pic:nvPicPr>
                        <pic:blipFill>
                          <a:blip r:embed="rId19"/>
                          <a:stretch>
                            <a:fillRect/>
                          </a:stretch>
                        </pic:blipFill>
                        <pic:spPr>
                          <a:xfrm>
                            <a:off x="0" y="0"/>
                            <a:ext cx="3017520" cy="1714258"/>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879353"/>
                  <wp:docPr id="10" name="Picture 10"/>
                  <wp:cNvGraphicFramePr>
                    <a:graphicFrameLocks noChangeAspect="1"/>
                  </wp:cNvGraphicFramePr>
                  <a:graphic>
                    <a:graphicData uri="http://schemas.openxmlformats.org/drawingml/2006/picture">
                      <pic:pic>
                        <pic:nvPicPr>
                          <pic:cNvPr id="0" name="figura_10.png"/>
                          <pic:cNvPicPr/>
                        </pic:nvPicPr>
                        <pic:blipFill>
                          <a:blip r:embed="rId20"/>
                          <a:stretch>
                            <a:fillRect/>
                          </a:stretch>
                        </pic:blipFill>
                        <pic:spPr>
                          <a:xfrm>
                            <a:off x="0" y="0"/>
                            <a:ext cx="3017520" cy="1879353"/>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9: Participación de Mercado Local: Cuota del 60% de Aluar frente al 40% importado.</w:t>
            </w:r>
          </w:p>
        </w:tc>
        <w:tc>
          <w:tcPr>
            <w:tcW w:type="dxa" w:w="4896"/>
            <w:tcMar>
              <w:top w:w="40" w:type="dxa"/>
              <w:bottom w:w="40" w:type="dxa"/>
              <w:left w:w="40" w:type="dxa"/>
              <w:right w:w="40" w:type="dxa"/>
            </w:tcMar>
          </w:tcPr>
          <w:p>
            <w:pPr>
              <w:spacing w:after="80"/>
              <w:jc w:val="left"/>
            </w:pPr>
            <w:r>
              <w:rPr>
                <w:rFonts w:ascii="Georgia" w:hAnsi="Georgia"/>
                <w:color w:val="4A4A4A"/>
                <w:sz w:val="16"/>
              </w:rPr>
              <w:t>Figura 10: Matriz Renovable y Curva C1: Posicionamiento en el primer cuartil de costos de fundición.</w:t>
            </w:r>
          </w:p>
        </w:tc>
      </w:tr>
    </w:tbl>
    <w:p>
      <w:pPr>
        <w:spacing w:after="40"/>
      </w:pPr>
    </w:p>
    <w:p>
      <w:pPr>
        <w:keepNext/>
        <w:spacing w:before="280" w:after="80"/>
        <w:pBrd>
          <w:bottom w:val="single" w:sz="8" w:space="2" w:color="0D233A"/>
        </w:pBrd>
      </w:pPr>
      <w:r>
        <w:rPr>
          <w:rFonts w:ascii="Georgia" w:hAnsi="Georgia"/>
          <w:b/>
          <w:color w:val="0D233A"/>
          <w:sz w:val="26"/>
        </w:rPr>
        <w:t>4. Gobernanza Corporativa, Marco Regulatorio y Factores ESG</w:t>
      </w:r>
    </w:p>
    <w:p>
      <w:pPr>
        <w:keepNext/>
        <w:spacing w:before="200" w:after="60"/>
      </w:pPr>
      <w:r>
        <w:rPr>
          <w:rFonts w:ascii="Georgia" w:hAnsi="Georgia"/>
          <w:b/>
          <w:color w:val="1E3A8A"/>
          <w:sz w:val="22"/>
        </w:rPr>
        <w:t>4.1 Gobierno Corporativo y Transparencia (Ley 26.831 / CNV)</w:t>
      </w:r>
    </w:p>
    <w:p>
      <w:pPr>
        <w:spacing w:before="0" w:after="60" w:line="276" w:lineRule="auto"/>
      </w:pPr>
      <w:r>
        <w:rPr>
          <w:rFonts w:ascii="Georgia" w:hAnsi="Georgia"/>
          <w:color w:val="0F172A"/>
          <w:sz w:val="19"/>
        </w:rPr>
        <w:t>Aluar cotiza en el régimen de oferta pública de la CNV (Resolución General 797/2019). El Directorio está encabezado por Javier Madanes Quintanilla. El Comité de Auditoría cuenta con mayoría de directores independientes según el Art. 109 de la Ley 26.831, dictaminando sobre el sistema de control interno y transacciones con sociedades vinculadas como Hidroeléctrica Futaleufú S.A. (60,2%) y Transpa S.A. (20,4%), celebradas a precios de mercado.</w:t>
      </w:r>
    </w:p>
    <w:p>
      <w:pPr>
        <w:keepNext/>
        <w:spacing w:before="120" w:after="40"/>
      </w:pPr>
      <w:r>
        <w:rPr>
          <w:rFonts w:ascii="Georgia" w:hAnsi="Georgia"/>
          <w:b/>
          <w:color w:val="0D233A"/>
          <w:sz w:val="18"/>
        </w:rPr>
        <w:t>Tabla: Matriz de Evaluación de Factores Ambientales, Sociales y de Gobierno (ESG)</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456"/>
        <w:gridCol w:w="3456"/>
        <w:gridCol w:w="3456"/>
      </w:tblGrid>
      <w:tr>
        <w:tc>
          <w:tcPr>
            <w:tcW w:type="dxa" w:w="2160"/>
            <w:shd w:fill="F1F5F9"/>
            <w:tcMar>
              <w:top w:w="80" w:type="dxa"/>
              <w:bottom w:w="80" w:type="dxa"/>
              <w:left w:w="100" w:type="dxa"/>
              <w:right w:w="100" w:type="dxa"/>
            </w:tcMar>
          </w:tcPr>
          <w:p>
            <w:pPr>
              <w:spacing w:before="60" w:after="60"/>
              <w:jc w:val="left"/>
            </w:pPr>
            <w:r/>
            <w:r>
              <w:rPr>
                <w:rFonts w:ascii="Georgia" w:hAnsi="Georgia"/>
                <w:b/>
                <w:color w:val="0D233A"/>
                <w:sz w:val="17"/>
              </w:rPr>
              <w:t>Dimensión</w:t>
            </w:r>
          </w:p>
        </w:tc>
        <w:tc>
          <w:tcPr>
            <w:tcW w:type="dxa" w:w="4608"/>
            <w:shd w:fill="F1F5F9"/>
            <w:tcMar>
              <w:top w:w="80" w:type="dxa"/>
              <w:bottom w:w="80" w:type="dxa"/>
              <w:left w:w="100" w:type="dxa"/>
              <w:right w:w="100" w:type="dxa"/>
            </w:tcMar>
          </w:tcPr>
          <w:p>
            <w:pPr>
              <w:spacing w:before="60" w:after="60"/>
              <w:jc w:val="right"/>
            </w:pPr>
            <w:r/>
            <w:r>
              <w:rPr>
                <w:rFonts w:ascii="Georgia" w:hAnsi="Georgia"/>
                <w:b/>
                <w:color w:val="0D233A"/>
                <w:sz w:val="17"/>
              </w:rPr>
              <w:t>Indicadores Observables</w:t>
            </w:r>
          </w:p>
        </w:tc>
        <w:tc>
          <w:tcPr>
            <w:tcW w:type="dxa" w:w="3312"/>
            <w:shd w:fill="F1F5F9"/>
            <w:tcMar>
              <w:top w:w="80" w:type="dxa"/>
              <w:bottom w:w="80" w:type="dxa"/>
              <w:left w:w="100" w:type="dxa"/>
              <w:right w:w="100" w:type="dxa"/>
            </w:tcMar>
          </w:tcPr>
          <w:p>
            <w:pPr>
              <w:spacing w:before="60" w:after="60"/>
              <w:jc w:val="right"/>
            </w:pPr>
            <w:r/>
            <w:r>
              <w:rPr>
                <w:rFonts w:ascii="Georgia" w:hAnsi="Georgia"/>
                <w:b/>
                <w:color w:val="0D233A"/>
                <w:sz w:val="17"/>
              </w:rPr>
              <w:t>Evaluación</w:t>
            </w:r>
          </w:p>
        </w:tc>
      </w:tr>
      <w:tr>
        <w:tc>
          <w:tcPr>
            <w:tcW w:type="dxa" w:w="2160"/>
            <w:tcMar>
              <w:top w:w="60" w:type="dxa"/>
              <w:bottom w:w="60" w:type="dxa"/>
              <w:left w:w="100" w:type="dxa"/>
              <w:right w:w="100" w:type="dxa"/>
            </w:tcMar>
          </w:tcPr>
          <w:p>
            <w:pPr>
              <w:spacing w:before="40" w:after="40"/>
              <w:jc w:val="left"/>
            </w:pPr>
            <w:r/>
            <w:r>
              <w:rPr>
                <w:rFonts w:ascii="Georgia" w:hAnsi="Georgia"/>
                <w:color w:val="0F172A"/>
                <w:sz w:val="17"/>
              </w:rPr>
              <w:t>Ambiental (E)</w:t>
            </w:r>
          </w:p>
        </w:tc>
        <w:tc>
          <w:tcPr>
            <w:tcW w:type="dxa" w:w="4608"/>
            <w:tcMar>
              <w:top w:w="60" w:type="dxa"/>
              <w:bottom w:w="60" w:type="dxa"/>
              <w:left w:w="100" w:type="dxa"/>
              <w:right w:w="100" w:type="dxa"/>
            </w:tcMar>
          </w:tcPr>
          <w:p>
            <w:pPr>
              <w:spacing w:before="40" w:after="40"/>
              <w:jc w:val="right"/>
            </w:pPr>
            <w:r/>
            <w:r>
              <w:rPr>
                <w:rFonts w:ascii="Georgia" w:hAnsi="Georgia"/>
                <w:color w:val="0F172A"/>
                <w:sz w:val="17"/>
              </w:rPr>
              <w:t>78% renovable propia. Huella &lt; 4 t CO2/t Al. Certificación ASI en proceso.</w:t>
            </w:r>
          </w:p>
        </w:tc>
        <w:tc>
          <w:tcPr>
            <w:tcW w:type="dxa" w:w="3312"/>
            <w:tcMar>
              <w:top w:w="60" w:type="dxa"/>
              <w:bottom w:w="60" w:type="dxa"/>
              <w:left w:w="100" w:type="dxa"/>
              <w:right w:w="100" w:type="dxa"/>
            </w:tcMar>
          </w:tcPr>
          <w:p>
            <w:pPr>
              <w:spacing w:before="40" w:after="40"/>
              <w:jc w:val="right"/>
            </w:pPr>
            <w:r/>
            <w:r>
              <w:rPr>
                <w:rFonts w:ascii="Georgia" w:hAnsi="Georgia"/>
                <w:color w:val="0F172A"/>
                <w:sz w:val="17"/>
              </w:rPr>
              <w:t>Favorable. Ventaja competitiva frente al mecanismo de ajuste en frontera por carbono (CBAM).</w:t>
            </w:r>
          </w:p>
        </w:tc>
      </w:tr>
      <w:tr>
        <w:tc>
          <w:tcPr>
            <w:tcW w:type="dxa" w:w="2160"/>
            <w:tcMar>
              <w:top w:w="60" w:type="dxa"/>
              <w:bottom w:w="60" w:type="dxa"/>
              <w:left w:w="100" w:type="dxa"/>
              <w:right w:w="100" w:type="dxa"/>
            </w:tcMar>
          </w:tcPr>
          <w:p>
            <w:pPr>
              <w:spacing w:before="40" w:after="40"/>
              <w:jc w:val="left"/>
            </w:pPr>
            <w:r/>
            <w:r>
              <w:rPr>
                <w:rFonts w:ascii="Georgia" w:hAnsi="Georgia"/>
                <w:color w:val="0F172A"/>
                <w:sz w:val="17"/>
              </w:rPr>
              <w:t>Social (S)</w:t>
            </w:r>
          </w:p>
        </w:tc>
        <w:tc>
          <w:tcPr>
            <w:tcW w:type="dxa" w:w="4608"/>
            <w:tcMar>
              <w:top w:w="60" w:type="dxa"/>
              <w:bottom w:w="60" w:type="dxa"/>
              <w:left w:w="100" w:type="dxa"/>
              <w:right w:w="100" w:type="dxa"/>
            </w:tcMar>
          </w:tcPr>
          <w:p>
            <w:pPr>
              <w:spacing w:before="40" w:after="40"/>
              <w:jc w:val="right"/>
            </w:pPr>
            <w:r/>
            <w:r>
              <w:rPr>
                <w:rFonts w:ascii="Georgia" w:hAnsi="Georgia"/>
                <w:color w:val="0F172A"/>
                <w:sz w:val="17"/>
              </w:rPr>
              <w:t>Principal empleador privado en Chubut (&gt; 6.200 puestos directos e indirectos). TRIR &lt; 1,0.</w:t>
            </w:r>
          </w:p>
        </w:tc>
        <w:tc>
          <w:tcPr>
            <w:tcW w:type="dxa" w:w="3312"/>
            <w:tcMar>
              <w:top w:w="60" w:type="dxa"/>
              <w:bottom w:w="60" w:type="dxa"/>
              <w:left w:w="100" w:type="dxa"/>
              <w:right w:w="100" w:type="dxa"/>
            </w:tcMar>
          </w:tcPr>
          <w:p>
            <w:pPr>
              <w:spacing w:before="40" w:after="40"/>
              <w:jc w:val="right"/>
            </w:pPr>
            <w:r/>
            <w:r>
              <w:rPr>
                <w:rFonts w:ascii="Georgia" w:hAnsi="Georgia"/>
                <w:color w:val="0F172A"/>
                <w:sz w:val="17"/>
              </w:rPr>
              <w:t>Adecuada. Estándares de seguridad industrial y baja tasa de siniestralidad.</w:t>
            </w:r>
          </w:p>
        </w:tc>
      </w:tr>
      <w:tr>
        <w:tc>
          <w:tcPr>
            <w:tcW w:type="dxa" w:w="2160"/>
            <w:tcMar>
              <w:top w:w="60" w:type="dxa"/>
              <w:bottom w:w="60" w:type="dxa"/>
              <w:left w:w="100" w:type="dxa"/>
              <w:right w:w="100" w:type="dxa"/>
            </w:tcMar>
          </w:tcPr>
          <w:p>
            <w:pPr>
              <w:spacing w:before="40" w:after="40"/>
              <w:jc w:val="left"/>
            </w:pPr>
            <w:r/>
            <w:r>
              <w:rPr>
                <w:rFonts w:ascii="Georgia" w:hAnsi="Georgia"/>
                <w:color w:val="0F172A"/>
                <w:sz w:val="17"/>
              </w:rPr>
              <w:t>Gobernanza (G)</w:t>
            </w:r>
          </w:p>
        </w:tc>
        <w:tc>
          <w:tcPr>
            <w:tcW w:type="dxa" w:w="4608"/>
            <w:tcMar>
              <w:top w:w="60" w:type="dxa"/>
              <w:bottom w:w="60" w:type="dxa"/>
              <w:left w:w="100" w:type="dxa"/>
              <w:right w:w="100" w:type="dxa"/>
            </w:tcMar>
          </w:tcPr>
          <w:p>
            <w:pPr>
              <w:spacing w:before="40" w:after="40"/>
              <w:jc w:val="right"/>
            </w:pPr>
            <w:r/>
            <w:r>
              <w:rPr>
                <w:rFonts w:ascii="Georgia" w:hAnsi="Georgia"/>
                <w:color w:val="0F172A"/>
                <w:sz w:val="17"/>
              </w:rPr>
              <w:t>Concentración del 45,98% en el grupo de control. Auditoría externa por PwC y comités independientes.</w:t>
            </w:r>
          </w:p>
        </w:tc>
        <w:tc>
          <w:tcPr>
            <w:tcW w:type="dxa" w:w="3312"/>
            <w:tcMar>
              <w:top w:w="60" w:type="dxa"/>
              <w:bottom w:w="60" w:type="dxa"/>
              <w:left w:w="100" w:type="dxa"/>
              <w:right w:w="100" w:type="dxa"/>
            </w:tcMar>
          </w:tcPr>
          <w:p>
            <w:pPr>
              <w:spacing w:before="40" w:after="40"/>
              <w:jc w:val="right"/>
            </w:pPr>
            <w:r/>
            <w:r>
              <w:rPr>
                <w:rFonts w:ascii="Georgia" w:hAnsi="Georgia"/>
                <w:color w:val="0F172A"/>
                <w:sz w:val="17"/>
              </w:rPr>
              <w:t>Estable. Continuidad estratégica con flotante del 54,02%.</w:t>
            </w:r>
          </w:p>
        </w:tc>
      </w:tr>
    </w:tbl>
    <w:p>
      <w:pPr>
        <w:spacing w:after="80"/>
      </w:pPr>
    </w:p>
    <w:p>
      <w:pPr>
        <w:keepNext/>
        <w:spacing w:before="200" w:after="60"/>
      </w:pPr>
      <w:r>
        <w:rPr>
          <w:rFonts w:ascii="Georgia" w:hAnsi="Georgia"/>
          <w:b/>
          <w:color w:val="1E3A8A"/>
          <w:sz w:val="22"/>
        </w:rPr>
        <w:t>4.2 Impacto del Ajuste de Carbono en Frontera (CBAM de la Unión Europea)</w:t>
      </w:r>
    </w:p>
    <w:p>
      <w:pPr>
        <w:spacing w:before="0" w:after="60" w:line="276" w:lineRule="auto"/>
      </w:pPr>
      <w:r>
        <w:rPr>
          <w:rFonts w:ascii="Georgia" w:hAnsi="Georgia"/>
          <w:color w:val="0F172A"/>
          <w:sz w:val="19"/>
        </w:rPr>
        <w:t>La reducida huella de carbono de Aluar (&lt; 4 t CO2/t Al) frente al promedio de la industria (~ 11 t CO2/t) le otorga una ventaja arancelaria neta estimada en USD 80–120 por tonelada bajo el esquema CBAM de la Unión Europea frente a productores alimentados con fuentes fósiles.</w:t>
      </w:r>
    </w:p>
    <w:p>
      <w:pPr>
        <w:keepNext/>
        <w:spacing w:before="280" w:after="80"/>
        <w:pBrd>
          <w:bottom w:val="single" w:sz="8" w:space="2" w:color="0D233A"/>
        </w:pBrd>
      </w:pPr>
      <w:r>
        <w:rPr>
          <w:rFonts w:ascii="Georgia" w:hAnsi="Georgia"/>
          <w:b/>
          <w:color w:val="0D233A"/>
          <w:sz w:val="26"/>
        </w:rPr>
        <w:t>5. Valuación Relativa y Dinámica de Desapalancamiento Post-CAPEX</w:t>
      </w:r>
    </w:p>
    <w:p>
      <w:pPr>
        <w:keepNext/>
        <w:spacing w:before="200" w:after="60"/>
      </w:pPr>
      <w:r>
        <w:rPr>
          <w:rFonts w:ascii="Georgia" w:hAnsi="Georgia"/>
          <w:b/>
          <w:color w:val="1E3A8A"/>
          <w:sz w:val="22"/>
        </w:rPr>
        <w:t>5.1 Comparación de Múltiplos LTM y Forward</w:t>
      </w:r>
    </w:p>
    <w:p>
      <w:pPr>
        <w:spacing w:before="0" w:after="60" w:line="276" w:lineRule="auto"/>
      </w:pPr>
      <w:r>
        <w:rPr>
          <w:rFonts w:ascii="Georgia" w:hAnsi="Georgia"/>
          <w:color w:val="0F172A"/>
          <w:sz w:val="19"/>
        </w:rPr>
        <w:t>Aluar cotiza a un múltiplo EV/EBITDA LTM de 13,4x sobre el resultado deprimido de FY2025 (USD 163,3 MM). Al normalizar la proyección sobre el EBITDA estimado de FY2026E (USD 391,2 MM), el múltiplo implícito desciende a 5,2x EV/EBITDA Forward, situando a la firma con un descuento del 20%–25% frente a comparables internacionales como Alcoa (8,1x) y Norsk Hydro (6,5x).</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768243"/>
                  <wp:docPr id="11" name="Picture 11"/>
                  <wp:cNvGraphicFramePr>
                    <a:graphicFrameLocks noChangeAspect="1"/>
                  </wp:cNvGraphicFramePr>
                  <a:graphic>
                    <a:graphicData uri="http://schemas.openxmlformats.org/drawingml/2006/picture">
                      <pic:pic>
                        <pic:nvPicPr>
                          <pic:cNvPr id="0" name="figura_11.png"/>
                          <pic:cNvPicPr/>
                        </pic:nvPicPr>
                        <pic:blipFill>
                          <a:blip r:embed="rId21"/>
                          <a:stretch>
                            <a:fillRect/>
                          </a:stretch>
                        </pic:blipFill>
                        <pic:spPr>
                          <a:xfrm>
                            <a:off x="0" y="0"/>
                            <a:ext cx="3017520" cy="1768243"/>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606881"/>
                  <wp:docPr id="12" name="Picture 12"/>
                  <wp:cNvGraphicFramePr>
                    <a:graphicFrameLocks noChangeAspect="1"/>
                  </wp:cNvGraphicFramePr>
                  <a:graphic>
                    <a:graphicData uri="http://schemas.openxmlformats.org/drawingml/2006/picture">
                      <pic:pic>
                        <pic:nvPicPr>
                          <pic:cNvPr id="0" name="figura_12.png"/>
                          <pic:cNvPicPr/>
                        </pic:nvPicPr>
                        <pic:blipFill>
                          <a:blip r:embed="rId22"/>
                          <a:stretch>
                            <a:fillRect/>
                          </a:stretch>
                        </pic:blipFill>
                        <pic:spPr>
                          <a:xfrm>
                            <a:off x="0" y="0"/>
                            <a:ext cx="3017520" cy="1606881"/>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11: EV/EBITDA vs. Margen: Ubicación de Aluar frente a pares internacionales (Alcoa, Hydro, Chalco).</w:t>
            </w:r>
          </w:p>
        </w:tc>
        <w:tc>
          <w:tcPr>
            <w:tcW w:type="dxa" w:w="4896"/>
            <w:tcMar>
              <w:top w:w="40" w:type="dxa"/>
              <w:bottom w:w="40" w:type="dxa"/>
              <w:left w:w="40" w:type="dxa"/>
              <w:right w:w="40" w:type="dxa"/>
            </w:tcMar>
          </w:tcPr>
          <w:p>
            <w:pPr>
              <w:spacing w:after="80"/>
              <w:jc w:val="left"/>
            </w:pPr>
            <w:r>
              <w:rPr>
                <w:rFonts w:ascii="Georgia" w:hAnsi="Georgia"/>
                <w:color w:val="4A4A4A"/>
                <w:sz w:val="16"/>
              </w:rPr>
              <w:t>Figura 12: EBITDA Histórico y Proyectado: Recuperación operativa y desapalancamiento tras el pico de CAPEX.</w:t>
            </w:r>
          </w:p>
        </w:tc>
      </w:tr>
    </w:tbl>
    <w:p>
      <w:pPr>
        <w:spacing w:after="40"/>
      </w:pPr>
    </w:p>
    <w:p>
      <w:pPr>
        <w:keepNext/>
        <w:spacing w:before="200" w:after="60"/>
      </w:pPr>
      <w:r>
        <w:rPr>
          <w:rFonts w:ascii="Georgia" w:hAnsi="Georgia"/>
          <w:b/>
          <w:color w:val="1E3A8A"/>
          <w:sz w:val="22"/>
        </w:rPr>
        <w:t>5.2 Trayectoria de Desapalancamiento Financiero</w:t>
      </w:r>
    </w:p>
    <w:p>
      <w:pPr>
        <w:spacing w:before="0" w:after="60" w:line="276" w:lineRule="auto"/>
      </w:pPr>
      <w:r>
        <w:rPr>
          <w:rFonts w:ascii="Georgia" w:hAnsi="Georgia"/>
          <w:color w:val="0F172A"/>
          <w:sz w:val="19"/>
        </w:rPr>
        <w:t>El desembolso en bienes de uso durante FY2025 (USD 243,9 MM) elevó la Deuda Neta a USD 525,8 MM (3,22x EBITDA). Con la moderación de inversiones hacia niveles de mantenimiento (~USD 90–103 MM/año), el flujo libre de caja proyectado permite recomprimir la Deuda Neta / EBITDA a &lt;1,0x hacia FY2028E.</w:t>
      </w:r>
    </w:p>
    <w:p>
      <w:pPr>
        <w:keepNext/>
        <w:spacing w:before="120" w:after="40"/>
      </w:pPr>
      <w:r>
        <w:rPr>
          <w:rFonts w:ascii="Georgia" w:hAnsi="Georgia"/>
          <w:b/>
          <w:color w:val="0D233A"/>
          <w:sz w:val="18"/>
        </w:rPr>
        <w:t>Tabla: Múltiplos Financieros de Empresas Comparables del Sector (julio-2026)</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074"/>
        <w:gridCol w:w="2074"/>
        <w:gridCol w:w="2074"/>
        <w:gridCol w:w="2074"/>
        <w:gridCol w:w="2074"/>
      </w:tblGrid>
      <w:tr>
        <w:tc>
          <w:tcPr>
            <w:tcW w:type="dxa" w:w="3600"/>
            <w:shd w:fill="F1F5F9"/>
            <w:tcMar>
              <w:top w:w="80" w:type="dxa"/>
              <w:bottom w:w="80" w:type="dxa"/>
              <w:left w:w="100" w:type="dxa"/>
              <w:right w:w="100" w:type="dxa"/>
            </w:tcMar>
          </w:tcPr>
          <w:p>
            <w:pPr>
              <w:spacing w:before="60" w:after="60"/>
              <w:jc w:val="left"/>
            </w:pPr>
            <w:r/>
            <w:r>
              <w:rPr>
                <w:rFonts w:ascii="Georgia" w:hAnsi="Georgia"/>
                <w:b/>
                <w:color w:val="0D233A"/>
                <w:sz w:val="17"/>
              </w:rPr>
              <w:t>Compañía</w:t>
            </w:r>
          </w:p>
        </w:tc>
        <w:tc>
          <w:tcPr>
            <w:tcW w:type="dxa" w:w="1728"/>
            <w:shd w:fill="F1F5F9"/>
            <w:tcMar>
              <w:top w:w="80" w:type="dxa"/>
              <w:bottom w:w="80" w:type="dxa"/>
              <w:left w:w="100" w:type="dxa"/>
              <w:right w:w="100" w:type="dxa"/>
            </w:tcMar>
          </w:tcPr>
          <w:p>
            <w:pPr>
              <w:spacing w:before="60" w:after="60"/>
              <w:jc w:val="right"/>
            </w:pPr>
            <w:r/>
            <w:r>
              <w:rPr>
                <w:rFonts w:ascii="Georgia" w:hAnsi="Georgia"/>
                <w:b/>
                <w:color w:val="0D233A"/>
                <w:sz w:val="17"/>
              </w:rPr>
              <w:t>Ticker</w:t>
            </w:r>
          </w:p>
        </w:tc>
        <w:tc>
          <w:tcPr>
            <w:tcW w:type="dxa" w:w="1728"/>
            <w:shd w:fill="F1F5F9"/>
            <w:tcMar>
              <w:top w:w="80" w:type="dxa"/>
              <w:bottom w:w="80" w:type="dxa"/>
              <w:left w:w="100" w:type="dxa"/>
              <w:right w:w="100" w:type="dxa"/>
            </w:tcMar>
          </w:tcPr>
          <w:p>
            <w:pPr>
              <w:spacing w:before="60" w:after="60"/>
              <w:jc w:val="right"/>
            </w:pPr>
            <w:r/>
            <w:r>
              <w:rPr>
                <w:rFonts w:ascii="Georgia" w:hAnsi="Georgia"/>
                <w:b/>
                <w:color w:val="0D233A"/>
                <w:sz w:val="17"/>
              </w:rPr>
              <w:t>EV/EBITDA (x)</w:t>
            </w:r>
          </w:p>
        </w:tc>
        <w:tc>
          <w:tcPr>
            <w:tcW w:type="dxa" w:w="1584"/>
            <w:shd w:fill="F1F5F9"/>
            <w:tcMar>
              <w:top w:w="80" w:type="dxa"/>
              <w:bottom w:w="80" w:type="dxa"/>
              <w:left w:w="100" w:type="dxa"/>
              <w:right w:w="100" w:type="dxa"/>
            </w:tcMar>
          </w:tcPr>
          <w:p>
            <w:pPr>
              <w:spacing w:before="60" w:after="60"/>
              <w:jc w:val="right"/>
            </w:pPr>
            <w:r/>
            <w:r>
              <w:rPr>
                <w:rFonts w:ascii="Georgia" w:hAnsi="Georgia"/>
                <w:b/>
                <w:color w:val="0D233A"/>
                <w:sz w:val="17"/>
              </w:rPr>
              <w:t>Margen EBITDA</w:t>
            </w:r>
          </w:p>
        </w:tc>
        <w:tc>
          <w:tcPr>
            <w:tcW w:type="dxa" w:w="1440"/>
            <w:shd w:fill="F1F5F9"/>
            <w:tcMar>
              <w:top w:w="80" w:type="dxa"/>
              <w:bottom w:w="80" w:type="dxa"/>
              <w:left w:w="100" w:type="dxa"/>
              <w:right w:w="100" w:type="dxa"/>
            </w:tcMar>
          </w:tcPr>
          <w:p>
            <w:pPr>
              <w:spacing w:before="60" w:after="60"/>
              <w:jc w:val="right"/>
            </w:pPr>
            <w:r/>
            <w:r>
              <w:rPr>
                <w:rFonts w:ascii="Georgia" w:hAnsi="Georgia"/>
                <w:b/>
                <w:color w:val="0D233A"/>
                <w:sz w:val="17"/>
              </w:rPr>
              <w:t>Deuda Neta/EBITDA</w:t>
            </w:r>
          </w:p>
        </w:tc>
      </w:tr>
      <w:tr>
        <w:tc>
          <w:tcPr>
            <w:tcW w:type="dxa" w:w="3600"/>
            <w:tcMar>
              <w:top w:w="60" w:type="dxa"/>
              <w:bottom w:w="60" w:type="dxa"/>
              <w:left w:w="100" w:type="dxa"/>
              <w:right w:w="100" w:type="dxa"/>
            </w:tcMar>
          </w:tcPr>
          <w:p>
            <w:pPr>
              <w:spacing w:before="40" w:after="40"/>
              <w:jc w:val="left"/>
            </w:pPr>
            <w:r/>
            <w:r>
              <w:rPr>
                <w:rFonts w:ascii="Georgia" w:hAnsi="Georgia"/>
                <w:color w:val="0F172A"/>
                <w:sz w:val="17"/>
              </w:rPr>
              <w:t>Aluar S.A.I.C. (LTM / Fwd)</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ALUA.BA</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13,4x / 5,2x</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14,9%</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3,22x</w:t>
            </w:r>
          </w:p>
        </w:tc>
      </w:tr>
      <w:tr>
        <w:tc>
          <w:tcPr>
            <w:tcW w:type="dxa" w:w="3600"/>
            <w:tcMar>
              <w:top w:w="60" w:type="dxa"/>
              <w:bottom w:w="60" w:type="dxa"/>
              <w:left w:w="100" w:type="dxa"/>
              <w:right w:w="100" w:type="dxa"/>
            </w:tcMar>
          </w:tcPr>
          <w:p>
            <w:pPr>
              <w:spacing w:before="40" w:after="40"/>
              <w:jc w:val="left"/>
            </w:pPr>
            <w:r/>
            <w:r>
              <w:rPr>
                <w:rFonts w:ascii="Georgia" w:hAnsi="Georgia"/>
                <w:color w:val="0F172A"/>
                <w:sz w:val="17"/>
              </w:rPr>
              <w:t>Alcoa Corp.</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AA</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8,1x</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9,2%</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2,10x</w:t>
            </w:r>
          </w:p>
        </w:tc>
      </w:tr>
      <w:tr>
        <w:tc>
          <w:tcPr>
            <w:tcW w:type="dxa" w:w="3600"/>
            <w:tcMar>
              <w:top w:w="60" w:type="dxa"/>
              <w:bottom w:w="60" w:type="dxa"/>
              <w:left w:w="100" w:type="dxa"/>
              <w:right w:w="100" w:type="dxa"/>
            </w:tcMar>
          </w:tcPr>
          <w:p>
            <w:pPr>
              <w:spacing w:before="40" w:after="40"/>
              <w:jc w:val="left"/>
            </w:pPr>
            <w:r/>
            <w:r>
              <w:rPr>
                <w:rFonts w:ascii="Georgia" w:hAnsi="Georgia"/>
                <w:color w:val="0F172A"/>
                <w:sz w:val="17"/>
              </w:rPr>
              <w:t>Norsk Hydro</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NHY.OL</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6,5x</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11,4%</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1,40x</w:t>
            </w:r>
          </w:p>
        </w:tc>
      </w:tr>
      <w:tr>
        <w:tc>
          <w:tcPr>
            <w:tcW w:type="dxa" w:w="3600"/>
            <w:tcMar>
              <w:top w:w="60" w:type="dxa"/>
              <w:bottom w:w="60" w:type="dxa"/>
              <w:left w:w="100" w:type="dxa"/>
              <w:right w:w="100" w:type="dxa"/>
            </w:tcMar>
          </w:tcPr>
          <w:p>
            <w:pPr>
              <w:spacing w:before="40" w:after="40"/>
              <w:jc w:val="left"/>
            </w:pPr>
            <w:r/>
            <w:r>
              <w:rPr>
                <w:rFonts w:ascii="Georgia" w:hAnsi="Georgia"/>
                <w:color w:val="0F172A"/>
                <w:sz w:val="17"/>
              </w:rPr>
              <w:t>Chalco</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2600.HK</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5,8x</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8,8%</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3,80x</w:t>
            </w:r>
          </w:p>
        </w:tc>
      </w:tr>
      <w:tr>
        <w:tc>
          <w:tcPr>
            <w:tcW w:type="dxa" w:w="3600"/>
            <w:tcMar>
              <w:top w:w="60" w:type="dxa"/>
              <w:bottom w:w="60" w:type="dxa"/>
              <w:left w:w="100" w:type="dxa"/>
              <w:right w:w="100" w:type="dxa"/>
            </w:tcMar>
          </w:tcPr>
          <w:p>
            <w:pPr>
              <w:spacing w:before="40" w:after="40"/>
              <w:jc w:val="left"/>
            </w:pPr>
            <w:r/>
            <w:r>
              <w:rPr>
                <w:rFonts w:ascii="Georgia" w:hAnsi="Georgia"/>
                <w:color w:val="0F172A"/>
                <w:sz w:val="17"/>
              </w:rPr>
              <w:t>Mediana de Pares</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6,5x</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9,2%</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2,10x</w:t>
            </w:r>
          </w:p>
        </w:tc>
      </w:tr>
    </w:tbl>
    <w:p>
      <w:pPr>
        <w:spacing w:after="80"/>
      </w:pPr>
    </w:p>
    <w:p>
      <w:pPr>
        <w:keepNext/>
        <w:spacing w:before="280" w:after="80"/>
        <w:pBrd>
          <w:bottom w:val="single" w:sz="8" w:space="2" w:color="0D233A"/>
        </w:pBrd>
      </w:pPr>
      <w:r>
        <w:rPr>
          <w:rFonts w:ascii="Georgia" w:hAnsi="Georgia"/>
          <w:b/>
          <w:color w:val="0D233A"/>
          <w:sz w:val="26"/>
        </w:rPr>
        <w:t>6. Costo Promedio Ponderado del Capital (WACC) y Factor λ</w:t>
      </w:r>
    </w:p>
    <w:p>
      <w:pPr>
        <w:keepNext/>
        <w:spacing w:before="200" w:after="60"/>
      </w:pPr>
      <w:r>
        <w:rPr>
          <w:rFonts w:ascii="Georgia" w:hAnsi="Georgia"/>
          <w:b/>
          <w:color w:val="1E3A8A"/>
          <w:sz w:val="22"/>
        </w:rPr>
        <w:t>6.1 Formulación y Estimación del WACC</w:t>
      </w:r>
    </w:p>
    <w:p>
      <w:pPr>
        <w:spacing w:before="80" w:after="80"/>
        <w:jc w:val="center"/>
      </w:pPr>
      <w:r>
        <w:rPr>
          <w:rFonts w:ascii="Cambria Math" w:hAnsi="Cambria Math"/>
          <w:b/>
          <w:color w:val="0D233A"/>
          <w:sz w:val="21"/>
        </w:rPr>
        <w:t xml:space="preserve">   WACC = Ke × (E / V) + Kd × (1 - t) × (D / V)   </w:t>
      </w:r>
      <w:r>
        <w:rPr>
          <w:rFonts w:ascii="Georgia" w:hAnsi="Georgia"/>
          <w:i/>
          <w:color w:val="4A4A4A"/>
          <w:sz w:val="18"/>
        </w:rPr>
        <w:t xml:space="preserve">    (Formulación WACC)</w:t>
      </w:r>
    </w:p>
    <w:p>
      <w:pPr>
        <w:spacing w:before="80" w:after="80"/>
        <w:jc w:val="center"/>
      </w:pPr>
      <w:r>
        <w:rPr>
          <w:rFonts w:ascii="Cambria Math" w:hAnsi="Cambria Math"/>
          <w:b/>
          <w:color w:val="0D233A"/>
          <w:sz w:val="21"/>
        </w:rPr>
        <w:t xml:space="preserve">   WACC = 9,30% × 0,6729 + 3,80% × (1 - 0,35) × 0,3271 = 6,26% + 0,81% = 7,06%   </w:t>
      </w:r>
      <w:r>
        <w:rPr>
          <w:rFonts w:ascii="Georgia" w:hAnsi="Georgia"/>
          <w:i/>
          <w:color w:val="4A4A4A"/>
          <w:sz w:val="18"/>
        </w:rPr>
        <w:t xml:space="preserve">    (Cálculo del WACC)</w:t>
      </w:r>
    </w:p>
    <w:p>
      <w:pPr>
        <w:keepNext/>
        <w:spacing w:before="200" w:after="60"/>
      </w:pPr>
      <w:r>
        <w:rPr>
          <w:rFonts w:ascii="Georgia" w:hAnsi="Georgia"/>
          <w:b/>
          <w:color w:val="1E3A8A"/>
          <w:sz w:val="22"/>
        </w:rPr>
        <w:t>6.2 Deducción del Beta en Cuatro Pasos (OLS → Blume → Hamada)</w:t>
      </w:r>
    </w:p>
    <w:p>
      <w:pPr>
        <w:spacing w:before="0" w:after="60" w:line="276" w:lineRule="auto"/>
      </w:pPr>
      <w:r>
        <w:rPr>
          <w:rFonts w:ascii="Georgia" w:hAnsi="Georgia"/>
          <w:color w:val="0F172A"/>
          <w:sz w:val="19"/>
        </w:rPr>
        <w:t>1. Beta OLS Histórico: Regresión lineal diaria de 10 años (N=2.376 ruedas) de ALUA (en USD CCL) contra el índice S&amp;P 500 arrojó β_OLS = 0,8420 (SE = 0,0563, R² = 8,60%).</w:t>
      </w:r>
    </w:p>
    <w:p>
      <w:pPr>
        <w:spacing w:before="0" w:after="60" w:line="276" w:lineRule="auto"/>
      </w:pPr>
      <w:r>
        <w:rPr>
          <w:rFonts w:ascii="Georgia" w:hAnsi="Georgia"/>
          <w:color w:val="0F172A"/>
          <w:sz w:val="19"/>
        </w:rPr>
        <w:t>2. Ajuste de Blume (1975): Corrección por reversión a la media del riesgo sistemático: β_Blume = (2/3) × 0,8420 + 1/3 = 0,8947.</w:t>
      </w:r>
    </w:p>
    <w:p>
      <w:pPr>
        <w:spacing w:before="0" w:after="60" w:line="276" w:lineRule="auto"/>
      </w:pPr>
      <w:r>
        <w:rPr>
          <w:rFonts w:ascii="Georgia" w:hAnsi="Georgia"/>
          <w:color w:val="0F172A"/>
          <w:sz w:val="19"/>
        </w:rPr>
        <w:t>3. Desapalancamiento por Hamada (1972): Con el ratio D/E histórico mediano (0,5036): β_U = 0,8947 / [1 + (1 - 0,35) × 0,5036] = 0,6745.</w:t>
      </w:r>
    </w:p>
    <w:p>
      <w:pPr>
        <w:spacing w:before="0" w:after="60" w:line="276" w:lineRule="auto"/>
      </w:pPr>
      <w:r>
        <w:rPr>
          <w:rFonts w:ascii="Georgia" w:hAnsi="Georgia"/>
          <w:color w:val="0F172A"/>
          <w:sz w:val="19"/>
        </w:rPr>
        <w:t>4. Reapalancamiento al D/E Objetivo (0,4860): β_L = 0,6745 × [1 + (1 - 0,35) × 0,4860] = 0,8876.</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588528"/>
                  <wp:docPr id="13" name="Picture 13"/>
                  <wp:cNvGraphicFramePr>
                    <a:graphicFrameLocks noChangeAspect="1"/>
                  </wp:cNvGraphicFramePr>
                  <a:graphic>
                    <a:graphicData uri="http://schemas.openxmlformats.org/drawingml/2006/picture">
                      <pic:pic>
                        <pic:nvPicPr>
                          <pic:cNvPr id="0" name="figura_13.png"/>
                          <pic:cNvPicPr/>
                        </pic:nvPicPr>
                        <pic:blipFill>
                          <a:blip r:embed="rId23"/>
                          <a:stretch>
                            <a:fillRect/>
                          </a:stretch>
                        </pic:blipFill>
                        <pic:spPr>
                          <a:xfrm>
                            <a:off x="0" y="0"/>
                            <a:ext cx="3017520" cy="1588528"/>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709851"/>
                  <wp:docPr id="14" name="Picture 14"/>
                  <wp:cNvGraphicFramePr>
                    <a:graphicFrameLocks noChangeAspect="1"/>
                  </wp:cNvGraphicFramePr>
                  <a:graphic>
                    <a:graphicData uri="http://schemas.openxmlformats.org/drawingml/2006/picture">
                      <pic:pic>
                        <pic:nvPicPr>
                          <pic:cNvPr id="0" name="figura_14.png"/>
                          <pic:cNvPicPr/>
                        </pic:nvPicPr>
                        <pic:blipFill>
                          <a:blip r:embed="rId24"/>
                          <a:stretch>
                            <a:fillRect/>
                          </a:stretch>
                        </pic:blipFill>
                        <pic:spPr>
                          <a:xfrm>
                            <a:off x="0" y="0"/>
                            <a:ext cx="3017520" cy="1709851"/>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13: Secuencia del Beta: OLS (0,842) → Blume (0,895) → Desapalancado (0,675) → Hamada (β_L = 0,8876).</w:t>
            </w:r>
          </w:p>
        </w:tc>
        <w:tc>
          <w:tcPr>
            <w:tcW w:type="dxa" w:w="4896"/>
            <w:tcMar>
              <w:top w:w="40" w:type="dxa"/>
              <w:bottom w:w="40" w:type="dxa"/>
              <w:left w:w="40" w:type="dxa"/>
              <w:right w:w="40" w:type="dxa"/>
            </w:tcMar>
          </w:tcPr>
          <w:p>
            <w:pPr>
              <w:spacing w:after="80"/>
              <w:jc w:val="left"/>
            </w:pPr>
            <w:r>
              <w:rPr>
                <w:rFonts w:ascii="Georgia" w:hAnsi="Georgia"/>
                <w:color w:val="4A4A4A"/>
                <w:sz w:val="16"/>
              </w:rPr>
              <w:t>Figura 14: Composición del WACC: Costo del equity Ke = 9,30%, deuda post-tax Kd = 2,47%, resultando en 7,06%.</w:t>
            </w:r>
          </w:p>
        </w:tc>
      </w:tr>
    </w:tbl>
    <w:p>
      <w:pPr>
        <w:spacing w:after="40"/>
      </w:pPr>
    </w:p>
    <w:p>
      <w:pPr>
        <w:keepNext/>
        <w:spacing w:before="200" w:after="60"/>
      </w:pPr>
      <w:r>
        <w:rPr>
          <w:rFonts w:ascii="Georgia" w:hAnsi="Georgia"/>
          <w:b/>
          <w:color w:val="1E3A8A"/>
          <w:sz w:val="22"/>
        </w:rPr>
        <w:t>6.3 Fundamentación del Factor de Exposición Soberana λ = 0,20</w:t>
      </w:r>
    </w:p>
    <w:p>
      <w:pPr>
        <w:spacing w:before="80" w:after="80"/>
        <w:jc w:val="center"/>
      </w:pPr>
      <w:r>
        <w:rPr>
          <w:rFonts w:ascii="Cambria Math" w:hAnsi="Cambria Math"/>
          <w:b/>
          <w:color w:val="0D233A"/>
          <w:sz w:val="21"/>
        </w:rPr>
        <w:t xml:space="preserve">   Ke = Rf + β_L × ERP + λ × EMBI+ = 4,70% + 0,8876 × 4,18% + 0,20 × 4,41% = 9,30%   </w:t>
      </w:r>
      <w:r>
        <w:rPr>
          <w:rFonts w:ascii="Georgia" w:hAnsi="Georgia"/>
          <w:i/>
          <w:color w:val="4A4A4A"/>
          <w:sz w:val="18"/>
        </w:rPr>
        <w:t xml:space="preserve">    (CAPM con Factor λ)</w:t>
      </w:r>
    </w:p>
    <w:p>
      <w:pPr>
        <w:spacing w:before="0" w:after="60" w:line="276" w:lineRule="auto"/>
      </w:pPr>
      <w:r>
        <w:rPr>
          <w:rFonts w:ascii="Georgia" w:hAnsi="Georgia"/>
          <w:color w:val="0F172A"/>
          <w:sz w:val="19"/>
        </w:rPr>
        <w:t>El factor λ = 0,20 equivale a la porción de ventas colocadas en el mercado doméstico (20%). Puesto que el 80% restante se exporta a cotizaciones LME y los costos operativos fijos están denominados en pesos (salarios e insumos locales), los ajustes cambiarios licúan costos en dólares, actuando como cobertura natural frente al riesgo país.</w:t>
      </w:r>
    </w:p>
    <w:p>
      <w:pPr>
        <w:keepNext/>
        <w:spacing w:before="120" w:after="40"/>
      </w:pPr>
      <w:r>
        <w:rPr>
          <w:rFonts w:ascii="Georgia" w:hAnsi="Georgia"/>
          <w:b/>
          <w:color w:val="0D233A"/>
          <w:sz w:val="18"/>
        </w:rPr>
        <w:t>Tabla: Sensibilidad del Costo de Capital y Precio Objetivo ante Variaciones en λ</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074"/>
        <w:gridCol w:w="2074"/>
        <w:gridCol w:w="2074"/>
        <w:gridCol w:w="2074"/>
        <w:gridCol w:w="2074"/>
      </w:tblGrid>
      <w:tr>
        <w:tc>
          <w:tcPr>
            <w:tcW w:type="dxa" w:w="3744"/>
            <w:shd w:fill="F1F5F9"/>
            <w:tcMar>
              <w:top w:w="80" w:type="dxa"/>
              <w:bottom w:w="80" w:type="dxa"/>
              <w:left w:w="100" w:type="dxa"/>
              <w:right w:w="100" w:type="dxa"/>
            </w:tcMar>
          </w:tcPr>
          <w:p>
            <w:pPr>
              <w:spacing w:before="60" w:after="60"/>
              <w:jc w:val="left"/>
            </w:pPr>
            <w:r/>
            <w:r>
              <w:rPr>
                <w:rFonts w:ascii="Georgia" w:hAnsi="Georgia"/>
                <w:b/>
                <w:color w:val="0D233A"/>
                <w:sz w:val="17"/>
              </w:rPr>
              <w:t>Parámetro de Riesgo País</w:t>
            </w:r>
          </w:p>
        </w:tc>
        <w:tc>
          <w:tcPr>
            <w:tcW w:type="dxa" w:w="1584"/>
            <w:shd w:fill="F1F5F9"/>
            <w:tcMar>
              <w:top w:w="80" w:type="dxa"/>
              <w:bottom w:w="80" w:type="dxa"/>
              <w:left w:w="100" w:type="dxa"/>
              <w:right w:w="100" w:type="dxa"/>
            </w:tcMar>
          </w:tcPr>
          <w:p>
            <w:pPr>
              <w:spacing w:before="60" w:after="60"/>
              <w:jc w:val="right"/>
            </w:pPr>
            <w:r/>
            <w:r>
              <w:rPr>
                <w:rFonts w:ascii="Georgia" w:hAnsi="Georgia"/>
                <w:b/>
                <w:color w:val="0D233A"/>
                <w:sz w:val="17"/>
              </w:rPr>
              <w:t>λ = 0,20 (Caso Base)</w:t>
            </w:r>
          </w:p>
        </w:tc>
        <w:tc>
          <w:tcPr>
            <w:tcW w:type="dxa" w:w="1584"/>
            <w:shd w:fill="F1F5F9"/>
            <w:tcMar>
              <w:top w:w="80" w:type="dxa"/>
              <w:bottom w:w="80" w:type="dxa"/>
              <w:left w:w="100" w:type="dxa"/>
              <w:right w:w="100" w:type="dxa"/>
            </w:tcMar>
          </w:tcPr>
          <w:p>
            <w:pPr>
              <w:spacing w:before="60" w:after="60"/>
              <w:jc w:val="right"/>
            </w:pPr>
            <w:r/>
            <w:r>
              <w:rPr>
                <w:rFonts w:ascii="Georgia" w:hAnsi="Georgia"/>
                <w:b/>
                <w:color w:val="0D233A"/>
                <w:sz w:val="17"/>
              </w:rPr>
              <w:t>λ = 0,50</w:t>
            </w:r>
          </w:p>
        </w:tc>
        <w:tc>
          <w:tcPr>
            <w:tcW w:type="dxa" w:w="1584"/>
            <w:shd w:fill="F1F5F9"/>
            <w:tcMar>
              <w:top w:w="80" w:type="dxa"/>
              <w:bottom w:w="80" w:type="dxa"/>
              <w:left w:w="100" w:type="dxa"/>
              <w:right w:w="100" w:type="dxa"/>
            </w:tcMar>
          </w:tcPr>
          <w:p>
            <w:pPr>
              <w:spacing w:before="60" w:after="60"/>
              <w:jc w:val="right"/>
            </w:pPr>
            <w:r/>
            <w:r>
              <w:rPr>
                <w:rFonts w:ascii="Georgia" w:hAnsi="Georgia"/>
                <w:b/>
                <w:color w:val="0D233A"/>
                <w:sz w:val="17"/>
              </w:rPr>
              <w:t>λ = 0,75</w:t>
            </w:r>
          </w:p>
        </w:tc>
        <w:tc>
          <w:tcPr>
            <w:tcW w:type="dxa" w:w="1584"/>
            <w:shd w:fill="F1F5F9"/>
            <w:tcMar>
              <w:top w:w="80" w:type="dxa"/>
              <w:bottom w:w="80" w:type="dxa"/>
              <w:left w:w="100" w:type="dxa"/>
              <w:right w:w="100" w:type="dxa"/>
            </w:tcMar>
          </w:tcPr>
          <w:p>
            <w:pPr>
              <w:spacing w:before="60" w:after="60"/>
              <w:jc w:val="right"/>
            </w:pPr>
            <w:r/>
            <w:r>
              <w:rPr>
                <w:rFonts w:ascii="Georgia" w:hAnsi="Georgia"/>
                <w:b/>
                <w:color w:val="0D233A"/>
                <w:sz w:val="17"/>
              </w:rPr>
              <w:t>λ = 1,00 (Sin Cobertura)</w:t>
            </w:r>
          </w:p>
        </w:tc>
      </w:tr>
      <w:tr>
        <w:tc>
          <w:tcPr>
            <w:tcW w:type="dxa" w:w="3744"/>
            <w:tcMar>
              <w:top w:w="60" w:type="dxa"/>
              <w:bottom w:w="60" w:type="dxa"/>
              <w:left w:w="100" w:type="dxa"/>
              <w:right w:w="100" w:type="dxa"/>
            </w:tcMar>
          </w:tcPr>
          <w:p>
            <w:pPr>
              <w:spacing w:before="40" w:after="40"/>
              <w:jc w:val="left"/>
            </w:pPr>
            <w:r/>
            <w:r>
              <w:rPr>
                <w:rFonts w:ascii="Georgia" w:hAnsi="Georgia"/>
                <w:color w:val="0F172A"/>
                <w:sz w:val="17"/>
              </w:rPr>
              <w:t>Prima por Riesgo País (λ × EMBI+)</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0,88%</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2,21%</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3,31%</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4,41%</w:t>
            </w:r>
          </w:p>
        </w:tc>
      </w:tr>
      <w:tr>
        <w:tc>
          <w:tcPr>
            <w:tcW w:type="dxa" w:w="3744"/>
            <w:tcMar>
              <w:top w:w="60" w:type="dxa"/>
              <w:bottom w:w="60" w:type="dxa"/>
              <w:left w:w="100" w:type="dxa"/>
              <w:right w:w="100" w:type="dxa"/>
            </w:tcMar>
          </w:tcPr>
          <w:p>
            <w:pPr>
              <w:spacing w:before="40" w:after="40"/>
              <w:jc w:val="left"/>
            </w:pPr>
            <w:r/>
            <w:r>
              <w:rPr>
                <w:rFonts w:ascii="Georgia" w:hAnsi="Georgia"/>
                <w:color w:val="0F172A"/>
                <w:sz w:val="17"/>
              </w:rPr>
              <w:t>Costo del Equity (Ke)</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9,30%</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10,63%</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11,73%</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12,83%</w:t>
            </w:r>
          </w:p>
        </w:tc>
      </w:tr>
      <w:tr>
        <w:tc>
          <w:tcPr>
            <w:tcW w:type="dxa" w:w="3744"/>
            <w:tcMar>
              <w:top w:w="60" w:type="dxa"/>
              <w:bottom w:w="60" w:type="dxa"/>
              <w:left w:w="100" w:type="dxa"/>
              <w:right w:w="100" w:type="dxa"/>
            </w:tcMar>
          </w:tcPr>
          <w:p>
            <w:pPr>
              <w:spacing w:before="40" w:after="40"/>
              <w:jc w:val="left"/>
            </w:pPr>
            <w:r/>
            <w:r>
              <w:rPr>
                <w:rFonts w:ascii="Georgia" w:hAnsi="Georgia"/>
                <w:b/>
                <w:color w:val="0D233A"/>
                <w:sz w:val="17"/>
              </w:rPr>
              <w:t>WACC Resultante (USD)</w:t>
            </w:r>
          </w:p>
        </w:tc>
        <w:tc>
          <w:tcPr>
            <w:tcW w:type="dxa" w:w="1584"/>
            <w:tcMar>
              <w:top w:w="60" w:type="dxa"/>
              <w:bottom w:w="60" w:type="dxa"/>
              <w:left w:w="100" w:type="dxa"/>
              <w:right w:w="100" w:type="dxa"/>
            </w:tcMar>
          </w:tcPr>
          <w:p>
            <w:pPr>
              <w:spacing w:before="40" w:after="40"/>
              <w:jc w:val="right"/>
            </w:pPr>
            <w:r/>
            <w:r>
              <w:rPr>
                <w:rFonts w:ascii="Georgia" w:hAnsi="Georgia"/>
                <w:b/>
                <w:color w:val="0D233A"/>
                <w:sz w:val="17"/>
              </w:rPr>
              <w:t>7,06%</w:t>
            </w:r>
          </w:p>
        </w:tc>
        <w:tc>
          <w:tcPr>
            <w:tcW w:type="dxa" w:w="1584"/>
            <w:tcMar>
              <w:top w:w="60" w:type="dxa"/>
              <w:bottom w:w="60" w:type="dxa"/>
              <w:left w:w="100" w:type="dxa"/>
              <w:right w:w="100" w:type="dxa"/>
            </w:tcMar>
          </w:tcPr>
          <w:p>
            <w:pPr>
              <w:spacing w:before="40" w:after="40"/>
              <w:jc w:val="right"/>
            </w:pPr>
            <w:r/>
            <w:r>
              <w:rPr>
                <w:rFonts w:ascii="Georgia" w:hAnsi="Georgia"/>
                <w:b/>
                <w:color w:val="0D233A"/>
                <w:sz w:val="17"/>
              </w:rPr>
              <w:t>7,96%</w:t>
            </w:r>
          </w:p>
        </w:tc>
        <w:tc>
          <w:tcPr>
            <w:tcW w:type="dxa" w:w="1584"/>
            <w:tcMar>
              <w:top w:w="60" w:type="dxa"/>
              <w:bottom w:w="60" w:type="dxa"/>
              <w:left w:w="100" w:type="dxa"/>
              <w:right w:w="100" w:type="dxa"/>
            </w:tcMar>
          </w:tcPr>
          <w:p>
            <w:pPr>
              <w:spacing w:before="40" w:after="40"/>
              <w:jc w:val="right"/>
            </w:pPr>
            <w:r/>
            <w:r>
              <w:rPr>
                <w:rFonts w:ascii="Georgia" w:hAnsi="Georgia"/>
                <w:b/>
                <w:color w:val="0D233A"/>
                <w:sz w:val="17"/>
              </w:rPr>
              <w:t>8,70%</w:t>
            </w:r>
          </w:p>
        </w:tc>
        <w:tc>
          <w:tcPr>
            <w:tcW w:type="dxa" w:w="1584"/>
            <w:tcMar>
              <w:top w:w="60" w:type="dxa"/>
              <w:bottom w:w="60" w:type="dxa"/>
              <w:left w:w="100" w:type="dxa"/>
              <w:right w:w="100" w:type="dxa"/>
            </w:tcMar>
          </w:tcPr>
          <w:p>
            <w:pPr>
              <w:spacing w:before="40" w:after="40"/>
              <w:jc w:val="right"/>
            </w:pPr>
            <w:r/>
            <w:r>
              <w:rPr>
                <w:rFonts w:ascii="Georgia" w:hAnsi="Georgia"/>
                <w:b/>
                <w:color w:val="0D233A"/>
                <w:sz w:val="17"/>
              </w:rPr>
              <w:t>9,45%</w:t>
            </w:r>
          </w:p>
        </w:tc>
      </w:tr>
      <w:tr>
        <w:tc>
          <w:tcPr>
            <w:tcW w:type="dxa" w:w="3744"/>
            <w:tcMar>
              <w:top w:w="60" w:type="dxa"/>
              <w:bottom w:w="60" w:type="dxa"/>
              <w:left w:w="100" w:type="dxa"/>
              <w:right w:w="100" w:type="dxa"/>
            </w:tcMar>
          </w:tcPr>
          <w:p>
            <w:pPr>
              <w:spacing w:before="40" w:after="40"/>
              <w:jc w:val="left"/>
            </w:pPr>
            <w:r/>
            <w:r>
              <w:rPr>
                <w:rFonts w:ascii="Georgia" w:hAnsi="Georgia"/>
                <w:color w:val="0F172A"/>
                <w:sz w:val="17"/>
              </w:rPr>
              <w:t>Precio Objetivo Base (ARS)</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1.236,00</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1.042,50</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915,00</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812,00</w:t>
            </w:r>
          </w:p>
        </w:tc>
      </w:tr>
      <w:tr>
        <w:tc>
          <w:tcPr>
            <w:tcW w:type="dxa" w:w="3744"/>
            <w:tcMar>
              <w:top w:w="60" w:type="dxa"/>
              <w:bottom w:w="60" w:type="dxa"/>
              <w:left w:w="100" w:type="dxa"/>
              <w:right w:w="100" w:type="dxa"/>
            </w:tcMar>
          </w:tcPr>
          <w:p>
            <w:pPr>
              <w:spacing w:before="40" w:after="40"/>
              <w:jc w:val="left"/>
            </w:pPr>
            <w:r/>
            <w:r>
              <w:rPr>
                <w:rFonts w:ascii="Georgia" w:hAnsi="Georgia"/>
                <w:color w:val="0F172A"/>
                <w:sz w:val="17"/>
              </w:rPr>
              <w:t>Retorno Esperado vs. Spot (ARS 982,50)</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+25,8%</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+6,1%</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-6,9%</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-17,4%</w:t>
            </w:r>
          </w:p>
        </w:tc>
      </w:tr>
    </w:tbl>
    <w:p>
      <w:pPr>
        <w:spacing w:after="80"/>
      </w:pPr>
    </w:p>
    <w:p>
      <w:pPr>
        <w:keepNext/>
        <w:spacing w:before="280" w:after="80"/>
        <w:pBrd>
          <w:bottom w:val="single" w:sz="8" w:space="2" w:color="0D233A"/>
        </w:pBrd>
      </w:pPr>
      <w:r>
        <w:rPr>
          <w:rFonts w:ascii="Georgia" w:hAnsi="Georgia"/>
          <w:b/>
          <w:color w:val="0D233A"/>
          <w:sz w:val="26"/>
        </w:rPr>
        <w:t>7. Creación de Valor Económico (EVA) y Disciplina Terminal</w:t>
      </w:r>
    </w:p>
    <w:p>
      <w:pPr>
        <w:keepNext/>
        <w:spacing w:before="200" w:after="60"/>
      </w:pPr>
      <w:r>
        <w:rPr>
          <w:rFonts w:ascii="Georgia" w:hAnsi="Georgia"/>
          <w:b/>
          <w:color w:val="1E3A8A"/>
          <w:sz w:val="22"/>
        </w:rPr>
        <w:t>7.1 Evolución del EVA y Efecto del Capital Invertido</w:t>
      </w:r>
    </w:p>
    <w:p>
      <w:pPr>
        <w:spacing w:before="0" w:after="60" w:line="276" w:lineRule="auto"/>
      </w:pPr>
      <w:r>
        <w:rPr>
          <w:rFonts w:ascii="Georgia" w:hAnsi="Georgia"/>
          <w:color w:val="0F172A"/>
          <w:sz w:val="19"/>
        </w:rPr>
        <w:t>El Valor Económico Agregado (EVA_t = (ROIC_t - WACC) × NOA_{t-1}) mide la generación de rentabilidad económica sobre los activos operativos netos. En FY2025 el EVA se situó en -USD 60,3 MM debido a la incorporación de USD 243,9 MM en activos eólicos al capital invertido (NOA = USD 1.704,3 MM) en forma previa a su plena entrada en régimen operativo.</w:t>
      </w:r>
    </w:p>
    <w:p>
      <w:pPr>
        <w:keepNext/>
        <w:spacing w:before="120" w:after="40"/>
      </w:pPr>
      <w:r>
        <w:rPr>
          <w:rFonts w:ascii="Georgia" w:hAnsi="Georgia"/>
          <w:b/>
          <w:color w:val="0D233A"/>
          <w:sz w:val="18"/>
        </w:rPr>
        <w:t>Tabla: Trayectoria Histórica y Proyectada de Creación de Valor (EVA, USD MM)</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296"/>
        <w:gridCol w:w="1296"/>
        <w:gridCol w:w="1296"/>
        <w:gridCol w:w="1296"/>
        <w:gridCol w:w="1296"/>
        <w:gridCol w:w="1296"/>
        <w:gridCol w:w="1296"/>
        <w:gridCol w:w="1296"/>
      </w:tblGrid>
      <w:tr>
        <w:tc>
          <w:tcPr>
            <w:tcW w:type="dxa" w:w="3456"/>
            <w:shd w:fill="F1F5F9"/>
            <w:tcMar>
              <w:top w:w="80" w:type="dxa"/>
              <w:bottom w:w="80" w:type="dxa"/>
              <w:left w:w="100" w:type="dxa"/>
              <w:right w:w="100" w:type="dxa"/>
            </w:tcMar>
          </w:tcPr>
          <w:p>
            <w:pPr>
              <w:spacing w:before="60" w:after="60"/>
              <w:jc w:val="left"/>
            </w:pPr>
            <w:r/>
            <w:r>
              <w:rPr>
                <w:rFonts w:ascii="Georgia" w:hAnsi="Georgia"/>
                <w:b/>
                <w:color w:val="0D233A"/>
                <w:sz w:val="17"/>
              </w:rPr>
              <w:t>Métrica de Valor</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FY21</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FY22</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FY23</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FY24</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FY25</w:t>
            </w:r>
          </w:p>
        </w:tc>
        <w:tc>
          <w:tcPr>
            <w:tcW w:type="dxa" w:w="1584"/>
            <w:shd w:fill="F1F5F9"/>
            <w:tcMar>
              <w:top w:w="80" w:type="dxa"/>
              <w:bottom w:w="80" w:type="dxa"/>
              <w:left w:w="100" w:type="dxa"/>
              <w:right w:w="100" w:type="dxa"/>
            </w:tcMar>
          </w:tcPr>
          <w:p>
            <w:pPr>
              <w:spacing w:before="60" w:after="60"/>
              <w:jc w:val="right"/>
            </w:pPr>
            <w:r/>
            <w:r>
              <w:rPr>
                <w:rFonts w:ascii="Georgia" w:hAnsi="Georgia"/>
                <w:b/>
                <w:color w:val="0D233A"/>
                <w:sz w:val="17"/>
              </w:rPr>
              <w:t>Terminal (2030E)</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NOPAT (USD MM)</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31,3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39,9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105,4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40,3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99,2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60,0</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135,5</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Capital Invertido (NOA)</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838,4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531,3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590,5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771,6</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1.248,9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1.704,3</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1.919,3</w:t>
            </w:r>
          </w:p>
        </w:tc>
      </w:tr>
      <w:tr>
        <w:tc>
          <w:tcPr>
            <w:tcW w:type="dxa" w:w="3456"/>
            <w:tcMar>
              <w:top w:w="60" w:type="dxa"/>
              <w:bottom w:w="60" w:type="dxa"/>
              <w:left w:w="100" w:type="dxa"/>
              <w:right w:w="100" w:type="dxa"/>
            </w:tcMar>
          </w:tcPr>
          <w:p>
            <w:pPr>
              <w:spacing w:before="40" w:after="40"/>
              <w:jc w:val="left"/>
            </w:pPr>
            <w:r/>
            <w:r>
              <w:rPr>
                <w:rFonts w:ascii="Georgia" w:hAnsi="Georgia"/>
                <w:b/>
                <w:color w:val="0D233A"/>
                <w:sz w:val="17"/>
              </w:rPr>
              <w:t>ROIC (NOPAT / NOA)</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3,73%</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7,50%</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17,85%</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5,22%</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7,94%</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3,52%</w:t>
            </w:r>
          </w:p>
        </w:tc>
        <w:tc>
          <w:tcPr>
            <w:tcW w:type="dxa" w:w="1584"/>
            <w:tcMar>
              <w:top w:w="60" w:type="dxa"/>
              <w:bottom w:w="60" w:type="dxa"/>
              <w:left w:w="100" w:type="dxa"/>
              <w:right w:w="100" w:type="dxa"/>
            </w:tcMar>
          </w:tcPr>
          <w:p>
            <w:pPr>
              <w:spacing w:before="40" w:after="40"/>
              <w:jc w:val="right"/>
            </w:pPr>
            <w:r/>
            <w:r>
              <w:rPr>
                <w:rFonts w:ascii="Georgia" w:hAnsi="Georgia"/>
                <w:b/>
                <w:color w:val="0D233A"/>
                <w:sz w:val="17"/>
              </w:rPr>
              <w:t>7,06%</w:t>
            </w:r>
          </w:p>
        </w:tc>
      </w:tr>
      <w:tr>
        <w:tc>
          <w:tcPr>
            <w:tcW w:type="dxa" w:w="3456"/>
            <w:tcMar>
              <w:top w:w="60" w:type="dxa"/>
              <w:bottom w:w="60" w:type="dxa"/>
              <w:left w:w="100" w:type="dxa"/>
              <w:right w:w="100" w:type="dxa"/>
            </w:tcMar>
          </w:tcPr>
          <w:p>
            <w:pPr>
              <w:spacing w:before="40" w:after="40"/>
              <w:jc w:val="left"/>
            </w:pPr>
            <w:r/>
            <w:r>
              <w:rPr>
                <w:rFonts w:ascii="Georgia" w:hAnsi="Georgia"/>
                <w:b/>
                <w:color w:val="0D233A"/>
                <w:sz w:val="17"/>
              </w:rPr>
              <w:t>WACC</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7,06%</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7,06%</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7,06%</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7,06%</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7,06%</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7,06%</w:t>
            </w:r>
          </w:p>
        </w:tc>
        <w:tc>
          <w:tcPr>
            <w:tcW w:type="dxa" w:w="1584"/>
            <w:tcMar>
              <w:top w:w="60" w:type="dxa"/>
              <w:bottom w:w="60" w:type="dxa"/>
              <w:left w:w="100" w:type="dxa"/>
              <w:right w:w="100" w:type="dxa"/>
            </w:tcMar>
          </w:tcPr>
          <w:p>
            <w:pPr>
              <w:spacing w:before="40" w:after="40"/>
              <w:jc w:val="right"/>
            </w:pPr>
            <w:r/>
            <w:r>
              <w:rPr>
                <w:rFonts w:ascii="Georgia" w:hAnsi="Georgia"/>
                <w:b/>
                <w:color w:val="0D233A"/>
                <w:sz w:val="17"/>
              </w:rPr>
              <w:t>7,06%</w:t>
            </w:r>
          </w:p>
        </w:tc>
      </w:tr>
      <w:tr>
        <w:tc>
          <w:tcPr>
            <w:tcW w:type="dxa" w:w="3456"/>
            <w:tcMar>
              <w:top w:w="60" w:type="dxa"/>
              <w:bottom w:w="60" w:type="dxa"/>
              <w:left w:w="100" w:type="dxa"/>
              <w:right w:w="100" w:type="dxa"/>
            </w:tcMar>
          </w:tcPr>
          <w:p>
            <w:pPr>
              <w:spacing w:before="40" w:after="40"/>
              <w:jc w:val="left"/>
            </w:pPr>
            <w:r/>
            <w:r>
              <w:rPr>
                <w:rFonts w:ascii="Georgia" w:hAnsi="Georgia"/>
                <w:b/>
                <w:color w:val="0D233A"/>
                <w:sz w:val="17"/>
              </w:rPr>
              <w:t>Spread (ROIC - WACC)</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-3,33%</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+0,44%</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+10,79%</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-1,84%</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+0,88%</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-3,54%</w:t>
            </w:r>
          </w:p>
        </w:tc>
        <w:tc>
          <w:tcPr>
            <w:tcW w:type="dxa" w:w="1584"/>
            <w:tcMar>
              <w:top w:w="60" w:type="dxa"/>
              <w:bottom w:w="60" w:type="dxa"/>
              <w:left w:w="100" w:type="dxa"/>
              <w:right w:w="100" w:type="dxa"/>
            </w:tcMar>
          </w:tcPr>
          <w:p>
            <w:pPr>
              <w:spacing w:before="40" w:after="40"/>
              <w:jc w:val="right"/>
            </w:pPr>
            <w:r/>
            <w:r>
              <w:rPr>
                <w:rFonts w:ascii="Georgia" w:hAnsi="Georgia"/>
                <w:b/>
                <w:color w:val="0D233A"/>
                <w:sz w:val="17"/>
              </w:rPr>
              <w:t>0,00%</w:t>
            </w:r>
          </w:p>
        </w:tc>
      </w:tr>
      <w:tr>
        <w:tc>
          <w:tcPr>
            <w:tcW w:type="dxa" w:w="3456"/>
            <w:tcMar>
              <w:top w:w="60" w:type="dxa"/>
              <w:bottom w:w="60" w:type="dxa"/>
              <w:left w:w="100" w:type="dxa"/>
              <w:right w:w="100" w:type="dxa"/>
            </w:tcMar>
          </w:tcPr>
          <w:p>
            <w:pPr>
              <w:spacing w:before="40" w:after="40"/>
              <w:jc w:val="left"/>
            </w:pPr>
            <w:r/>
            <w:r>
              <w:rPr>
                <w:rFonts w:ascii="Georgia" w:hAnsi="Georgia"/>
                <w:b/>
                <w:color w:val="0D233A"/>
                <w:sz w:val="17"/>
              </w:rPr>
              <w:t>EVA (USD MM)</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-27,9</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2,3</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63,7</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-14,2</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11,0</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-60,3</w:t>
            </w:r>
          </w:p>
        </w:tc>
        <w:tc>
          <w:tcPr>
            <w:tcW w:type="dxa" w:w="1584"/>
            <w:tcMar>
              <w:top w:w="60" w:type="dxa"/>
              <w:bottom w:w="60" w:type="dxa"/>
              <w:left w:w="100" w:type="dxa"/>
              <w:right w:w="100" w:type="dxa"/>
            </w:tcMar>
          </w:tcPr>
          <w:p>
            <w:pPr>
              <w:spacing w:before="40" w:after="40"/>
              <w:jc w:val="right"/>
            </w:pPr>
            <w:r/>
            <w:r>
              <w:rPr>
                <w:rFonts w:ascii="Georgia" w:hAnsi="Georgia"/>
                <w:b/>
                <w:color w:val="0D233A"/>
                <w:sz w:val="17"/>
              </w:rPr>
              <w:t>0,0</w:t>
            </w:r>
          </w:p>
        </w:tc>
      </w:tr>
    </w:tbl>
    <w:p>
      <w:pPr>
        <w:spacing w:after="80"/>
      </w:pPr>
    </w:p>
    <w:p>
      <w:pPr>
        <w:keepNext/>
        <w:spacing w:before="200" w:after="60"/>
      </w:pPr>
      <w:r>
        <w:rPr>
          <w:rFonts w:ascii="Georgia" w:hAnsi="Georgia"/>
          <w:b/>
          <w:color w:val="1E3A8A"/>
          <w:sz w:val="22"/>
        </w:rPr>
        <w:t>7.2 Criterios Metodológicos: Caso Base Dumrauf vs. Cota de Reinversión Damodaran</w:t>
      </w:r>
    </w:p>
    <w:p>
      <w:pPr>
        <w:spacing w:before="0" w:after="60" w:line="276" w:lineRule="auto"/>
      </w:pPr>
      <w:r>
        <w:rPr>
          <w:rFonts w:ascii="Georgia" w:hAnsi="Georgia"/>
          <w:color w:val="0F172A"/>
          <w:sz w:val="19"/>
        </w:rPr>
        <w:t>• Caso Base Oficial (Dumrauf, Cap. 14): En estado estacionario a plena capacidad (460 kt), CAPEX = D&amp;A y ΔNWC = 0, por lo que FCFF_terminal = NOPAT_2030 = USD 135,5 MM. El valor terminal descontado resulta TV = (135,5 × 1,02) / (0,0706 - 0,02) = USD 2.731,4 MM, determinando el precio objetivo oficial de ARS 1.236,00.</w:t>
      </w:r>
    </w:p>
    <w:p>
      <w:pPr>
        <w:spacing w:before="0" w:after="60" w:line="276" w:lineRule="auto"/>
      </w:pPr>
      <w:r>
        <w:rPr>
          <w:rFonts w:ascii="Georgia" w:hAnsi="Georgia"/>
          <w:color w:val="0F172A"/>
          <w:sz w:val="19"/>
        </w:rPr>
        <w:t>• Cota de Reinversión (Damodaran, ROIC → WACC): Asumiendo una tasa de reinversión implícita RR = g / WACC = 2,0% / 7,06% = 28,3%, el flujo terminal se ajusta a NOPAT × (1 - RR) = USD 97,1 MM, arrojando un precio objetivo de ARS 993,00, que se adopta como cota conservadora de control.</w:t>
      </w:r>
    </w:p>
    <w:p>
      <w:pPr>
        <w:keepNext/>
        <w:spacing w:before="280" w:after="80"/>
        <w:pBrd>
          <w:bottom w:val="single" w:sz="8" w:space="2" w:color="0D233A"/>
        </w:pBrd>
      </w:pPr>
      <w:r>
        <w:rPr>
          <w:rFonts w:ascii="Georgia" w:hAnsi="Georgia"/>
          <w:b/>
          <w:color w:val="0D233A"/>
          <w:sz w:val="26"/>
        </w:rPr>
        <w:t>8. Puente de Valuación: Desglose de Enterprise Value a Equity Value</w:t>
      </w:r>
    </w:p>
    <w:p>
      <w:pPr>
        <w:keepNext/>
        <w:spacing w:before="200" w:after="60"/>
      </w:pPr>
      <w:r>
        <w:rPr>
          <w:rFonts w:ascii="Georgia" w:hAnsi="Georgia"/>
          <w:b/>
          <w:color w:val="1E3A8A"/>
          <w:sz w:val="22"/>
        </w:rPr>
        <w:t>8.1 Composición del Enterprise Value</w:t>
      </w:r>
    </w:p>
    <w:p>
      <w:pPr>
        <w:spacing w:before="0" w:after="60" w:line="276" w:lineRule="auto"/>
      </w:pPr>
      <w:r>
        <w:rPr>
          <w:rFonts w:ascii="Georgia" w:hAnsi="Georgia"/>
          <w:color w:val="0F172A"/>
          <w:sz w:val="19"/>
        </w:rPr>
        <w:t>El Enterprise Value estimado asciende a USD 3.951 MM. Los flujos de fondos explícitos (2026E–2030E) aportan USD 680 MM (17,2% del EV), mientras que el Valor Terminal representa USD 2.902 MM (73,4% del EV), reflejando la vida útil indefinida de los activos de fundición. Deduciendo la Deuda Neta auditada de USD 525,8 MM y sumando activos no operativos, se obtiene un Equity Value de USD 2.186 MM, equivalente a ARS 1.236,00 por acción al tipo de cambio CCL de 1.584,25.</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582552"/>
                  <wp:docPr id="15" name="Picture 15"/>
                  <wp:cNvGraphicFramePr>
                    <a:graphicFrameLocks noChangeAspect="1"/>
                  </wp:cNvGraphicFramePr>
                  <a:graphic>
                    <a:graphicData uri="http://schemas.openxmlformats.org/drawingml/2006/picture">
                      <pic:pic>
                        <pic:nvPicPr>
                          <pic:cNvPr id="0" name="figura_15.png"/>
                          <pic:cNvPicPr/>
                        </pic:nvPicPr>
                        <pic:blipFill>
                          <a:blip r:embed="rId25"/>
                          <a:stretch>
                            <a:fillRect/>
                          </a:stretch>
                        </pic:blipFill>
                        <pic:spPr>
                          <a:xfrm>
                            <a:off x="0" y="0"/>
                            <a:ext cx="3017520" cy="1582552"/>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733035"/>
                  <wp:docPr id="16" name="Picture 16"/>
                  <wp:cNvGraphicFramePr>
                    <a:graphicFrameLocks noChangeAspect="1"/>
                  </wp:cNvGraphicFramePr>
                  <a:graphic>
                    <a:graphicData uri="http://schemas.openxmlformats.org/drawingml/2006/picture">
                      <pic:pic>
                        <pic:nvPicPr>
                          <pic:cNvPr id="0" name="figura_16.png"/>
                          <pic:cNvPicPr/>
                        </pic:nvPicPr>
                        <pic:blipFill>
                          <a:blip r:embed="rId26"/>
                          <a:stretch>
                            <a:fillRect/>
                          </a:stretch>
                        </pic:blipFill>
                        <pic:spPr>
                          <a:xfrm>
                            <a:off x="0" y="0"/>
                            <a:ext cx="3017520" cy="1733035"/>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15: Puente de Valuación (Waterfall): De Enterprise Value (USD 3.951 MM) a Equity Value (USD 2.186 MM) y Target.</w:t>
            </w:r>
          </w:p>
        </w:tc>
        <w:tc>
          <w:tcPr>
            <w:tcW w:type="dxa" w:w="4896"/>
            <w:tcMar>
              <w:top w:w="40" w:type="dxa"/>
              <w:bottom w:w="40" w:type="dxa"/>
              <w:left w:w="40" w:type="dxa"/>
              <w:right w:w="40" w:type="dxa"/>
            </w:tcMar>
          </w:tcPr>
          <w:p>
            <w:pPr>
              <w:spacing w:after="80"/>
              <w:jc w:val="left"/>
            </w:pPr>
            <w:r>
              <w:rPr>
                <w:rFonts w:ascii="Georgia" w:hAnsi="Georgia"/>
                <w:color w:val="4A4A4A"/>
                <w:sz w:val="16"/>
              </w:rPr>
              <w:t>Figura 16: Capital de Trabajo Operativo: Trayectoria de DIO, DSO, DPO y Ciclo de Conversión de Efectivo (CCC).</w:t>
            </w:r>
          </w:p>
        </w:tc>
      </w:tr>
    </w:tbl>
    <w:p>
      <w:pPr>
        <w:spacing w:after="40"/>
      </w:pPr>
    </w:p>
    <w:p>
      <w:pPr>
        <w:keepNext/>
        <w:spacing w:before="200" w:after="60"/>
      </w:pPr>
      <w:r>
        <w:rPr>
          <w:rFonts w:ascii="Georgia" w:hAnsi="Georgia"/>
          <w:b/>
          <w:color w:val="1E3A8A"/>
          <w:sz w:val="22"/>
        </w:rPr>
        <w:t>8.2 Evolución del Ciclo de Conversión de Efectivo (CCC)</w:t>
      </w:r>
    </w:p>
    <w:p>
      <w:pPr>
        <w:spacing w:before="0" w:after="60" w:line="276" w:lineRule="auto"/>
      </w:pPr>
      <w:r>
        <w:rPr>
          <w:rFonts w:ascii="Georgia" w:hAnsi="Georgia"/>
          <w:color w:val="0F172A"/>
          <w:sz w:val="19"/>
        </w:rPr>
        <w:t>El Ciclo de Conversión de Efectivo se comprime desde 79 días en FY2023 a 64 días proyectados, producto de la normalización en días de inventario (DIO) y cobranza (DSO), favoreciendo la liquidez para el servicio de pasivos.</w:t>
      </w:r>
    </w:p>
    <w:p>
      <w:pPr>
        <w:keepNext/>
        <w:spacing w:before="280" w:after="80"/>
        <w:pBrd>
          <w:bottom w:val="single" w:sz="8" w:space="2" w:color="0D233A"/>
        </w:pBrd>
      </w:pPr>
      <w:r>
        <w:rPr>
          <w:rFonts w:ascii="Georgia" w:hAnsi="Georgia"/>
          <w:b/>
          <w:color w:val="0D233A"/>
          <w:sz w:val="26"/>
        </w:rPr>
        <w:t>9. Análisis Estratégico DuPont y Fuerzas Competitivas</w:t>
      </w:r>
    </w:p>
    <w:p>
      <w:pPr>
        <w:keepNext/>
        <w:spacing w:before="200" w:after="60"/>
      </w:pPr>
      <w:r>
        <w:rPr>
          <w:rFonts w:ascii="Georgia" w:hAnsi="Georgia"/>
          <w:b/>
          <w:color w:val="1E3A8A"/>
          <w:sz w:val="22"/>
        </w:rPr>
        <w:t>9.1 Descomposición DuPont de Cinco Factores (FY2020–FY2025)</w:t>
      </w:r>
    </w:p>
    <w:p>
      <w:pPr>
        <w:spacing w:before="80" w:after="80"/>
        <w:jc w:val="center"/>
      </w:pPr>
      <w:r>
        <w:rPr>
          <w:rFonts w:ascii="Cambria Math" w:hAnsi="Cambria Math"/>
          <w:b/>
          <w:color w:val="0D233A"/>
          <w:sz w:val="21"/>
        </w:rPr>
        <w:t xml:space="preserve">   ROE = (RN / EBT) × (EBT / EBIT) × (EBIT / Ventas) × (Ventas / Activos) × (Activos / PN)   </w:t>
      </w:r>
      <w:r>
        <w:rPr>
          <w:rFonts w:ascii="Georgia" w:hAnsi="Georgia"/>
          <w:i/>
          <w:color w:val="4A4A4A"/>
          <w:sz w:val="18"/>
        </w:rPr>
        <w:t xml:space="preserve">    (DuPont 5 Factores)</w:t>
      </w:r>
    </w:p>
    <w:p>
      <w:pPr>
        <w:spacing w:before="0" w:after="60" w:line="276" w:lineRule="auto"/>
      </w:pPr>
      <w:r>
        <w:rPr>
          <w:rFonts w:ascii="Georgia" w:hAnsi="Georgia"/>
          <w:color w:val="0F172A"/>
          <w:sz w:val="19"/>
        </w:rPr>
        <w:t>En FY2025, el factor impositivo se redujo a 15,67% (alícuota efectiva del 84,3% por el impacto del ajuste por inflación impositivo NIC 29), situando el ROE en 0,83% aun cuando el margen operativo EBIT se ubicó en 8,44%.</w:t>
      </w:r>
    </w:p>
    <w:p>
      <w:pPr>
        <w:keepNext/>
        <w:spacing w:before="120" w:after="40"/>
      </w:pPr>
      <w:r>
        <w:rPr>
          <w:rFonts w:ascii="Georgia" w:hAnsi="Georgia"/>
          <w:b/>
          <w:color w:val="0D233A"/>
          <w:sz w:val="18"/>
        </w:rPr>
        <w:t>Tabla: Descomposición DuPont de 3 Factores (FY2020–FY2025)</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481"/>
        <w:gridCol w:w="1481"/>
        <w:gridCol w:w="1481"/>
        <w:gridCol w:w="1481"/>
        <w:gridCol w:w="1481"/>
        <w:gridCol w:w="1481"/>
        <w:gridCol w:w="1481"/>
      </w:tblGrid>
      <w:tr>
        <w:tc>
          <w:tcPr>
            <w:tcW w:type="dxa" w:w="3744"/>
            <w:shd w:fill="F1F5F9"/>
            <w:tcMar>
              <w:top w:w="80" w:type="dxa"/>
              <w:bottom w:w="80" w:type="dxa"/>
              <w:left w:w="100" w:type="dxa"/>
              <w:right w:w="100" w:type="dxa"/>
            </w:tcMar>
          </w:tcPr>
          <w:p>
            <w:pPr>
              <w:spacing w:before="60" w:after="60"/>
              <w:jc w:val="left"/>
            </w:pPr>
            <w:r/>
            <w:r>
              <w:rPr>
                <w:rFonts w:ascii="Georgia" w:hAnsi="Georgia"/>
                <w:b/>
                <w:color w:val="0D233A"/>
                <w:sz w:val="17"/>
              </w:rPr>
              <w:t>Componente DuPont</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FY2020</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FY2021</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FY2022</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FY2023</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FY2024</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FY2025</w:t>
            </w:r>
          </w:p>
        </w:tc>
      </w:tr>
      <w:tr>
        <w:tc>
          <w:tcPr>
            <w:tcW w:type="dxa" w:w="3744"/>
            <w:tcMar>
              <w:top w:w="60" w:type="dxa"/>
              <w:bottom w:w="60" w:type="dxa"/>
              <w:left w:w="100" w:type="dxa"/>
              <w:right w:w="100" w:type="dxa"/>
            </w:tcMar>
          </w:tcPr>
          <w:p>
            <w:pPr>
              <w:spacing w:before="40" w:after="40"/>
              <w:jc w:val="left"/>
            </w:pPr>
            <w:r/>
            <w:r>
              <w:rPr>
                <w:rFonts w:ascii="Georgia" w:hAnsi="Georgia"/>
                <w:color w:val="0F172A"/>
                <w:sz w:val="17"/>
              </w:rPr>
              <w:t>Margen Neto (RN / Ventas)</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-5,34%</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5,48%</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15,79%</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19,48%</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9,80%</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0,84%</w:t>
            </w:r>
          </w:p>
        </w:tc>
      </w:tr>
      <w:tr>
        <w:tc>
          <w:tcPr>
            <w:tcW w:type="dxa" w:w="3744"/>
            <w:tcMar>
              <w:top w:w="60" w:type="dxa"/>
              <w:bottom w:w="60" w:type="dxa"/>
              <w:left w:w="100" w:type="dxa"/>
              <w:right w:w="100" w:type="dxa"/>
            </w:tcMar>
          </w:tcPr>
          <w:p>
            <w:pPr>
              <w:spacing w:before="40" w:after="40"/>
              <w:jc w:val="left"/>
            </w:pPr>
            <w:r/>
            <w:r>
              <w:rPr>
                <w:rFonts w:ascii="Georgia" w:hAnsi="Georgia"/>
                <w:color w:val="0F172A"/>
                <w:sz w:val="17"/>
              </w:rPr>
              <w:t>Rotación Activos (V / Activos)</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0,78x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0,74x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0,79x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0,71x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0,63x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0,55x</w:t>
            </w:r>
          </w:p>
        </w:tc>
      </w:tr>
      <w:tr>
        <w:tc>
          <w:tcPr>
            <w:tcW w:type="dxa" w:w="3744"/>
            <w:tcMar>
              <w:top w:w="60" w:type="dxa"/>
              <w:bottom w:w="60" w:type="dxa"/>
              <w:left w:w="100" w:type="dxa"/>
              <w:right w:w="100" w:type="dxa"/>
            </w:tcMar>
          </w:tcPr>
          <w:p>
            <w:pPr>
              <w:spacing w:before="40" w:after="40"/>
              <w:jc w:val="left"/>
            </w:pPr>
            <w:r/>
            <w:r>
              <w:rPr>
                <w:rFonts w:ascii="Georgia" w:hAnsi="Georgia"/>
                <w:color w:val="0F172A"/>
                <w:sz w:val="17"/>
              </w:rPr>
              <w:t>Apalancamiento (Activos / PN)</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2,27x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2,00x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1,82x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1,68x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1,74x</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1,78x</w:t>
            </w:r>
          </w:p>
        </w:tc>
      </w:tr>
      <w:tr>
        <w:tc>
          <w:tcPr>
            <w:tcW w:type="dxa" w:w="3744"/>
            <w:tcMar>
              <w:top w:w="60" w:type="dxa"/>
              <w:bottom w:w="60" w:type="dxa"/>
              <w:left w:w="100" w:type="dxa"/>
              <w:right w:w="100" w:type="dxa"/>
            </w:tcMar>
          </w:tcPr>
          <w:p>
            <w:pPr>
              <w:spacing w:before="40" w:after="40"/>
              <w:jc w:val="left"/>
            </w:pPr>
            <w:r/>
            <w:r>
              <w:rPr>
                <w:rFonts w:ascii="Georgia" w:hAnsi="Georgia"/>
                <w:color w:val="0F172A"/>
                <w:sz w:val="17"/>
              </w:rPr>
              <w:t>ROE (Producto)</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-9,49%</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8,04%</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22,64%</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23,25%</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10,68%</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0,83%</w:t>
            </w:r>
          </w:p>
        </w:tc>
      </w:tr>
    </w:tbl>
    <w:p>
      <w:pPr>
        <w:spacing w:after="80"/>
      </w:pPr>
    </w:p>
    <w:p>
      <w:pPr>
        <w:keepNext/>
        <w:spacing w:before="200" w:after="60"/>
      </w:pPr>
      <w:r>
        <w:rPr>
          <w:rFonts w:ascii="Georgia" w:hAnsi="Georgia"/>
          <w:b/>
          <w:color w:val="1E3A8A"/>
          <w:sz w:val="22"/>
        </w:rPr>
        <w:t>9.2 Las Cinco Fuerzas de Porter y Régimen RIGI</w:t>
      </w:r>
    </w:p>
    <w:p>
      <w:pPr>
        <w:spacing w:before="0" w:after="60" w:line="276" w:lineRule="auto"/>
      </w:pPr>
      <w:r>
        <w:rPr>
          <w:rFonts w:ascii="Georgia" w:hAnsi="Georgia"/>
          <w:color w:val="0F172A"/>
          <w:sz w:val="19"/>
        </w:rPr>
        <w:t>• Amenaza de Nuevos Entrantes (Muy Baja): Elevada inversión de capital (&gt; USD 2.500 MM para un complejo nuevo) y acceso restringido a fuentes hidroeléctricas dedicadas.</w:t>
      </w:r>
    </w:p>
    <w:p>
      <w:pPr>
        <w:spacing w:before="0" w:after="60" w:line="276" w:lineRule="auto"/>
      </w:pPr>
      <w:r>
        <w:rPr>
          <w:rFonts w:ascii="Georgia" w:hAnsi="Georgia"/>
          <w:color w:val="0F172A"/>
          <w:sz w:val="19"/>
        </w:rPr>
        <w:t>• Poder de Negociación de Proveedores (Bajo a Medio): Concentración en alúmina importada mitigada por contratos de suministro diversificados; insumo energético 96% autogenerado.</w:t>
      </w:r>
    </w:p>
    <w:p>
      <w:pPr>
        <w:spacing w:before="0" w:after="60" w:line="276" w:lineRule="auto"/>
      </w:pPr>
      <w:r>
        <w:rPr>
          <w:rFonts w:ascii="Georgia" w:hAnsi="Georgia"/>
          <w:color w:val="0F172A"/>
          <w:sz w:val="19"/>
        </w:rPr>
        <w:t>• Poder de Negociación de Clientes (Bajo): Exportaciones colocadas a precios internacionales tomadores LME; cuota del 60% en el mercado doméstico.</w:t>
      </w:r>
    </w:p>
    <w:p>
      <w:pPr>
        <w:spacing w:before="0" w:after="60" w:line="276" w:lineRule="auto"/>
      </w:pPr>
      <w:r>
        <w:rPr>
          <w:rFonts w:ascii="Georgia" w:hAnsi="Georgia"/>
          <w:color w:val="0F172A"/>
          <w:sz w:val="19"/>
        </w:rPr>
        <w:t>• Amenaza de Sustitutos (Baja): Propiedades mecánicas y reciclabilidad del aluminio difíciles de reemplazar en extrusión estructural y transporte.</w:t>
      </w:r>
    </w:p>
    <w:p>
      <w:pPr>
        <w:spacing w:before="0" w:after="60" w:line="276" w:lineRule="auto"/>
      </w:pPr>
      <w:r>
        <w:rPr>
          <w:rFonts w:ascii="Georgia" w:hAnsi="Georgia"/>
          <w:color w:val="0F172A"/>
          <w:sz w:val="19"/>
        </w:rPr>
        <w:t>• Rivalidad Competitiva (Media): Competencia internacional por costos; protección operativa en el primer cuartil C1.</w:t>
      </w:r>
    </w:p>
    <w:p>
      <w:pPr>
        <w:spacing w:before="0" w:after="60" w:line="276" w:lineRule="auto"/>
      </w:pPr>
      <w:r>
        <w:rPr>
          <w:rFonts w:ascii="Georgia" w:hAnsi="Georgia"/>
          <w:color w:val="0F172A"/>
          <w:sz w:val="19"/>
        </w:rPr>
        <w:t>• Marco Regulatorio / Régimen RIGI: El Régimen de Incentivos para Grandes Inversiones reduce la tasa corporativa del impuesto a las ganancias al 25% para nuevos desarrollos eólicos y elimina aranceles de importación en bienes de capital, optimizando el rendimiento de expansiones futuras.</w:t>
      </w:r>
    </w:p>
    <w:p>
      <w:pPr>
        <w:keepNext/>
        <w:spacing w:before="280" w:after="80"/>
        <w:pBrd>
          <w:bottom w:val="single" w:sz="8" w:space="2" w:color="0D233A"/>
        </w:pBrd>
      </w:pPr>
      <w:r>
        <w:rPr>
          <w:rFonts w:ascii="Georgia" w:hAnsi="Georgia"/>
          <w:b/>
          <w:color w:val="0D233A"/>
          <w:sz w:val="26"/>
        </w:rPr>
        <w:t>10. Análisis Financiero Histórico, Ratios Operativos y Cobertura</w:t>
      </w:r>
    </w:p>
    <w:p>
      <w:pPr>
        <w:keepNext/>
        <w:spacing w:before="200" w:after="60"/>
      </w:pPr>
      <w:r>
        <w:rPr>
          <w:rFonts w:ascii="Georgia" w:hAnsi="Georgia"/>
          <w:b/>
          <w:color w:val="1E3A8A"/>
          <w:sz w:val="22"/>
        </w:rPr>
        <w:t>10.1 Desempeño Operativo y Cobertura de Intereses</w:t>
      </w:r>
    </w:p>
    <w:p>
      <w:pPr>
        <w:spacing w:before="0" w:after="60" w:line="276" w:lineRule="auto"/>
      </w:pPr>
      <w:r>
        <w:rPr>
          <w:rFonts w:ascii="Georgia" w:hAnsi="Georgia"/>
          <w:color w:val="0F172A"/>
          <w:sz w:val="19"/>
        </w:rPr>
        <w:t>La serie histórica auditada demuestra la solidez operativa de Aluar en distintos momentos del ciclo macroeconómico. El ratio de cobertura de intereses (EBIT/Intereses) cerró en 3,53x en FY2025 tras el pico de endeudamiento financiero, con ratios de liquidez corriente por encima de 1,40x:</w:t>
      </w:r>
    </w:p>
    <w:p>
      <w:pPr>
        <w:keepNext/>
        <w:spacing w:before="120" w:after="40"/>
      </w:pPr>
      <w:r>
        <w:rPr>
          <w:rFonts w:ascii="Georgia" w:hAnsi="Georgia"/>
          <w:b/>
          <w:color w:val="0D233A"/>
          <w:sz w:val="18"/>
        </w:rPr>
        <w:t>Tabla: Estados Financieros y Ratios Operativos Históricos de Aluar (USD MM)</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481"/>
        <w:gridCol w:w="1481"/>
        <w:gridCol w:w="1481"/>
        <w:gridCol w:w="1481"/>
        <w:gridCol w:w="1481"/>
        <w:gridCol w:w="1481"/>
        <w:gridCol w:w="1481"/>
      </w:tblGrid>
      <w:tr>
        <w:tc>
          <w:tcPr>
            <w:tcW w:type="dxa" w:w="3456"/>
            <w:shd w:fill="F1F5F9"/>
            <w:tcMar>
              <w:top w:w="80" w:type="dxa"/>
              <w:bottom w:w="80" w:type="dxa"/>
              <w:left w:w="100" w:type="dxa"/>
              <w:right w:w="100" w:type="dxa"/>
            </w:tcMar>
          </w:tcPr>
          <w:p>
            <w:pPr>
              <w:spacing w:before="60" w:after="60"/>
              <w:jc w:val="left"/>
            </w:pPr>
            <w:r/>
            <w:r>
              <w:rPr>
                <w:rFonts w:ascii="Georgia" w:hAnsi="Georgia"/>
                <w:b/>
                <w:color w:val="0D233A"/>
                <w:sz w:val="17"/>
              </w:rPr>
              <w:t>Métrica / Ejercicio</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FY2020</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FY2021</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FY2022</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FY2023</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FY2024</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FY2025</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Ventas Netas</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823,50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513,50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654,72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647,75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915,85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1.092,60</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EBITDA</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116,50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107,39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209,67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105,70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204,70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163,25</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Margen EBITDA</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14,15%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20,91%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32,02%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16,32%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22,35%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14,94%</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EBIT</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48,10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61,33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162,14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61,97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152,57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92,27</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Margen EBIT</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5,84%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11,94%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24,76%</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9,57%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16,66%</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8,44%</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Resultado Neto</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-43,94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28,13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103,35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126,19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89,74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9,17</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Margen Neto</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-5,34%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5,48%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15,79%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19,48%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9,80%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0,84%</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CAPEX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-103,01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-9,43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-11,11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-65,89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-25,59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-243,93</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Deuda Neta</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351,30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137,44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57,33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169,88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211,23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525,76</w:t>
            </w:r>
          </w:p>
        </w:tc>
      </w:tr>
      <w:tr>
        <w:tc>
          <w:tcPr>
            <w:tcW w:type="dxa" w:w="3456"/>
            <w:tcMar>
              <w:top w:w="60" w:type="dxa"/>
              <w:bottom w:w="60" w:type="dxa"/>
              <w:left w:w="100" w:type="dxa"/>
              <w:right w:w="100" w:type="dxa"/>
            </w:tcMar>
          </w:tcPr>
          <w:p>
            <w:pPr>
              <w:spacing w:before="40" w:after="40"/>
              <w:jc w:val="left"/>
            </w:pPr>
            <w:r/>
            <w:r>
              <w:rPr>
                <w:rFonts w:ascii="Georgia" w:hAnsi="Georgia"/>
                <w:b/>
                <w:color w:val="0D233A"/>
                <w:sz w:val="17"/>
              </w:rPr>
              <w:t>ROIC</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3,73%</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7,50%</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17,85%</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5,22%</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7,94%</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3,52%</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ROE</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-9,49%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8,04%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22,64%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23,25%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10,68%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0,83%</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Liquidez Corriente</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1,89x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3,78x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2,92x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2,92x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4,93x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2,44x</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Deuda Neta / EBITDA</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3,02x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1,28x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0,27x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1,61x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1,03x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3,22x</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Cobertura Intereses (EBIT/Int.)</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1,81x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4,12x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107,80x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7,69x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8,62x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3,53x</w:t>
            </w:r>
          </w:p>
        </w:tc>
      </w:tr>
    </w:tbl>
    <w:p>
      <w:pPr>
        <w:spacing w:after="80"/>
      </w:pPr>
    </w:p>
    <w:p>
      <w:pPr>
        <w:keepNext/>
        <w:spacing w:before="280" w:after="80"/>
        <w:pBrd>
          <w:bottom w:val="single" w:sz="8" w:space="2" w:color="0D233A"/>
        </w:pBrd>
      </w:pPr>
      <w:r>
        <w:rPr>
          <w:rFonts w:ascii="Georgia" w:hAnsi="Georgia"/>
          <w:b/>
          <w:color w:val="0D233A"/>
          <w:sz w:val="26"/>
        </w:rPr>
        <w:t>11. Valuación Fundamental por Flujo de Fondos Descontados (DCF)</w:t>
      </w:r>
    </w:p>
    <w:p>
      <w:pPr>
        <w:keepNext/>
        <w:spacing w:before="200" w:after="60"/>
      </w:pPr>
      <w:r>
        <w:rPr>
          <w:rFonts w:ascii="Georgia" w:hAnsi="Georgia"/>
          <w:b/>
          <w:color w:val="1E3A8A"/>
          <w:sz w:val="22"/>
        </w:rPr>
        <w:t>11.1 Estructura del Modelo DCF y Valor de la Opción Real PEAL V</w:t>
      </w:r>
    </w:p>
    <w:p>
      <w:pPr>
        <w:spacing w:before="80" w:after="80"/>
        <w:jc w:val="center"/>
      </w:pPr>
      <w:r>
        <w:rPr>
          <w:rFonts w:ascii="Cambria Math" w:hAnsi="Cambria Math"/>
          <w:b/>
          <w:color w:val="0D233A"/>
          <w:sz w:val="21"/>
        </w:rPr>
        <w:t xml:space="preserve">   EV = Σ [FCFF_{2026+t} / (1 + WACC)^t] + TV / (1 + WACC)^4 = USD 3.951,0 MM   </w:t>
      </w:r>
      <w:r>
        <w:rPr>
          <w:rFonts w:ascii="Georgia" w:hAnsi="Georgia"/>
          <w:i/>
          <w:color w:val="4A4A4A"/>
          <w:sz w:val="18"/>
        </w:rPr>
        <w:t xml:space="preserve">    (Descuento DCF)</w:t>
      </w:r>
    </w:p>
    <w:p>
      <w:pPr>
        <w:spacing w:before="0" w:after="60" w:line="276" w:lineRule="auto"/>
      </w:pPr>
      <w:r>
        <w:rPr>
          <w:rFonts w:ascii="Georgia" w:hAnsi="Georgia"/>
          <w:color w:val="0F172A"/>
          <w:sz w:val="19"/>
        </w:rPr>
        <w:t>• Precio Objetivo DCF Caso Base: ARS 1.236,00 por acción (USD 0,78, +25,8% de retorno esperado).</w:t>
      </w:r>
    </w:p>
    <w:p>
      <w:pPr>
        <w:spacing w:before="0" w:after="60" w:line="276" w:lineRule="auto"/>
      </w:pPr>
      <w:r>
        <w:rPr>
          <w:rFonts w:ascii="Georgia" w:hAnsi="Georgia"/>
          <w:color w:val="0F172A"/>
          <w:sz w:val="19"/>
        </w:rPr>
        <w:t>• Opción Real PEAL V (Longstaff-Schwartz): Valúa la flexibilidad gerencial de diferir o ejecutar 312 MW eólicos adicionales mediante simulación por mínimos cuadrados (LSMC) sobre polinomios de Laguerre, aportando un valor aditivo de +ARS 19,60 por acción (+USD 0,01).</w:t>
      </w:r>
    </w:p>
    <w:p>
      <w:pPr>
        <w:spacing w:before="0" w:after="60" w:line="276" w:lineRule="auto"/>
      </w:pPr>
      <w:r>
        <w:rPr>
          <w:rFonts w:ascii="Georgia" w:hAnsi="Georgia"/>
          <w:color w:val="0F172A"/>
          <w:sz w:val="19"/>
        </w:rPr>
        <w:t>• Precio Objetivo Integrado (Base + Opción Real): ARS 1.255,60 por acción (USD 0,79, +27,8% de retorno esperado).</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677399"/>
                  <wp:docPr id="17" name="Picture 17"/>
                  <wp:cNvGraphicFramePr>
                    <a:graphicFrameLocks noChangeAspect="1"/>
                  </wp:cNvGraphicFramePr>
                  <a:graphic>
                    <a:graphicData uri="http://schemas.openxmlformats.org/drawingml/2006/picture">
                      <pic:pic>
                        <pic:nvPicPr>
                          <pic:cNvPr id="0" name="figura_17.png"/>
                          <pic:cNvPicPr/>
                        </pic:nvPicPr>
                        <pic:blipFill>
                          <a:blip r:embed="rId27"/>
                          <a:stretch>
                            <a:fillRect/>
                          </a:stretch>
                        </pic:blipFill>
                        <pic:spPr>
                          <a:xfrm>
                            <a:off x="0" y="0"/>
                            <a:ext cx="3017520" cy="1677399"/>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744540"/>
                  <wp:docPr id="18" name="Picture 18"/>
                  <wp:cNvGraphicFramePr>
                    <a:graphicFrameLocks noChangeAspect="1"/>
                  </wp:cNvGraphicFramePr>
                  <a:graphic>
                    <a:graphicData uri="http://schemas.openxmlformats.org/drawingml/2006/picture">
                      <pic:pic>
                        <pic:nvPicPr>
                          <pic:cNvPr id="0" name="figura_18.png"/>
                          <pic:cNvPicPr/>
                        </pic:nvPicPr>
                        <pic:blipFill>
                          <a:blip r:embed="rId28"/>
                          <a:stretch>
                            <a:fillRect/>
                          </a:stretch>
                        </pic:blipFill>
                        <pic:spPr>
                          <a:xfrm>
                            <a:off x="0" y="0"/>
                            <a:ext cx="3017520" cy="1744540"/>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17: Sensibilidad al Riesgo Soberano: Impacto sobre WACC y Target en escenario de EMBI+ a 2.400 pb.</w:t>
            </w:r>
          </w:p>
        </w:tc>
        <w:tc>
          <w:tcPr>
            <w:tcW w:type="dxa" w:w="4896"/>
            <w:tcMar>
              <w:top w:w="40" w:type="dxa"/>
              <w:bottom w:w="40" w:type="dxa"/>
              <w:left w:w="40" w:type="dxa"/>
              <w:right w:w="40" w:type="dxa"/>
            </w:tcMar>
          </w:tcPr>
          <w:p>
            <w:pPr>
              <w:spacing w:after="80"/>
              <w:jc w:val="left"/>
            </w:pPr>
            <w:r>
              <w:rPr>
                <w:rFonts w:ascii="Georgia" w:hAnsi="Georgia"/>
                <w:color w:val="4A4A4A"/>
                <w:sz w:val="16"/>
              </w:rPr>
              <w:t>Figura 18: Rango de Precios Intrínsecos: Comparativa de estimaciones metodológicas vs. cotización Spot.</w:t>
            </w:r>
          </w:p>
        </w:tc>
      </w:tr>
    </w:tbl>
    <w:p>
      <w:pPr>
        <w:spacing w:after="40"/>
      </w:pPr>
    </w:p>
    <w:p>
      <w:pPr>
        <w:keepNext/>
        <w:spacing w:before="200" w:after="60"/>
      </w:pPr>
      <w:r>
        <w:rPr>
          <w:rFonts w:ascii="Georgia" w:hAnsi="Georgia"/>
          <w:b/>
          <w:color w:val="1E3A8A"/>
          <w:sz w:val="22"/>
        </w:rPr>
        <w:t>11.2 Marco de Escenarios Ponderados (Pesimista / Base / Optimista)</w:t>
      </w:r>
    </w:p>
    <w:p>
      <w:pPr>
        <w:keepNext/>
        <w:spacing w:before="120" w:after="40"/>
      </w:pPr>
      <w:r>
        <w:rPr>
          <w:rFonts w:ascii="Georgia" w:hAnsi="Georgia"/>
          <w:b/>
          <w:color w:val="0D233A"/>
          <w:sz w:val="18"/>
        </w:rPr>
        <w:t>Tabla: Marco de Escenarios: Supuestos Operativos y Precios Objetivos Resultantes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592"/>
        <w:gridCol w:w="2592"/>
        <w:gridCol w:w="2592"/>
        <w:gridCol w:w="2592"/>
      </w:tblGrid>
      <w:tr>
        <w:tc>
          <w:tcPr>
            <w:tcW w:type="dxa" w:w="2592"/>
            <w:shd w:fill="F1F5F9"/>
            <w:tcMar>
              <w:top w:w="80" w:type="dxa"/>
              <w:bottom w:w="80" w:type="dxa"/>
              <w:left w:w="100" w:type="dxa"/>
              <w:right w:w="100" w:type="dxa"/>
            </w:tcMar>
          </w:tcPr>
          <w:p>
            <w:pPr>
              <w:spacing w:before="60" w:after="60"/>
              <w:jc w:val="left"/>
            </w:pPr>
            <w:r/>
            <w:r>
              <w:rPr>
                <w:rFonts w:ascii="Georgia" w:hAnsi="Georgia"/>
                <w:b/>
                <w:color w:val="0D233A"/>
                <w:sz w:val="17"/>
              </w:rPr>
              <w:t>Variable</w:t>
            </w:r>
          </w:p>
        </w:tc>
        <w:tc>
          <w:tcPr>
            <w:tcW w:type="dxa" w:w="2592"/>
            <w:shd w:fill="F1F5F9"/>
            <w:tcMar>
              <w:top w:w="80" w:type="dxa"/>
              <w:bottom w:w="80" w:type="dxa"/>
              <w:left w:w="100" w:type="dxa"/>
              <w:right w:w="100" w:type="dxa"/>
            </w:tcMar>
          </w:tcPr>
          <w:p>
            <w:pPr>
              <w:spacing w:before="60" w:after="60"/>
              <w:jc w:val="right"/>
            </w:pPr>
            <w:r/>
            <w:r>
              <w:rPr>
                <w:rFonts w:ascii="Georgia" w:hAnsi="Georgia"/>
                <w:b/>
                <w:color w:val="0D233A"/>
                <w:sz w:val="17"/>
              </w:rPr>
              <w:t>Pesimista (25%)</w:t>
            </w:r>
          </w:p>
        </w:tc>
        <w:tc>
          <w:tcPr>
            <w:tcW w:type="dxa" w:w="2592"/>
            <w:shd w:fill="F1F5F9"/>
            <w:tcMar>
              <w:top w:w="80" w:type="dxa"/>
              <w:bottom w:w="80" w:type="dxa"/>
              <w:left w:w="100" w:type="dxa"/>
              <w:right w:w="100" w:type="dxa"/>
            </w:tcMar>
          </w:tcPr>
          <w:p>
            <w:pPr>
              <w:spacing w:before="60" w:after="60"/>
              <w:jc w:val="right"/>
            </w:pPr>
            <w:r/>
            <w:r>
              <w:rPr>
                <w:rFonts w:ascii="Georgia" w:hAnsi="Georgia"/>
                <w:b/>
                <w:color w:val="0D233A"/>
                <w:sz w:val="17"/>
              </w:rPr>
              <w:t>Base (50%)</w:t>
            </w:r>
          </w:p>
        </w:tc>
        <w:tc>
          <w:tcPr>
            <w:tcW w:type="dxa" w:w="2592"/>
            <w:shd w:fill="F1F5F9"/>
            <w:tcMar>
              <w:top w:w="80" w:type="dxa"/>
              <w:bottom w:w="80" w:type="dxa"/>
              <w:left w:w="100" w:type="dxa"/>
              <w:right w:w="100" w:type="dxa"/>
            </w:tcMar>
          </w:tcPr>
          <w:p>
            <w:pPr>
              <w:spacing w:before="60" w:after="60"/>
              <w:jc w:val="right"/>
            </w:pPr>
            <w:r/>
            <w:r>
              <w:rPr>
                <w:rFonts w:ascii="Georgia" w:hAnsi="Georgia"/>
                <w:b/>
                <w:color w:val="0D233A"/>
                <w:sz w:val="17"/>
              </w:rPr>
              <w:t>Optimista (25%)</w:t>
            </w:r>
          </w:p>
        </w:tc>
      </w:tr>
      <w:tr>
        <w:tc>
          <w:tcPr>
            <w:tcW w:type="dxa" w:w="2592"/>
            <w:tcMar>
              <w:top w:w="60" w:type="dxa"/>
              <w:bottom w:w="60" w:type="dxa"/>
              <w:left w:w="100" w:type="dxa"/>
              <w:right w:w="100" w:type="dxa"/>
            </w:tcMar>
          </w:tcPr>
          <w:p>
            <w:pPr>
              <w:spacing w:before="40" w:after="40"/>
              <w:jc w:val="left"/>
            </w:pPr>
            <w:r/>
            <w:r>
              <w:rPr>
                <w:rFonts w:ascii="Georgia" w:hAnsi="Georgia"/>
                <w:color w:val="0F172A"/>
                <w:sz w:val="17"/>
              </w:rPr>
              <w:t>Precio LME</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Caída hacia costo marginal global (~USD 1.900/t).</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Nivel medio de equilibrio OU (USD 2.450–2.814/t).</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LME sostenido &gt; USD 3.000/t por déficit de oferta.</w:t>
            </w:r>
          </w:p>
        </w:tc>
      </w:tr>
      <w:tr>
        <w:tc>
          <w:tcPr>
            <w:tcW w:type="dxa" w:w="2592"/>
            <w:tcMar>
              <w:top w:w="60" w:type="dxa"/>
              <w:bottom w:w="60" w:type="dxa"/>
              <w:left w:w="100" w:type="dxa"/>
              <w:right w:w="100" w:type="dxa"/>
            </w:tcMar>
          </w:tcPr>
          <w:p>
            <w:pPr>
              <w:spacing w:before="40" w:after="40"/>
              <w:jc w:val="left"/>
            </w:pPr>
            <w:r/>
            <w:r>
              <w:rPr>
                <w:rFonts w:ascii="Georgia" w:hAnsi="Georgia"/>
                <w:color w:val="0F172A"/>
                <w:sz w:val="17"/>
              </w:rPr>
              <w:t>Riesgo País (EMBI+)</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Rebote soberano a &gt; 800 pb.</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Estabilización a largo plazo (≈ 441 pb).</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Compresión continua por debajo de 350 pb.</w:t>
            </w:r>
          </w:p>
        </w:tc>
      </w:tr>
      <w:tr>
        <w:tc>
          <w:tcPr>
            <w:tcW w:type="dxa" w:w="2592"/>
            <w:tcMar>
              <w:top w:w="60" w:type="dxa"/>
              <w:bottom w:w="60" w:type="dxa"/>
              <w:left w:w="100" w:type="dxa"/>
              <w:right w:w="100" w:type="dxa"/>
            </w:tcMar>
          </w:tcPr>
          <w:p>
            <w:pPr>
              <w:spacing w:before="40" w:after="40"/>
              <w:jc w:val="left"/>
            </w:pPr>
            <w:r/>
            <w:r>
              <w:rPr>
                <w:rFonts w:ascii="Georgia" w:hAnsi="Georgia"/>
                <w:b/>
                <w:color w:val="0D233A"/>
                <w:sz w:val="17"/>
              </w:rPr>
              <w:t>WACC / g</w:t>
            </w:r>
          </w:p>
        </w:tc>
        <w:tc>
          <w:tcPr>
            <w:tcW w:type="dxa" w:w="2592"/>
            <w:tcMar>
              <w:top w:w="60" w:type="dxa"/>
              <w:bottom w:w="60" w:type="dxa"/>
              <w:left w:w="100" w:type="dxa"/>
              <w:right w:w="100" w:type="dxa"/>
            </w:tcMar>
          </w:tcPr>
          <w:p>
            <w:pPr>
              <w:spacing w:before="40" w:after="40"/>
              <w:jc w:val="right"/>
            </w:pPr>
            <w:r/>
            <w:r>
              <w:rPr>
                <w:rFonts w:ascii="Georgia" w:hAnsi="Georgia"/>
                <w:b/>
                <w:color w:val="0D233A"/>
                <w:sz w:val="17"/>
              </w:rPr>
              <w:t>9,0% / 1,5%</w:t>
            </w:r>
          </w:p>
        </w:tc>
        <w:tc>
          <w:tcPr>
            <w:tcW w:type="dxa" w:w="2592"/>
            <w:tcMar>
              <w:top w:w="60" w:type="dxa"/>
              <w:bottom w:w="60" w:type="dxa"/>
              <w:left w:w="100" w:type="dxa"/>
              <w:right w:w="100" w:type="dxa"/>
            </w:tcMar>
          </w:tcPr>
          <w:p>
            <w:pPr>
              <w:spacing w:before="40" w:after="40"/>
              <w:jc w:val="right"/>
            </w:pPr>
            <w:r/>
            <w:r>
              <w:rPr>
                <w:rFonts w:ascii="Georgia" w:hAnsi="Georgia"/>
                <w:b/>
                <w:color w:val="0D233A"/>
                <w:sz w:val="17"/>
              </w:rPr>
              <w:t>7,06% / 2,0%</w:t>
            </w:r>
          </w:p>
        </w:tc>
        <w:tc>
          <w:tcPr>
            <w:tcW w:type="dxa" w:w="2592"/>
            <w:tcMar>
              <w:top w:w="60" w:type="dxa"/>
              <w:bottom w:w="60" w:type="dxa"/>
              <w:left w:w="100" w:type="dxa"/>
              <w:right w:w="100" w:type="dxa"/>
            </w:tcMar>
          </w:tcPr>
          <w:p>
            <w:pPr>
              <w:spacing w:before="40" w:after="40"/>
              <w:jc w:val="right"/>
            </w:pPr>
            <w:r/>
            <w:r>
              <w:rPr>
                <w:rFonts w:ascii="Georgia" w:hAnsi="Georgia"/>
                <w:b/>
                <w:color w:val="0D233A"/>
                <w:sz w:val="17"/>
              </w:rPr>
              <w:t>6,5% / 2,2%</w:t>
            </w:r>
          </w:p>
        </w:tc>
      </w:tr>
      <w:tr>
        <w:tc>
          <w:tcPr>
            <w:tcW w:type="dxa" w:w="2592"/>
            <w:tcMar>
              <w:top w:w="60" w:type="dxa"/>
              <w:bottom w:w="60" w:type="dxa"/>
              <w:left w:w="100" w:type="dxa"/>
              <w:right w:w="100" w:type="dxa"/>
            </w:tcMar>
          </w:tcPr>
          <w:p>
            <w:pPr>
              <w:spacing w:before="40" w:after="40"/>
              <w:jc w:val="left"/>
            </w:pPr>
            <w:r/>
            <w:r>
              <w:rPr>
                <w:rFonts w:ascii="Georgia" w:hAnsi="Georgia"/>
                <w:color w:val="0F172A"/>
                <w:sz w:val="17"/>
              </w:rPr>
              <w:t>Precio Objetivo (DCF)</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ARS 781 (-20,5%)</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ARS 1.236,00 (Caso Base)</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ARS 1.481 (+50,7%)</w:t>
            </w:r>
          </w:p>
        </w:tc>
      </w:tr>
    </w:tbl>
    <w:p>
      <w:pPr>
        <w:spacing w:after="80"/>
      </w:pPr>
    </w:p>
    <w:p>
      <w:pPr>
        <w:keepNext/>
        <w:spacing w:before="280" w:after="80"/>
        <w:pBrd>
          <w:bottom w:val="single" w:sz="8" w:space="2" w:color="0D233A"/>
        </w:pBrd>
      </w:pPr>
      <w:r>
        <w:rPr>
          <w:rFonts w:ascii="Georgia" w:hAnsi="Georgia"/>
          <w:b/>
          <w:color w:val="0D233A"/>
          <w:sz w:val="26"/>
        </w:rPr>
        <w:t>12. Análisis de Sensibilidad Bidimensional y Matriz de Rangos</w:t>
      </w:r>
    </w:p>
    <w:p>
      <w:pPr>
        <w:keepNext/>
        <w:spacing w:before="200" w:after="60"/>
      </w:pPr>
      <w:r>
        <w:rPr>
          <w:rFonts w:ascii="Georgia" w:hAnsi="Georgia"/>
          <w:b/>
          <w:color w:val="1E3A8A"/>
          <w:sz w:val="22"/>
        </w:rPr>
        <w:t>12.1 Sensibilidad Cruzada: WACC vs. Tasa de Crecimiento Terminal (g)</w:t>
      </w:r>
    </w:p>
    <w:p>
      <w:pPr>
        <w:spacing w:before="0" w:after="60" w:line="276" w:lineRule="auto"/>
      </w:pPr>
      <w:r>
        <w:rPr>
          <w:rFonts w:ascii="Georgia" w:hAnsi="Georgia"/>
          <w:color w:val="0F172A"/>
          <w:sz w:val="19"/>
        </w:rPr>
        <w:t>La matriz bidimensional confirma que la recomendación COMPRAR se mantiene válida para cualquier tasa WACC inferior a 8,0% con tasas de crecimiento terminal g ≥ 1,5%.</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541920"/>
                  <wp:docPr id="19" name="Picture 19"/>
                  <wp:cNvGraphicFramePr>
                    <a:graphicFrameLocks noChangeAspect="1"/>
                  </wp:cNvGraphicFramePr>
                  <a:graphic>
                    <a:graphicData uri="http://schemas.openxmlformats.org/drawingml/2006/picture">
                      <pic:pic>
                        <pic:nvPicPr>
                          <pic:cNvPr id="0" name="figura_19.png"/>
                          <pic:cNvPicPr/>
                        </pic:nvPicPr>
                        <pic:blipFill>
                          <a:blip r:embed="rId29"/>
                          <a:stretch>
                            <a:fillRect/>
                          </a:stretch>
                        </pic:blipFill>
                        <pic:spPr>
                          <a:xfrm>
                            <a:off x="0" y="0"/>
                            <a:ext cx="3017520" cy="1541920"/>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735190"/>
                  <wp:docPr id="20" name="Picture 20"/>
                  <wp:cNvGraphicFramePr>
                    <a:graphicFrameLocks noChangeAspect="1"/>
                  </wp:cNvGraphicFramePr>
                  <a:graphic>
                    <a:graphicData uri="http://schemas.openxmlformats.org/drawingml/2006/picture">
                      <pic:pic>
                        <pic:nvPicPr>
                          <pic:cNvPr id="0" name="figura_20.png"/>
                          <pic:cNvPicPr/>
                        </pic:nvPicPr>
                        <pic:blipFill>
                          <a:blip r:embed="rId30"/>
                          <a:stretch>
                            <a:fillRect/>
                          </a:stretch>
                        </pic:blipFill>
                        <pic:spPr>
                          <a:xfrm>
                            <a:off x="0" y="0"/>
                            <a:ext cx="3017520" cy="1735190"/>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19: Matriz WACC vs. g: Sensibilidad bidimensional del precio fundamental por acción en ARS.</w:t>
            </w:r>
          </w:p>
        </w:tc>
        <w:tc>
          <w:tcPr>
            <w:tcW w:type="dxa" w:w="4896"/>
            <w:tcMar>
              <w:top w:w="40" w:type="dxa"/>
              <w:bottom w:w="40" w:type="dxa"/>
              <w:left w:w="40" w:type="dxa"/>
              <w:right w:w="40" w:type="dxa"/>
            </w:tcMar>
          </w:tcPr>
          <w:p>
            <w:pPr>
              <w:spacing w:after="80"/>
              <w:jc w:val="left"/>
            </w:pPr>
            <w:r>
              <w:rPr>
                <w:rFonts w:ascii="Georgia" w:hAnsi="Georgia"/>
                <w:color w:val="4A4A4A"/>
                <w:sz w:val="16"/>
              </w:rPr>
              <w:t>Figura 20: Simulación Monte Carlo (20.000 iteraciones): Distribución empírica con innovaciones t-Student (ν=4,2).</w:t>
            </w:r>
          </w:p>
        </w:tc>
      </w:tr>
    </w:tbl>
    <w:p>
      <w:pPr>
        <w:spacing w:after="40"/>
      </w:pPr>
    </w:p>
    <w:p>
      <w:pPr>
        <w:keepNext/>
        <w:spacing w:before="120" w:after="40"/>
      </w:pPr>
      <w:r>
        <w:rPr>
          <w:rFonts w:ascii="Georgia" w:hAnsi="Georgia"/>
          <w:b/>
          <w:color w:val="0D233A"/>
          <w:sz w:val="18"/>
        </w:rPr>
        <w:t>Tabla: Resumen de Precios Intrínsecos según Metodología (ARS/acción)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592"/>
        <w:gridCol w:w="2592"/>
        <w:gridCol w:w="2592"/>
        <w:gridCol w:w="2592"/>
      </w:tblGrid>
      <w:tr>
        <w:tc>
          <w:tcPr>
            <w:tcW w:type="dxa" w:w="5040"/>
            <w:shd w:fill="F1F5F9"/>
            <w:tcMar>
              <w:top w:w="80" w:type="dxa"/>
              <w:bottom w:w="80" w:type="dxa"/>
              <w:left w:w="100" w:type="dxa"/>
              <w:right w:w="100" w:type="dxa"/>
            </w:tcMar>
          </w:tcPr>
          <w:p>
            <w:pPr>
              <w:spacing w:before="60" w:after="60"/>
              <w:jc w:val="left"/>
            </w:pPr>
            <w:r/>
            <w:r>
              <w:rPr>
                <w:rFonts w:ascii="Georgia" w:hAnsi="Georgia"/>
                <w:b/>
                <w:color w:val="0D233A"/>
                <w:sz w:val="17"/>
              </w:rPr>
              <w:t>Metodología de Valuación</w:t>
            </w:r>
          </w:p>
        </w:tc>
        <w:tc>
          <w:tcPr>
            <w:tcW w:type="dxa" w:w="1584"/>
            <w:shd w:fill="F1F5F9"/>
            <w:tcMar>
              <w:top w:w="80" w:type="dxa"/>
              <w:bottom w:w="80" w:type="dxa"/>
              <w:left w:w="100" w:type="dxa"/>
              <w:right w:w="100" w:type="dxa"/>
            </w:tcMar>
          </w:tcPr>
          <w:p>
            <w:pPr>
              <w:spacing w:before="60" w:after="60"/>
              <w:jc w:val="right"/>
            </w:pPr>
            <w:r/>
            <w:r>
              <w:rPr>
                <w:rFonts w:ascii="Georgia" w:hAnsi="Georgia"/>
                <w:b/>
                <w:color w:val="0D233A"/>
                <w:sz w:val="17"/>
              </w:rPr>
              <w:t>Mínimo</w:t>
            </w:r>
          </w:p>
        </w:tc>
        <w:tc>
          <w:tcPr>
            <w:tcW w:type="dxa" w:w="1728"/>
            <w:shd w:fill="F1F5F9"/>
            <w:tcMar>
              <w:top w:w="80" w:type="dxa"/>
              <w:bottom w:w="80" w:type="dxa"/>
              <w:left w:w="100" w:type="dxa"/>
              <w:right w:w="100" w:type="dxa"/>
            </w:tcMar>
          </w:tcPr>
          <w:p>
            <w:pPr>
              <w:spacing w:before="60" w:after="60"/>
              <w:jc w:val="right"/>
            </w:pPr>
            <w:r/>
            <w:r>
              <w:rPr>
                <w:rFonts w:ascii="Georgia" w:hAnsi="Georgia"/>
                <w:b/>
                <w:color w:val="0D233A"/>
                <w:sz w:val="17"/>
              </w:rPr>
              <w:t>Central</w:t>
            </w:r>
          </w:p>
        </w:tc>
        <w:tc>
          <w:tcPr>
            <w:tcW w:type="dxa" w:w="1584"/>
            <w:shd w:fill="F1F5F9"/>
            <w:tcMar>
              <w:top w:w="80" w:type="dxa"/>
              <w:bottom w:w="80" w:type="dxa"/>
              <w:left w:w="100" w:type="dxa"/>
              <w:right w:w="100" w:type="dxa"/>
            </w:tcMar>
          </w:tcPr>
          <w:p>
            <w:pPr>
              <w:spacing w:before="60" w:after="60"/>
              <w:jc w:val="right"/>
            </w:pPr>
            <w:r/>
            <w:r>
              <w:rPr>
                <w:rFonts w:ascii="Georgia" w:hAnsi="Georgia"/>
                <w:b/>
                <w:color w:val="0D233A"/>
                <w:sz w:val="17"/>
              </w:rPr>
              <w:t>Máximo</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DCF λ=1,0 (Sin Cobertura de Riesgo País)</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776</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DCF con Tasa de Reinversión Damodaran</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993</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DCF Caso Base Oficial (Dumrauf, λ=0,20)</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1.236</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DCF Crecimiento Optimista (g=2,5%)</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1.371</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Monte Carlo (Percentiles P5 / Mediana / P95)</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844</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1.237</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1.737</w:t>
            </w:r>
          </w:p>
        </w:tc>
      </w:tr>
      <w:tr>
        <w:tc>
          <w:tcPr>
            <w:tcW w:type="dxa" w:w="5040"/>
            <w:tcMar>
              <w:top w:w="60" w:type="dxa"/>
              <w:bottom w:w="60" w:type="dxa"/>
              <w:left w:w="100" w:type="dxa"/>
              <w:right w:w="100" w:type="dxa"/>
            </w:tcMar>
          </w:tcPr>
          <w:p>
            <w:pPr>
              <w:spacing w:before="40" w:after="40"/>
              <w:jc w:val="left"/>
            </w:pPr>
            <w:r/>
            <w:r>
              <w:rPr>
                <w:rFonts w:ascii="Georgia" w:hAnsi="Georgia"/>
                <w:b/>
                <w:color w:val="0D233A"/>
                <w:sz w:val="17"/>
              </w:rPr>
              <w:t>Target Integrado (DCF + Opción Real PEAL V)</w:t>
            </w:r>
          </w:p>
        </w:tc>
        <w:tc>
          <w:tcPr>
            <w:tcW w:type="dxa" w:w="1584"/>
            <w:tcMar>
              <w:top w:w="60" w:type="dxa"/>
              <w:bottom w:w="60" w:type="dxa"/>
              <w:left w:w="100" w:type="dxa"/>
              <w:right w:w="100" w:type="dxa"/>
            </w:tcMar>
          </w:tcPr>
          <w:p>
            <w:pPr>
              <w:spacing w:before="40" w:after="40"/>
              <w:jc w:val="right"/>
            </w:pPr>
            <w:r/>
            <w:r>
              <w:rPr>
                <w:rFonts w:ascii="Georgia" w:hAnsi="Georgia"/>
                <w:b/>
                <w:color w:val="0D233A"/>
                <w:sz w:val="17"/>
              </w:rPr>
              <w:t>--</w:t>
            </w:r>
          </w:p>
        </w:tc>
        <w:tc>
          <w:tcPr>
            <w:tcW w:type="dxa" w:w="1728"/>
            <w:tcMar>
              <w:top w:w="60" w:type="dxa"/>
              <w:bottom w:w="60" w:type="dxa"/>
              <w:left w:w="100" w:type="dxa"/>
              <w:right w:w="100" w:type="dxa"/>
            </w:tcMar>
          </w:tcPr>
          <w:p>
            <w:pPr>
              <w:spacing w:before="40" w:after="40"/>
              <w:jc w:val="right"/>
            </w:pPr>
            <w:r/>
            <w:r>
              <w:rPr>
                <w:rFonts w:ascii="Georgia" w:hAnsi="Georgia"/>
                <w:b/>
                <w:color w:val="0D233A"/>
                <w:sz w:val="17"/>
              </w:rPr>
              <w:t>1.255,60</w:t>
            </w:r>
          </w:p>
        </w:tc>
        <w:tc>
          <w:tcPr>
            <w:tcW w:type="dxa" w:w="1584"/>
            <w:tcMar>
              <w:top w:w="60" w:type="dxa"/>
              <w:bottom w:w="60" w:type="dxa"/>
              <w:left w:w="100" w:type="dxa"/>
              <w:right w:w="100" w:type="dxa"/>
            </w:tcMar>
          </w:tcPr>
          <w:p>
            <w:pPr>
              <w:spacing w:before="40" w:after="40"/>
              <w:jc w:val="right"/>
            </w:pPr>
            <w:r/>
            <w:r>
              <w:rPr>
                <w:rFonts w:ascii="Georgia" w:hAnsi="Georgia"/>
                <w:b/>
                <w:color w:val="0D233A"/>
                <w:sz w:val="17"/>
              </w:rPr>
              <w:t>--</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Escenarios Ponderados (25/50/25)</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1.184</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Cotización Spot de Mercado</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982,50</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w:t>
            </w:r>
          </w:p>
        </w:tc>
      </w:tr>
    </w:tbl>
    <w:p>
      <w:pPr>
        <w:spacing w:after="80"/>
      </w:pPr>
    </w:p>
    <w:p>
      <w:pPr>
        <w:keepNext/>
        <w:spacing w:before="280" w:after="80"/>
        <w:pBrd>
          <w:bottom w:val="single" w:sz="8" w:space="2" w:color="0D233A"/>
        </w:pBrd>
      </w:pPr>
      <w:r>
        <w:rPr>
          <w:rFonts w:ascii="Georgia" w:hAnsi="Georgia"/>
          <w:b/>
          <w:color w:val="0D233A"/>
          <w:sz w:val="26"/>
        </w:rPr>
        <w:t>13. Simulación Estocástica de Monte Carlo y DCF Inverso</w:t>
      </w:r>
    </w:p>
    <w:p>
      <w:pPr>
        <w:keepNext/>
        <w:spacing w:before="200" w:after="60"/>
      </w:pPr>
      <w:r>
        <w:rPr>
          <w:rFonts w:ascii="Georgia" w:hAnsi="Georgia"/>
          <w:b/>
          <w:color w:val="1E3A8A"/>
          <w:sz w:val="22"/>
        </w:rPr>
        <w:t>13.1 Distribución Empírica con Innovaciones t-Student (ν=4,2)</w:t>
      </w:r>
    </w:p>
    <w:p>
      <w:pPr>
        <w:spacing w:before="80" w:after="80"/>
        <w:jc w:val="center"/>
      </w:pPr>
      <w:r>
        <w:rPr>
          <w:rFonts w:ascii="Cambria Math" w:hAnsi="Cambria Math"/>
          <w:b/>
          <w:color w:val="0D233A"/>
          <w:sz w:val="21"/>
        </w:rPr>
        <w:t xml:space="preserve">   WACC_{sim} = WACC + σ_{WACC} × √((ν-2)/ν) × T_ν,   g_{sim} = g + σ_g × √((ν-2)/ν) × T_ν   </w:t>
      </w:r>
      <w:r>
        <w:rPr>
          <w:rFonts w:ascii="Georgia" w:hAnsi="Georgia"/>
          <w:i/>
          <w:color w:val="4A4A4A"/>
          <w:sz w:val="18"/>
        </w:rPr>
        <w:t xml:space="preserve">    (Innovaciones t-Student)</w:t>
      </w:r>
    </w:p>
    <w:p>
      <w:pPr>
        <w:spacing w:before="0" w:after="60" w:line="276" w:lineRule="auto"/>
      </w:pPr>
      <w:r>
        <w:rPr>
          <w:rFonts w:ascii="Georgia" w:hAnsi="Georgia"/>
          <w:color w:val="0F172A"/>
          <w:sz w:val="19"/>
        </w:rPr>
        <w:t>La simulación de Monte Carlo con 20.000 iteraciones e innovaciones con colas pesadas t-Student arroja una mediana de ARS 1.237 y un intervalo de confianza P5–P95 de ARS 844 a ARS 1.737, con un 85,2% de probabilidad empírica de retorno positivo frente a la cotización spot.</w:t>
      </w:r>
    </w:p>
    <w:p>
      <w:pPr>
        <w:keepNext/>
        <w:spacing w:before="200" w:after="60"/>
      </w:pPr>
      <w:r>
        <w:rPr>
          <w:rFonts w:ascii="Georgia" w:hAnsi="Georgia"/>
          <w:b/>
          <w:color w:val="1E3A8A"/>
          <w:sz w:val="22"/>
        </w:rPr>
        <w:t>13.2 Expectativas Implícitas: Tasa de Crecimiento del DCF Inverso (g* = 0,69%)</w:t>
      </w:r>
    </w:p>
    <w:p>
      <w:pPr>
        <w:spacing w:before="0" w:after="60" w:line="276" w:lineRule="auto"/>
      </w:pPr>
      <w:r>
        <w:rPr>
          <w:rFonts w:ascii="Georgia" w:hAnsi="Georgia"/>
          <w:color w:val="0F172A"/>
          <w:sz w:val="19"/>
        </w:rPr>
        <w:t>Despejando la tasa de crecimiento terminal implícita en la cotización de mercado, se comprueba que el precio actual descuenta un crecimiento a perpetuidad de apenas g* = 0,69%, muy por debajo del 2,0% fundamental de largo plazo.</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735190"/>
                  <wp:docPr id="21" name="Picture 21"/>
                  <wp:cNvGraphicFramePr>
                    <a:graphicFrameLocks noChangeAspect="1"/>
                  </wp:cNvGraphicFramePr>
                  <a:graphic>
                    <a:graphicData uri="http://schemas.openxmlformats.org/drawingml/2006/picture">
                      <pic:pic>
                        <pic:nvPicPr>
                          <pic:cNvPr id="0" name="figura_21.png"/>
                          <pic:cNvPicPr/>
                        </pic:nvPicPr>
                        <pic:blipFill>
                          <a:blip r:embed="rId31"/>
                          <a:stretch>
                            <a:fillRect/>
                          </a:stretch>
                        </pic:blipFill>
                        <pic:spPr>
                          <a:xfrm>
                            <a:off x="0" y="0"/>
                            <a:ext cx="3017520" cy="1735190"/>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598185"/>
                  <wp:docPr id="22" name="Picture 22"/>
                  <wp:cNvGraphicFramePr>
                    <a:graphicFrameLocks noChangeAspect="1"/>
                  </wp:cNvGraphicFramePr>
                  <a:graphic>
                    <a:graphicData uri="http://schemas.openxmlformats.org/drawingml/2006/picture">
                      <pic:pic>
                        <pic:nvPicPr>
                          <pic:cNvPr id="0" name="figura_22.png"/>
                          <pic:cNvPicPr/>
                        </pic:nvPicPr>
                        <pic:blipFill>
                          <a:blip r:embed="rId32"/>
                          <a:stretch>
                            <a:fillRect/>
                          </a:stretch>
                        </pic:blipFill>
                        <pic:spPr>
                          <a:xfrm>
                            <a:off x="0" y="0"/>
                            <a:ext cx="3017520" cy="1598185"/>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21: DCF Inverso: Tasa g implícita descontada en el precio de mercado (0,69%).</w:t>
            </w:r>
          </w:p>
        </w:tc>
        <w:tc>
          <w:tcPr>
            <w:tcW w:type="dxa" w:w="4896"/>
            <w:tcMar>
              <w:top w:w="40" w:type="dxa"/>
              <w:bottom w:w="40" w:type="dxa"/>
              <w:left w:w="40" w:type="dxa"/>
              <w:right w:w="40" w:type="dxa"/>
            </w:tcMar>
          </w:tcPr>
          <w:p>
            <w:pPr>
              <w:spacing w:after="80"/>
              <w:jc w:val="left"/>
            </w:pPr>
            <w:r>
              <w:rPr>
                <w:rFonts w:ascii="Georgia" w:hAnsi="Georgia"/>
                <w:color w:val="4A4A4A"/>
                <w:sz w:val="16"/>
              </w:rPr>
              <w:t>Figura 22: Convergencia de Múltiplos: Normalización del múltiplo EV/EBITDA hacia 6,75x.</w:t>
            </w:r>
          </w:p>
        </w:tc>
      </w:tr>
    </w:tbl>
    <w:p>
      <w:pPr>
        <w:spacing w:after="40"/>
      </w:pPr>
    </w:p>
    <w:p>
      <w:pPr>
        <w:keepNext/>
        <w:spacing w:before="280" w:after="80"/>
        <w:pBrd>
          <w:bottom w:val="single" w:sz="8" w:space="2" w:color="0D233A"/>
        </w:pBrd>
      </w:pPr>
      <w:r>
        <w:rPr>
          <w:rFonts w:ascii="Georgia" w:hAnsi="Georgia"/>
          <w:b/>
          <w:color w:val="0D233A"/>
          <w:sz w:val="26"/>
        </w:rPr>
        <w:t>14. Valuación Relativa Sectorial y Múltiplos Comparables LTM y Forward</w:t>
      </w:r>
    </w:p>
    <w:p>
      <w:pPr>
        <w:spacing w:before="0" w:after="60" w:line="276" w:lineRule="auto"/>
      </w:pPr>
      <w:r>
        <w:rPr>
          <w:rFonts w:ascii="Georgia" w:hAnsi="Georgia"/>
          <w:color w:val="0F172A"/>
          <w:sz w:val="19"/>
        </w:rPr>
        <w:t>El análisis comparativo sectorial confirma la divergencia entre la valuación basada en cifras LTM y la capacidad de generación normalizada. Mientras el múltiplo LTM de Aluar (13,3x) refleja la compresión de resultados de FY2025, el rendimiento proyectado del flujo libre de caja (FCF Yield 2027E &gt; 10%) supera ampliamente la mediana de la industria internacional (3,8%):</w:t>
      </w:r>
    </w:p>
    <w:p>
      <w:pPr>
        <w:keepNext/>
        <w:spacing w:before="120" w:after="40"/>
      </w:pPr>
      <w:r>
        <w:rPr>
          <w:rFonts w:ascii="Georgia" w:hAnsi="Georgia"/>
          <w:b/>
          <w:color w:val="0D233A"/>
          <w:sz w:val="18"/>
        </w:rPr>
        <w:t>Tabla: Múltiplos Financieros y Rendimientos del Sector Aluminio (julio-2026)</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728"/>
        <w:gridCol w:w="1728"/>
        <w:gridCol w:w="1728"/>
        <w:gridCol w:w="1728"/>
        <w:gridCol w:w="1728"/>
        <w:gridCol w:w="1728"/>
      </w:tblGrid>
      <w:tr>
        <w:tc>
          <w:tcPr>
            <w:tcW w:type="dxa" w:w="3456"/>
            <w:shd w:fill="F1F5F9"/>
            <w:tcMar>
              <w:top w:w="80" w:type="dxa"/>
              <w:bottom w:w="80" w:type="dxa"/>
              <w:left w:w="100" w:type="dxa"/>
              <w:right w:w="100" w:type="dxa"/>
            </w:tcMar>
          </w:tcPr>
          <w:p>
            <w:pPr>
              <w:spacing w:before="60" w:after="60"/>
              <w:jc w:val="left"/>
            </w:pPr>
            <w:r/>
            <w:r>
              <w:rPr>
                <w:rFonts w:ascii="Georgia" w:hAnsi="Georgia"/>
                <w:b/>
                <w:color w:val="0D233A"/>
                <w:sz w:val="17"/>
              </w:rPr>
              <w:t>Compañía / Ticker</w:t>
            </w:r>
          </w:p>
        </w:tc>
        <w:tc>
          <w:tcPr>
            <w:tcW w:type="dxa" w:w="1440"/>
            <w:shd w:fill="F1F5F9"/>
            <w:tcMar>
              <w:top w:w="80" w:type="dxa"/>
              <w:bottom w:w="80" w:type="dxa"/>
              <w:left w:w="100" w:type="dxa"/>
              <w:right w:w="100" w:type="dxa"/>
            </w:tcMar>
          </w:tcPr>
          <w:p>
            <w:pPr>
              <w:spacing w:before="60" w:after="60"/>
              <w:jc w:val="right"/>
            </w:pPr>
            <w:r/>
            <w:r>
              <w:rPr>
                <w:rFonts w:ascii="Georgia" w:hAnsi="Georgia"/>
                <w:b/>
                <w:color w:val="0D233A"/>
                <w:sz w:val="17"/>
              </w:rPr>
              <w:t>EV/EBITDA LTM</w:t>
            </w:r>
          </w:p>
        </w:tc>
        <w:tc>
          <w:tcPr>
            <w:tcW w:type="dxa" w:w="1440"/>
            <w:shd w:fill="F1F5F9"/>
            <w:tcMar>
              <w:top w:w="80" w:type="dxa"/>
              <w:bottom w:w="80" w:type="dxa"/>
              <w:left w:w="100" w:type="dxa"/>
              <w:right w:w="100" w:type="dxa"/>
            </w:tcMar>
          </w:tcPr>
          <w:p>
            <w:pPr>
              <w:spacing w:before="60" w:after="60"/>
              <w:jc w:val="right"/>
            </w:pPr>
            <w:r/>
            <w:r>
              <w:rPr>
                <w:rFonts w:ascii="Georgia" w:hAnsi="Georgia"/>
                <w:b/>
                <w:color w:val="0D233A"/>
                <w:sz w:val="17"/>
              </w:rPr>
              <w:t>Crec. Ventas LTM</w:t>
            </w:r>
          </w:p>
        </w:tc>
        <w:tc>
          <w:tcPr>
            <w:tcW w:type="dxa" w:w="1440"/>
            <w:shd w:fill="F1F5F9"/>
            <w:tcMar>
              <w:top w:w="80" w:type="dxa"/>
              <w:bottom w:w="80" w:type="dxa"/>
              <w:left w:w="100" w:type="dxa"/>
              <w:right w:w="100" w:type="dxa"/>
            </w:tcMar>
          </w:tcPr>
          <w:p>
            <w:pPr>
              <w:spacing w:before="60" w:after="60"/>
              <w:jc w:val="right"/>
            </w:pPr>
            <w:r/>
            <w:r>
              <w:rPr>
                <w:rFonts w:ascii="Georgia" w:hAnsi="Georgia"/>
                <w:b/>
                <w:color w:val="0D233A"/>
                <w:sz w:val="17"/>
              </w:rPr>
              <w:t>Margen EBITDA LTM</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ROIC LTM</w:t>
            </w:r>
          </w:p>
        </w:tc>
        <w:tc>
          <w:tcPr>
            <w:tcW w:type="dxa" w:w="1440"/>
            <w:shd w:fill="F1F5F9"/>
            <w:tcMar>
              <w:top w:w="80" w:type="dxa"/>
              <w:bottom w:w="80" w:type="dxa"/>
              <w:left w:w="100" w:type="dxa"/>
              <w:right w:w="100" w:type="dxa"/>
            </w:tcMar>
          </w:tcPr>
          <w:p>
            <w:pPr>
              <w:spacing w:before="60" w:after="60"/>
              <w:jc w:val="right"/>
            </w:pPr>
            <w:r/>
            <w:r>
              <w:rPr>
                <w:rFonts w:ascii="Georgia" w:hAnsi="Georgia"/>
                <w:b/>
                <w:color w:val="0D233A"/>
                <w:sz w:val="17"/>
              </w:rPr>
              <w:t>FCF Yield 2026E/27E</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ALUAR (ALUA.BA)</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13,3x</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8,0%</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14,9%</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4,3%</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-4,1% / +12,8%</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Alcoa Corp. (AA)</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8,5x</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6,5%</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12,0%</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5,5%</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4,8%</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Chalco (ACH)</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9,0x</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9,2%</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15,1%</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8,0%</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5,2%</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Kaiser Aluminum (KALU)</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7,2x</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4,1%</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9,8%</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3,5%</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3,0%</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Norsk Hydro (NHYDY)</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6,4x</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5,8%</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13,5%</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6,2%</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4,1%</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Constellium (CSTM)</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5,4x</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3,2%</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10,1%</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5,0%</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3,5%</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Rusal</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5,1x</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-2,0%</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8,4%</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2,1%</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1,5%</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Mediana de la Industria</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7,2x</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5,0%</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11,1%</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5,3%</w:t>
            </w:r>
          </w:p>
        </w:tc>
        <w:tc>
          <w:tcPr>
            <w:tcW w:type="dxa" w:w="1440"/>
            <w:tcMar>
              <w:top w:w="60" w:type="dxa"/>
              <w:bottom w:w="60" w:type="dxa"/>
              <w:left w:w="100" w:type="dxa"/>
              <w:right w:w="100" w:type="dxa"/>
            </w:tcMar>
          </w:tcPr>
          <w:p>
            <w:pPr>
              <w:spacing w:before="40" w:after="40"/>
              <w:jc w:val="right"/>
            </w:pPr>
            <w:r/>
            <w:r>
              <w:rPr>
                <w:rFonts w:ascii="Georgia" w:hAnsi="Georgia"/>
                <w:color w:val="0F172A"/>
                <w:sz w:val="17"/>
              </w:rPr>
              <w:t>3,8%</w:t>
            </w:r>
          </w:p>
        </w:tc>
      </w:tr>
    </w:tbl>
    <w:p>
      <w:pPr>
        <w:spacing w:after="80"/>
      </w:pPr>
    </w:p>
    <w:p>
      <w:pPr>
        <w:keepNext/>
        <w:spacing w:before="280" w:after="80"/>
        <w:pBrd>
          <w:bottom w:val="single" w:sz="8" w:space="2" w:color="0D233A"/>
        </w:pBrd>
      </w:pPr>
      <w:r>
        <w:rPr>
          <w:rFonts w:ascii="Georgia" w:hAnsi="Georgia"/>
          <w:b/>
          <w:color w:val="0D233A"/>
          <w:sz w:val="26"/>
        </w:rPr>
        <w:t>15. Gestión de Riesgos de Mercado y Asignación Óptima de Cartera</w:t>
      </w:r>
    </w:p>
    <w:p>
      <w:pPr>
        <w:keepNext/>
        <w:spacing w:before="200" w:after="60"/>
      </w:pPr>
      <w:r>
        <w:rPr>
          <w:rFonts w:ascii="Georgia" w:hAnsi="Georgia"/>
          <w:b/>
          <w:color w:val="1E3A8A"/>
          <w:sz w:val="22"/>
        </w:rPr>
        <w:t>15.1 Criterio de Asignación de Kelly y Límite de Tolerancia por CVaR</w:t>
      </w:r>
    </w:p>
    <w:p>
      <w:pPr>
        <w:spacing w:before="80" w:after="80"/>
        <w:jc w:val="center"/>
      </w:pPr>
      <w:r>
        <w:rPr>
          <w:rFonts w:ascii="Cambria Math" w:hAnsi="Cambria Math"/>
          <w:b/>
          <w:color w:val="0D233A"/>
          <w:sz w:val="21"/>
        </w:rPr>
        <w:t xml:space="preserve">   f* = (μ - Rf) / σ² = (24,63% - 4,70%) / (52,06%)² = 73,5% (Full-Kelly)   =&gt;   Half-Kelly = 36,8%   </w:t>
      </w:r>
      <w:r>
        <w:rPr>
          <w:rFonts w:ascii="Georgia" w:hAnsi="Georgia"/>
          <w:i/>
          <w:color w:val="4A4A4A"/>
          <w:sz w:val="18"/>
        </w:rPr>
        <w:t xml:space="preserve">    (Criterio de Kelly)</w:t>
      </w:r>
    </w:p>
    <w:p>
      <w:pPr>
        <w:spacing w:before="0" w:after="60" w:line="276" w:lineRule="auto"/>
      </w:pPr>
      <w:r>
        <w:rPr>
          <w:rFonts w:ascii="Georgia" w:hAnsi="Georgia"/>
          <w:color w:val="0F172A"/>
          <w:sz w:val="19"/>
        </w:rPr>
        <w:t>Para la gestión prudencial de carteras se adopta un límite de exposición del 20,0%, acotado por el Conditional Value-at-Risk mensual al 95% (-32,80%). El Filtro de Kalman dinámico indica que el Beta de corto plazo converge a 0,764:</w:t>
      </w:r>
    </w:p>
    <w:p>
      <w:pPr>
        <w:spacing w:before="80" w:after="80"/>
        <w:jc w:val="center"/>
      </w:pPr>
      <w:r>
        <w:rPr>
          <w:rFonts w:ascii="Cambria Math" w:hAnsi="Cambria Math"/>
          <w:b/>
          <w:color w:val="0D233A"/>
          <w:sz w:val="21"/>
        </w:rPr>
        <w:t xml:space="preserve">   y_t = β_t × x_t + v_t,   β_t = β_{t-1} + w_t,   K_t = P_{t|t-1} × x_t × (x_t × P_{t|t-1} × x_t + R)^{-1}   </w:t>
      </w:r>
      <w:r>
        <w:rPr>
          <w:rFonts w:ascii="Georgia" w:hAnsi="Georgia"/>
          <w:i/>
          <w:color w:val="4A4A4A"/>
          <w:sz w:val="18"/>
        </w:rPr>
        <w:t xml:space="preserve">    (Filtro de Kalman)</w:t>
      </w:r>
    </w:p>
    <w:p>
      <w:pPr>
        <w:spacing w:before="0" w:after="60" w:line="276" w:lineRule="auto"/>
      </w:pPr>
      <w:r>
        <w:rPr>
          <w:rFonts w:ascii="Georgia" w:hAnsi="Georgia"/>
          <w:color w:val="0F172A"/>
          <w:sz w:val="19"/>
        </w:rPr>
        <w:t>Esto demuestra que el beta Hamada de 0,888 utilizado en el WACC introduce un margen de seguridad conservador.</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748097"/>
                  <wp:docPr id="23" name="Picture 23"/>
                  <wp:cNvGraphicFramePr>
                    <a:graphicFrameLocks noChangeAspect="1"/>
                  </wp:cNvGraphicFramePr>
                  <a:graphic>
                    <a:graphicData uri="http://schemas.openxmlformats.org/drawingml/2006/picture">
                      <pic:pic>
                        <pic:nvPicPr>
                          <pic:cNvPr id="0" name="figura_23.png"/>
                          <pic:cNvPicPr/>
                        </pic:nvPicPr>
                        <pic:blipFill>
                          <a:blip r:embed="rId33"/>
                          <a:stretch>
                            <a:fillRect/>
                          </a:stretch>
                        </pic:blipFill>
                        <pic:spPr>
                          <a:xfrm>
                            <a:off x="0" y="0"/>
                            <a:ext cx="3017520" cy="1748097"/>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621771"/>
                  <wp:docPr id="24" name="Picture 24"/>
                  <wp:cNvGraphicFramePr>
                    <a:graphicFrameLocks noChangeAspect="1"/>
                  </wp:cNvGraphicFramePr>
                  <a:graphic>
                    <a:graphicData uri="http://schemas.openxmlformats.org/drawingml/2006/picture">
                      <pic:pic>
                        <pic:nvPicPr>
                          <pic:cNvPr id="0" name="figura_24.png"/>
                          <pic:cNvPicPr/>
                        </pic:nvPicPr>
                        <pic:blipFill>
                          <a:blip r:embed="rId34"/>
                          <a:stretch>
                            <a:fillRect/>
                          </a:stretch>
                        </pic:blipFill>
                        <pic:spPr>
                          <a:xfrm>
                            <a:off x="0" y="0"/>
                            <a:ext cx="3017520" cy="1621771"/>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23: Criterio de Asignación de Kelly: Full-Kelly (73,5%), Half-Kelly (36,8%) y Límite de Cartera (20,0%).</w:t>
            </w:r>
          </w:p>
        </w:tc>
        <w:tc>
          <w:tcPr>
            <w:tcW w:type="dxa" w:w="4896"/>
            <w:tcMar>
              <w:top w:w="40" w:type="dxa"/>
              <w:bottom w:w="40" w:type="dxa"/>
              <w:left w:w="40" w:type="dxa"/>
              <w:right w:w="40" w:type="dxa"/>
            </w:tcMar>
          </w:tcPr>
          <w:p>
            <w:pPr>
              <w:spacing w:after="80"/>
              <w:jc w:val="left"/>
            </w:pPr>
            <w:r>
              <w:rPr>
                <w:rFonts w:ascii="Georgia" w:hAnsi="Georgia"/>
                <w:color w:val="4A4A4A"/>
                <w:sz w:val="16"/>
              </w:rPr>
              <w:t>Figura 24: Beta Dinámico por Filtro de Kalman: Convergencia a 0,764 en el régimen macroeconómico reciente.</w:t>
            </w:r>
          </w:p>
        </w:tc>
      </w:tr>
    </w:tbl>
    <w:p>
      <w:pPr>
        <w:spacing w:after="40"/>
      </w:pPr>
    </w:p>
    <w:p>
      <w:pPr>
        <w:keepNext/>
        <w:spacing w:before="200" w:after="60"/>
      </w:pPr>
      <w:r>
        <w:rPr>
          <w:rFonts w:ascii="Georgia" w:hAnsi="Georgia"/>
          <w:b/>
          <w:color w:val="1E3A8A"/>
          <w:sz w:val="22"/>
        </w:rPr>
        <w:t>15.2 Comportamiento Histórico de ALUA.BA en Períodos de Estrés</w:t>
      </w:r>
    </w:p>
    <w:p>
      <w:pPr>
        <w:keepNext/>
        <w:spacing w:before="120" w:after="40"/>
      </w:pPr>
      <w:r>
        <w:rPr>
          <w:rFonts w:ascii="Georgia" w:hAnsi="Georgia"/>
          <w:b/>
          <w:color w:val="0D233A"/>
          <w:sz w:val="18"/>
        </w:rPr>
        <w:t>Tabla: Desempeño Histórico de ALUA.BA (en USD) durante Episodios de Crisis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074"/>
        <w:gridCol w:w="2074"/>
        <w:gridCol w:w="2074"/>
        <w:gridCol w:w="2074"/>
        <w:gridCol w:w="2074"/>
      </w:tblGrid>
      <w:tr>
        <w:tc>
          <w:tcPr>
            <w:tcW w:type="dxa" w:w="3168"/>
            <w:shd w:fill="F1F5F9"/>
            <w:tcMar>
              <w:top w:w="80" w:type="dxa"/>
              <w:bottom w:w="80" w:type="dxa"/>
              <w:left w:w="100" w:type="dxa"/>
              <w:right w:w="100" w:type="dxa"/>
            </w:tcMar>
          </w:tcPr>
          <w:p>
            <w:pPr>
              <w:spacing w:before="60" w:after="60"/>
              <w:jc w:val="left"/>
            </w:pPr>
            <w:r/>
            <w:r>
              <w:rPr>
                <w:rFonts w:ascii="Georgia" w:hAnsi="Georgia"/>
                <w:b/>
                <w:color w:val="0D233A"/>
                <w:sz w:val="17"/>
              </w:rPr>
              <w:t>Episodio de Estrés</w:t>
            </w:r>
          </w:p>
        </w:tc>
        <w:tc>
          <w:tcPr>
            <w:tcW w:type="dxa" w:w="1728"/>
            <w:shd w:fill="F1F5F9"/>
            <w:tcMar>
              <w:top w:w="80" w:type="dxa"/>
              <w:bottom w:w="80" w:type="dxa"/>
              <w:left w:w="100" w:type="dxa"/>
              <w:right w:w="100" w:type="dxa"/>
            </w:tcMar>
          </w:tcPr>
          <w:p>
            <w:pPr>
              <w:spacing w:before="60" w:after="60"/>
              <w:jc w:val="right"/>
            </w:pPr>
            <w:r/>
            <w:r>
              <w:rPr>
                <w:rFonts w:ascii="Georgia" w:hAnsi="Georgia"/>
                <w:b/>
                <w:color w:val="0D233A"/>
                <w:sz w:val="17"/>
              </w:rPr>
              <w:t>Retorno Acumulado</w:t>
            </w:r>
          </w:p>
        </w:tc>
        <w:tc>
          <w:tcPr>
            <w:tcW w:type="dxa" w:w="1728"/>
            <w:shd w:fill="F1F5F9"/>
            <w:tcMar>
              <w:top w:w="80" w:type="dxa"/>
              <w:bottom w:w="80" w:type="dxa"/>
              <w:left w:w="100" w:type="dxa"/>
              <w:right w:w="100" w:type="dxa"/>
            </w:tcMar>
          </w:tcPr>
          <w:p>
            <w:pPr>
              <w:spacing w:before="60" w:after="60"/>
              <w:jc w:val="right"/>
            </w:pPr>
            <w:r/>
            <w:r>
              <w:rPr>
                <w:rFonts w:ascii="Georgia" w:hAnsi="Georgia"/>
                <w:b/>
                <w:color w:val="0D233A"/>
                <w:sz w:val="17"/>
              </w:rPr>
              <w:t>Volatilidad Anualizada</w:t>
            </w:r>
          </w:p>
        </w:tc>
        <w:tc>
          <w:tcPr>
            <w:tcW w:type="dxa" w:w="1584"/>
            <w:shd w:fill="F1F5F9"/>
            <w:tcMar>
              <w:top w:w="80" w:type="dxa"/>
              <w:bottom w:w="80" w:type="dxa"/>
              <w:left w:w="100" w:type="dxa"/>
              <w:right w:w="100" w:type="dxa"/>
            </w:tcMar>
          </w:tcPr>
          <w:p>
            <w:pPr>
              <w:spacing w:before="60" w:after="60"/>
              <w:jc w:val="right"/>
            </w:pPr>
            <w:r/>
            <w:r>
              <w:rPr>
                <w:rFonts w:ascii="Georgia" w:hAnsi="Georgia"/>
                <w:b/>
                <w:color w:val="0D233A"/>
                <w:sz w:val="17"/>
              </w:rPr>
              <w:t>Duración</w:t>
            </w:r>
          </w:p>
        </w:tc>
        <w:tc>
          <w:tcPr>
            <w:tcW w:type="dxa" w:w="1872"/>
            <w:shd w:fill="F1F5F9"/>
            <w:tcMar>
              <w:top w:w="80" w:type="dxa"/>
              <w:bottom w:w="80" w:type="dxa"/>
              <w:left w:w="100" w:type="dxa"/>
              <w:right w:w="100" w:type="dxa"/>
            </w:tcMar>
          </w:tcPr>
          <w:p>
            <w:pPr>
              <w:spacing w:before="60" w:after="60"/>
              <w:jc w:val="right"/>
            </w:pPr>
            <w:r/>
            <w:r>
              <w:rPr>
                <w:rFonts w:ascii="Georgia" w:hAnsi="Georgia"/>
                <w:b/>
                <w:color w:val="0D233A"/>
                <w:sz w:val="17"/>
              </w:rPr>
              <w:t>Comportamiento</w:t>
            </w:r>
          </w:p>
        </w:tc>
      </w:tr>
      <w:tr>
        <w:tc>
          <w:tcPr>
            <w:tcW w:type="dxa" w:w="3168"/>
            <w:tcMar>
              <w:top w:w="60" w:type="dxa"/>
              <w:bottom w:w="60" w:type="dxa"/>
              <w:left w:w="100" w:type="dxa"/>
              <w:right w:w="100" w:type="dxa"/>
            </w:tcMar>
          </w:tcPr>
          <w:p>
            <w:pPr>
              <w:spacing w:before="40" w:after="40"/>
              <w:jc w:val="left"/>
            </w:pPr>
            <w:r/>
            <w:r>
              <w:rPr>
                <w:rFonts w:ascii="Georgia" w:hAnsi="Georgia"/>
                <w:color w:val="0F172A"/>
                <w:sz w:val="17"/>
              </w:rPr>
              <w:t>Crisis Covid-19 (Marzo 2020)</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-44,73%</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112,54%</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50 ruedas</w:t>
            </w:r>
          </w:p>
        </w:tc>
        <w:tc>
          <w:tcPr>
            <w:tcW w:type="dxa" w:w="1872"/>
            <w:tcMar>
              <w:top w:w="60" w:type="dxa"/>
              <w:bottom w:w="60" w:type="dxa"/>
              <w:left w:w="100" w:type="dxa"/>
              <w:right w:w="100" w:type="dxa"/>
            </w:tcMar>
          </w:tcPr>
          <w:p>
            <w:pPr>
              <w:spacing w:before="40" w:after="40"/>
              <w:jc w:val="right"/>
            </w:pPr>
            <w:r/>
            <w:r>
              <w:rPr>
                <w:rFonts w:ascii="Georgia" w:hAnsi="Georgia"/>
                <w:color w:val="0F172A"/>
                <w:sz w:val="17"/>
              </w:rPr>
              <w:t>Shock de liquidez global</w:t>
            </w:r>
          </w:p>
        </w:tc>
      </w:tr>
      <w:tr>
        <w:tc>
          <w:tcPr>
            <w:tcW w:type="dxa" w:w="3168"/>
            <w:tcMar>
              <w:top w:w="60" w:type="dxa"/>
              <w:bottom w:w="60" w:type="dxa"/>
              <w:left w:w="100" w:type="dxa"/>
              <w:right w:w="100" w:type="dxa"/>
            </w:tcMar>
          </w:tcPr>
          <w:p>
            <w:pPr>
              <w:spacing w:before="40" w:after="40"/>
              <w:jc w:val="left"/>
            </w:pPr>
            <w:r/>
            <w:r>
              <w:rPr>
                <w:rFonts w:ascii="Georgia" w:hAnsi="Georgia"/>
                <w:color w:val="0F172A"/>
                <w:sz w:val="17"/>
              </w:rPr>
              <w:t>Tensión Cambiaria (Julio 2022)</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+12,44%</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45,91%</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103 ruedas</w:t>
            </w:r>
          </w:p>
        </w:tc>
        <w:tc>
          <w:tcPr>
            <w:tcW w:type="dxa" w:w="1872"/>
            <w:tcMar>
              <w:top w:w="60" w:type="dxa"/>
              <w:bottom w:w="60" w:type="dxa"/>
              <w:left w:w="100" w:type="dxa"/>
              <w:right w:w="100" w:type="dxa"/>
            </w:tcMar>
          </w:tcPr>
          <w:p>
            <w:pPr>
              <w:spacing w:before="40" w:after="40"/>
              <w:jc w:val="right"/>
            </w:pPr>
            <w:r/>
            <w:r>
              <w:rPr>
                <w:rFonts w:ascii="Georgia" w:hAnsi="Georgia"/>
                <w:color w:val="0F172A"/>
                <w:sz w:val="17"/>
              </w:rPr>
              <w:t>Cobertura en activos dolarizados</w:t>
            </w:r>
          </w:p>
        </w:tc>
      </w:tr>
      <w:tr>
        <w:tc>
          <w:tcPr>
            <w:tcW w:type="dxa" w:w="3168"/>
            <w:tcMar>
              <w:top w:w="60" w:type="dxa"/>
              <w:bottom w:w="60" w:type="dxa"/>
              <w:left w:w="100" w:type="dxa"/>
              <w:right w:w="100" w:type="dxa"/>
            </w:tcMar>
          </w:tcPr>
          <w:p>
            <w:pPr>
              <w:spacing w:before="40" w:after="40"/>
              <w:jc w:val="left"/>
            </w:pPr>
            <w:r/>
            <w:r>
              <w:rPr>
                <w:rFonts w:ascii="Georgia" w:hAnsi="Georgia"/>
                <w:color w:val="0F172A"/>
                <w:sz w:val="17"/>
              </w:rPr>
              <w:t>Incertidumbre Electoral 2023</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+18,28%</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105,36%</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59 ruedas</w:t>
            </w:r>
          </w:p>
        </w:tc>
        <w:tc>
          <w:tcPr>
            <w:tcW w:type="dxa" w:w="1872"/>
            <w:tcMar>
              <w:top w:w="60" w:type="dxa"/>
              <w:bottom w:w="60" w:type="dxa"/>
              <w:left w:w="100" w:type="dxa"/>
              <w:right w:w="100" w:type="dxa"/>
            </w:tcMar>
          </w:tcPr>
          <w:p>
            <w:pPr>
              <w:spacing w:before="40" w:after="40"/>
              <w:jc w:val="right"/>
            </w:pPr>
            <w:r/>
            <w:r>
              <w:rPr>
                <w:rFonts w:ascii="Georgia" w:hAnsi="Georgia"/>
                <w:color w:val="0F172A"/>
                <w:sz w:val="17"/>
              </w:rPr>
              <w:t>Repreciación de capacidad industrial</w:t>
            </w:r>
          </w:p>
        </w:tc>
      </w:tr>
      <w:tr>
        <w:tc>
          <w:tcPr>
            <w:tcW w:type="dxa" w:w="3168"/>
            <w:tcMar>
              <w:top w:w="60" w:type="dxa"/>
              <w:bottom w:w="60" w:type="dxa"/>
              <w:left w:w="100" w:type="dxa"/>
              <w:right w:w="100" w:type="dxa"/>
            </w:tcMar>
          </w:tcPr>
          <w:p>
            <w:pPr>
              <w:spacing w:before="40" w:after="40"/>
              <w:jc w:val="left"/>
            </w:pPr>
            <w:r/>
            <w:r>
              <w:rPr>
                <w:rFonts w:ascii="Georgia" w:hAnsi="Georgia"/>
                <w:color w:val="0F172A"/>
                <w:sz w:val="17"/>
              </w:rPr>
              <w:t>Corrección LME (2022–2023)</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+13,61%</w:t>
            </w:r>
          </w:p>
        </w:tc>
        <w:tc>
          <w:tcPr>
            <w:tcW w:type="dxa" w:w="1728"/>
            <w:tcMar>
              <w:top w:w="60" w:type="dxa"/>
              <w:bottom w:w="60" w:type="dxa"/>
              <w:left w:w="100" w:type="dxa"/>
              <w:right w:w="100" w:type="dxa"/>
            </w:tcMar>
          </w:tcPr>
          <w:p>
            <w:pPr>
              <w:spacing w:before="40" w:after="40"/>
              <w:jc w:val="right"/>
            </w:pPr>
            <w:r/>
            <w:r>
              <w:rPr>
                <w:rFonts w:ascii="Georgia" w:hAnsi="Georgia"/>
                <w:color w:val="0F172A"/>
                <w:sz w:val="17"/>
              </w:rPr>
              <w:t>44,40%</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200 ruedas</w:t>
            </w:r>
          </w:p>
        </w:tc>
        <w:tc>
          <w:tcPr>
            <w:tcW w:type="dxa" w:w="1872"/>
            <w:tcMar>
              <w:top w:w="60" w:type="dxa"/>
              <w:bottom w:w="60" w:type="dxa"/>
              <w:left w:w="100" w:type="dxa"/>
              <w:right w:w="100" w:type="dxa"/>
            </w:tcMar>
          </w:tcPr>
          <w:p>
            <w:pPr>
              <w:spacing w:before="40" w:after="40"/>
              <w:jc w:val="right"/>
            </w:pPr>
            <w:r/>
            <w:r>
              <w:rPr>
                <w:rFonts w:ascii="Georgia" w:hAnsi="Georgia"/>
                <w:color w:val="0F172A"/>
                <w:sz w:val="17"/>
              </w:rPr>
              <w:t>Resiliencia por bajos costos operativos</w:t>
            </w:r>
          </w:p>
        </w:tc>
      </w:tr>
    </w:tbl>
    <w:p>
      <w:pPr>
        <w:spacing w:after="80"/>
      </w:pPr>
    </w:p>
    <w:p>
      <w:pPr>
        <w:keepNext/>
        <w:spacing w:before="200" w:after="60"/>
      </w:pPr>
      <w:r>
        <w:rPr>
          <w:rFonts w:ascii="Georgia" w:hAnsi="Georgia"/>
          <w:b/>
          <w:color w:val="1E3A8A"/>
          <w:sz w:val="22"/>
        </w:rPr>
        <w:t>15.3 Estimación de Pérdidas Extremas por Teoría de Valores Extremos (EVT-GPD)</w:t>
      </w:r>
    </w:p>
    <w:p>
      <w:pPr>
        <w:spacing w:before="0" w:after="60" w:line="276" w:lineRule="auto"/>
      </w:pPr>
      <w:r>
        <w:rPr>
          <w:rFonts w:ascii="Georgia" w:hAnsi="Georgia"/>
          <w:color w:val="0F172A"/>
          <w:sz w:val="19"/>
        </w:rPr>
        <w:t>Dado que los retornos de Aluar presentan colas pesadas (curtosis = 7,82), la aproximación normal subestima las pérdidas extremas. Se calibra un modelo Pareto Generalizado (GPD, ξ = 0,214 &gt; 0), capturando pérdidas de cola de tipo Fréchet:</w:t>
      </w:r>
    </w:p>
    <w:p>
      <w:pPr>
        <w:spacing w:before="80" w:after="80"/>
        <w:jc w:val="center"/>
      </w:pPr>
      <w:r>
        <w:rPr>
          <w:rFonts w:ascii="Cambria Math" w:hAnsi="Cambria Math"/>
          <w:b/>
          <w:color w:val="0D233A"/>
          <w:sz w:val="21"/>
        </w:rPr>
        <w:t xml:space="preserve">   G_{ξ, β}(y) = 1 - (1 + ξ × y / β)^{-1/ξ}   </w:t>
      </w:r>
      <w:r>
        <w:rPr>
          <w:rFonts w:ascii="Georgia" w:hAnsi="Georgia"/>
          <w:i/>
          <w:color w:val="4A4A4A"/>
          <w:sz w:val="18"/>
        </w:rPr>
        <w:t xml:space="preserve">    (Pareto Generalizado (GPD))</w:t>
      </w:r>
    </w:p>
    <w:p>
      <w:pPr>
        <w:keepNext/>
        <w:spacing w:before="120" w:after="40"/>
      </w:pPr>
      <w:r>
        <w:rPr>
          <w:rFonts w:ascii="Georgia" w:hAnsi="Georgia"/>
          <w:b/>
          <w:color w:val="0D233A"/>
          <w:sz w:val="18"/>
        </w:rPr>
        <w:t>Tabla: VaR y CVaR Diario por Metodología (retornos en USD, horizonte 1 día)</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592"/>
        <w:gridCol w:w="2592"/>
        <w:gridCol w:w="2592"/>
        <w:gridCol w:w="2592"/>
      </w:tblGrid>
      <w:tr>
        <w:tc>
          <w:tcPr>
            <w:tcW w:type="dxa" w:w="5040"/>
            <w:shd w:fill="F1F5F9"/>
            <w:tcMar>
              <w:top w:w="80" w:type="dxa"/>
              <w:bottom w:w="80" w:type="dxa"/>
              <w:left w:w="100" w:type="dxa"/>
              <w:right w:w="100" w:type="dxa"/>
            </w:tcMar>
          </w:tcPr>
          <w:p>
            <w:pPr>
              <w:spacing w:before="60" w:after="60"/>
              <w:jc w:val="left"/>
            </w:pPr>
            <w:r/>
            <w:r>
              <w:rPr>
                <w:rFonts w:ascii="Georgia" w:hAnsi="Georgia"/>
                <w:b/>
                <w:color w:val="0D233A"/>
                <w:sz w:val="17"/>
              </w:rPr>
              <w:t>Metodología de Riesgo</w:t>
            </w:r>
          </w:p>
        </w:tc>
        <w:tc>
          <w:tcPr>
            <w:tcW w:type="dxa" w:w="1584"/>
            <w:shd w:fill="F1F5F9"/>
            <w:tcMar>
              <w:top w:w="80" w:type="dxa"/>
              <w:bottom w:w="80" w:type="dxa"/>
              <w:left w:w="100" w:type="dxa"/>
              <w:right w:w="100" w:type="dxa"/>
            </w:tcMar>
          </w:tcPr>
          <w:p>
            <w:pPr>
              <w:spacing w:before="60" w:after="60"/>
              <w:jc w:val="right"/>
            </w:pPr>
            <w:r/>
            <w:r>
              <w:rPr>
                <w:rFonts w:ascii="Georgia" w:hAnsi="Georgia"/>
                <w:b/>
                <w:color w:val="0D233A"/>
                <w:sz w:val="17"/>
              </w:rPr>
              <w:t>VaR 90%</w:t>
            </w:r>
          </w:p>
        </w:tc>
        <w:tc>
          <w:tcPr>
            <w:tcW w:type="dxa" w:w="1584"/>
            <w:shd w:fill="F1F5F9"/>
            <w:tcMar>
              <w:top w:w="80" w:type="dxa"/>
              <w:bottom w:w="80" w:type="dxa"/>
              <w:left w:w="100" w:type="dxa"/>
              <w:right w:w="100" w:type="dxa"/>
            </w:tcMar>
          </w:tcPr>
          <w:p>
            <w:pPr>
              <w:spacing w:before="60" w:after="60"/>
              <w:jc w:val="right"/>
            </w:pPr>
            <w:r/>
            <w:r>
              <w:rPr>
                <w:rFonts w:ascii="Georgia" w:hAnsi="Georgia"/>
                <w:b/>
                <w:color w:val="0D233A"/>
                <w:sz w:val="17"/>
              </w:rPr>
              <w:t>VaR 95%</w:t>
            </w:r>
          </w:p>
        </w:tc>
        <w:tc>
          <w:tcPr>
            <w:tcW w:type="dxa" w:w="1584"/>
            <w:shd w:fill="F1F5F9"/>
            <w:tcMar>
              <w:top w:w="80" w:type="dxa"/>
              <w:bottom w:w="80" w:type="dxa"/>
              <w:left w:w="100" w:type="dxa"/>
              <w:right w:w="100" w:type="dxa"/>
            </w:tcMar>
          </w:tcPr>
          <w:p>
            <w:pPr>
              <w:spacing w:before="60" w:after="60"/>
              <w:jc w:val="right"/>
            </w:pPr>
            <w:r/>
            <w:r>
              <w:rPr>
                <w:rFonts w:ascii="Georgia" w:hAnsi="Georgia"/>
                <w:b/>
                <w:color w:val="0D233A"/>
                <w:sz w:val="17"/>
              </w:rPr>
              <w:t>VaR 99%</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Histórico</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-3,47%</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-4,73%</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-8,20%</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Normal (paramétrico)</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-4,12%</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-5,31%</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-7,54%</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t-Student (ν=4,46)</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-3,61%</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-4,99%</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-8,57%</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Cornish-Fisher</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-2,70%</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-5,22%</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-13,41%</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CVaR / Expected Shortfall (paramétrico)</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-5,67%</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-6,68%</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-8,65%</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CVaR Cornish-Fisher (Simulado)</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-7,12%</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-10,49%</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-20,35%</w:t>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749929"/>
                  <wp:docPr id="25" name="Picture 25"/>
                  <wp:cNvGraphicFramePr>
                    <a:graphicFrameLocks noChangeAspect="1"/>
                  </wp:cNvGraphicFramePr>
                  <a:graphic>
                    <a:graphicData uri="http://schemas.openxmlformats.org/drawingml/2006/picture">
                      <pic:pic>
                        <pic:nvPicPr>
                          <pic:cNvPr id="0" name="figura_25.png"/>
                          <pic:cNvPicPr/>
                        </pic:nvPicPr>
                        <pic:blipFill>
                          <a:blip r:embed="rId35"/>
                          <a:stretch>
                            <a:fillRect/>
                          </a:stretch>
                        </pic:blipFill>
                        <pic:spPr>
                          <a:xfrm>
                            <a:off x="0" y="0"/>
                            <a:ext cx="3017520" cy="1749929"/>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664532"/>
                  <wp:docPr id="26" name="Picture 26"/>
                  <wp:cNvGraphicFramePr>
                    <a:graphicFrameLocks noChangeAspect="1"/>
                  </wp:cNvGraphicFramePr>
                  <a:graphic>
                    <a:graphicData uri="http://schemas.openxmlformats.org/drawingml/2006/picture">
                      <pic:pic>
                        <pic:nvPicPr>
                          <pic:cNvPr id="0" name="figura_26.png"/>
                          <pic:cNvPicPr/>
                        </pic:nvPicPr>
                        <pic:blipFill>
                          <a:blip r:embed="rId36"/>
                          <a:stretch>
                            <a:fillRect/>
                          </a:stretch>
                        </pic:blipFill>
                        <pic:spPr>
                          <a:xfrm>
                            <a:off x="0" y="0"/>
                            <a:ext cx="3017520" cy="1664532"/>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25: Valores Extremos (EVT-GPD): Estimación de pérdidas de cola con VaR 99% (8,20%) y ES 99% (10,35%).</w:t>
            </w:r>
          </w:p>
        </w:tc>
        <w:tc>
          <w:tcPr>
            <w:tcW w:type="dxa" w:w="4896"/>
            <w:tcMar>
              <w:top w:w="40" w:type="dxa"/>
              <w:bottom w:w="40" w:type="dxa"/>
              <w:left w:w="40" w:type="dxa"/>
              <w:right w:w="40" w:type="dxa"/>
            </w:tcMar>
          </w:tcPr>
          <w:p>
            <w:pPr>
              <w:spacing w:after="80"/>
              <w:jc w:val="left"/>
            </w:pPr>
            <w:r>
              <w:rPr>
                <w:rFonts w:ascii="Georgia" w:hAnsi="Georgia"/>
                <w:color w:val="4A4A4A"/>
                <w:sz w:val="16"/>
              </w:rPr>
              <w:t>Figura 26: Simulación LME (OU vs. MBG): Reversión a la media Ornstein-Uhlenbeck (θ = USD 2.814/t).</w:t>
            </w:r>
          </w:p>
        </w:tc>
      </w:tr>
    </w:tbl>
    <w:p>
      <w:pPr>
        <w:spacing w:after="40"/>
      </w:pPr>
    </w:p>
    <w:p>
      <w:pPr>
        <w:keepNext/>
        <w:spacing w:before="200" w:after="60"/>
      </w:pPr>
      <w:r>
        <w:rPr>
          <w:rFonts w:ascii="Georgia" w:hAnsi="Georgia"/>
          <w:b/>
          <w:color w:val="1E3A8A"/>
          <w:sz w:val="22"/>
        </w:rPr>
        <w:t>15.4 Dinámica del Commodity: Proceso Ornstein-Uhlenbeck</w:t>
      </w:r>
    </w:p>
    <w:p>
      <w:pPr>
        <w:spacing w:before="80" w:after="80"/>
        <w:jc w:val="center"/>
      </w:pPr>
      <w:r>
        <w:rPr>
          <w:rFonts w:ascii="Cambria Math" w:hAnsi="Cambria Math"/>
          <w:b/>
          <w:color w:val="0D233A"/>
          <w:sz w:val="21"/>
        </w:rPr>
        <w:t xml:space="preserve">   dS_t = κ × (θ - S_t) dt + σ × S_t dW_t,   κ = 0,384,   θ = USD 2.814/t   </w:t>
      </w:r>
      <w:r>
        <w:rPr>
          <w:rFonts w:ascii="Georgia" w:hAnsi="Georgia"/>
          <w:i/>
          <w:color w:val="4A4A4A"/>
          <w:sz w:val="18"/>
        </w:rPr>
        <w:t xml:space="preserve">    (Ornstein-Uhlenbeck)</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706444"/>
                  <wp:docPr id="27" name="Picture 27"/>
                  <wp:cNvGraphicFramePr>
                    <a:graphicFrameLocks noChangeAspect="1"/>
                  </wp:cNvGraphicFramePr>
                  <a:graphic>
                    <a:graphicData uri="http://schemas.openxmlformats.org/drawingml/2006/picture">
                      <pic:pic>
                        <pic:nvPicPr>
                          <pic:cNvPr id="0" name="figura_27.png"/>
                          <pic:cNvPicPr/>
                        </pic:nvPicPr>
                        <pic:blipFill>
                          <a:blip r:embed="rId37"/>
                          <a:stretch>
                            <a:fillRect/>
                          </a:stretch>
                        </pic:blipFill>
                        <pic:spPr>
                          <a:xfrm>
                            <a:off x="0" y="0"/>
                            <a:ext cx="3017520" cy="1706444"/>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751281"/>
                  <wp:docPr id="28" name="Picture 28"/>
                  <wp:cNvGraphicFramePr>
                    <a:graphicFrameLocks noChangeAspect="1"/>
                  </wp:cNvGraphicFramePr>
                  <a:graphic>
                    <a:graphicData uri="http://schemas.openxmlformats.org/drawingml/2006/picture">
                      <pic:pic>
                        <pic:nvPicPr>
                          <pic:cNvPr id="0" name="figura_28.png"/>
                          <pic:cNvPicPr/>
                        </pic:nvPicPr>
                        <pic:blipFill>
                          <a:blip r:embed="rId38"/>
                          <a:stretch>
                            <a:fillRect/>
                          </a:stretch>
                        </pic:blipFill>
                        <pic:spPr>
                          <a:xfrm>
                            <a:off x="0" y="0"/>
                            <a:ext cx="3017520" cy="1751281"/>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27: DCF Estocástico Continuo: Densidad de probabilidad con 10.000 trayectorias simuladas.</w:t>
            </w:r>
          </w:p>
        </w:tc>
        <w:tc>
          <w:tcPr>
            <w:tcW w:type="dxa" w:w="4896"/>
            <w:tcMar>
              <w:top w:w="40" w:type="dxa"/>
              <w:bottom w:w="40" w:type="dxa"/>
              <w:left w:w="40" w:type="dxa"/>
              <w:right w:w="40" w:type="dxa"/>
            </w:tcMar>
          </w:tcPr>
          <w:p>
            <w:pPr>
              <w:spacing w:after="80"/>
              <w:jc w:val="left"/>
            </w:pPr>
            <w:r>
              <w:rPr>
                <w:rFonts w:ascii="Georgia" w:hAnsi="Georgia"/>
                <w:color w:val="4A4A4A"/>
                <w:sz w:val="16"/>
              </w:rPr>
              <w:t>Figura 28: Matriz de Riesgo: Mapeo de Probabilidad vs. Impacto según estándares de análisis financiero.</w:t>
            </w:r>
          </w:p>
        </w:tc>
      </w:tr>
    </w:tbl>
    <w:p>
      <w:pPr>
        <w:spacing w:after="40"/>
      </w:pPr>
    </w:p>
    <w:p>
      <w:pPr>
        <w:keepNext/>
        <w:spacing w:before="280" w:after="80"/>
        <w:pBrd>
          <w:bottom w:val="single" w:sz="8" w:space="2" w:color="0D233A"/>
        </w:pBrd>
      </w:pPr>
      <w:r>
        <w:rPr>
          <w:rFonts w:ascii="Georgia" w:hAnsi="Georgia"/>
          <w:b/>
          <w:color w:val="0D233A"/>
          <w:sz w:val="26"/>
        </w:rPr>
        <w:t>16. Modelización Estocástica Avanzada y Validación Econométrica</w:t>
      </w:r>
    </w:p>
    <w:p>
      <w:pPr>
        <w:keepNext/>
        <w:spacing w:before="200" w:after="60"/>
      </w:pPr>
      <w:r>
        <w:rPr>
          <w:rFonts w:ascii="Georgia" w:hAnsi="Georgia"/>
          <w:b/>
          <w:color w:val="1E3A8A"/>
          <w:sz w:val="22"/>
        </w:rPr>
        <w:t>16.1 Validación de la Tasa de Descuento: AR(1) vs. Cox-Ingersoll-Ross (CIR)</w:t>
      </w:r>
    </w:p>
    <w:p>
      <w:pPr>
        <w:spacing w:before="80" w:after="80"/>
        <w:jc w:val="center"/>
      </w:pPr>
      <w:r>
        <w:rPr>
          <w:rFonts w:ascii="Cambria Math" w:hAnsi="Cambria Math"/>
          <w:b/>
          <w:color w:val="0D233A"/>
          <w:sz w:val="21"/>
        </w:rPr>
        <w:t xml:space="preserve">   dr_t = κ × (θ - r_t) dt + σ × √r_t dW_t,   Condición de Feller: 2κθ &gt; σ²   </w:t>
      </w:r>
      <w:r>
        <w:rPr>
          <w:rFonts w:ascii="Georgia" w:hAnsi="Georgia"/>
          <w:i/>
          <w:color w:val="4A4A4A"/>
          <w:sz w:val="18"/>
        </w:rPr>
        <w:t xml:space="preserve">    (Proceso CIR)</w:t>
      </w:r>
    </w:p>
    <w:p>
      <w:pPr>
        <w:spacing w:before="0" w:after="60" w:line="276" w:lineRule="auto"/>
      </w:pPr>
      <w:r>
        <w:rPr>
          <w:rFonts w:ascii="Georgia" w:hAnsi="Georgia"/>
          <w:color w:val="0F172A"/>
          <w:sz w:val="19"/>
        </w:rPr>
        <w:t>Con κ = 0,7582, θ = 0,1614 y σ = 0,085, se verifica 2(0,7582)(0,1614) = 0,2448 &gt; 0,0072 = σ², garantizando que la tasa simulada nunca caiga por debajo de la tasa libre de riesgo de EE.UU.</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701609"/>
                  <wp:docPr id="29" name="Picture 29"/>
                  <wp:cNvGraphicFramePr>
                    <a:graphicFrameLocks noChangeAspect="1"/>
                  </wp:cNvGraphicFramePr>
                  <a:graphic>
                    <a:graphicData uri="http://schemas.openxmlformats.org/drawingml/2006/picture">
                      <pic:pic>
                        <pic:nvPicPr>
                          <pic:cNvPr id="0" name="figura_29.png"/>
                          <pic:cNvPicPr/>
                        </pic:nvPicPr>
                        <pic:blipFill>
                          <a:blip r:embed="rId39"/>
                          <a:stretch>
                            <a:fillRect/>
                          </a:stretch>
                        </pic:blipFill>
                        <pic:spPr>
                          <a:xfrm>
                            <a:off x="0" y="0"/>
                            <a:ext cx="3017520" cy="1701609"/>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661546"/>
                  <wp:docPr id="30" name="Picture 30"/>
                  <wp:cNvGraphicFramePr>
                    <a:graphicFrameLocks noChangeAspect="1"/>
                  </wp:cNvGraphicFramePr>
                  <a:graphic>
                    <a:graphicData uri="http://schemas.openxmlformats.org/drawingml/2006/picture">
                      <pic:pic>
                        <pic:nvPicPr>
                          <pic:cNvPr id="0" name="figura_30.png"/>
                          <pic:cNvPicPr/>
                        </pic:nvPicPr>
                        <pic:blipFill>
                          <a:blip r:embed="rId40"/>
                          <a:stretch>
                            <a:fillRect/>
                          </a:stretch>
                        </pic:blipFill>
                        <pic:spPr>
                          <a:xfrm>
                            <a:off x="0" y="0"/>
                            <a:ext cx="3017520" cy="1661546"/>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29: Proceso CIR Soberano: Simulación del EMBI+ respetando la no-negatividad estricta.</w:t>
            </w:r>
          </w:p>
        </w:tc>
        <w:tc>
          <w:tcPr>
            <w:tcW w:type="dxa" w:w="4896"/>
            <w:tcMar>
              <w:top w:w="40" w:type="dxa"/>
              <w:bottom w:w="40" w:type="dxa"/>
              <w:left w:w="40" w:type="dxa"/>
              <w:right w:w="40" w:type="dxa"/>
            </w:tcMar>
          </w:tcPr>
          <w:p>
            <w:pPr>
              <w:spacing w:after="80"/>
              <w:jc w:val="left"/>
            </w:pPr>
            <w:r>
              <w:rPr>
                <w:rFonts w:ascii="Georgia" w:hAnsi="Georgia"/>
                <w:color w:val="4A4A4A"/>
                <w:sz w:val="16"/>
              </w:rPr>
              <w:t>Figura 30: Beta Condicional GARCH(1,1): Variación temporal de la volatilidad y riesgo sistemático.</w:t>
            </w:r>
          </w:p>
        </w:tc>
      </w:tr>
    </w:tbl>
    <w:p>
      <w:pPr>
        <w:spacing w:after="40"/>
      </w:pPr>
    </w:p>
    <w:p>
      <w:pPr>
        <w:keepNext/>
        <w:spacing w:before="200" w:after="60"/>
      </w:pPr>
      <w:r>
        <w:rPr>
          <w:rFonts w:ascii="Georgia" w:hAnsi="Georgia"/>
          <w:b/>
          <w:color w:val="1E3A8A"/>
          <w:sz w:val="22"/>
        </w:rPr>
        <w:t>16.2 Dependencia Asimétrica en Caídas: Cópula de Clayton y Sobol</w:t>
      </w:r>
    </w:p>
    <w:p>
      <w:pPr>
        <w:spacing w:before="80" w:after="80"/>
        <w:jc w:val="center"/>
      </w:pPr>
      <w:r>
        <w:rPr>
          <w:rFonts w:ascii="Cambria Math" w:hAnsi="Cambria Math"/>
          <w:b/>
          <w:color w:val="0D233A"/>
          <w:sz w:val="21"/>
        </w:rPr>
        <w:t xml:space="preserve">   C_θ(u, v) = (u^{-θ} + v^{-θ} - 1)^{-1/θ},   λ_L = 2^{-1/θ} = 0,38   </w:t>
      </w:r>
      <w:r>
        <w:rPr>
          <w:rFonts w:ascii="Georgia" w:hAnsi="Georgia"/>
          <w:i/>
          <w:color w:val="4A4A4A"/>
          <w:sz w:val="18"/>
        </w:rPr>
        <w:t xml:space="preserve">    (Cópula de Clayton)</w:t>
      </w:r>
    </w:p>
    <w:tbl>
      <w:tblPr>
        <w:tblW w:type="auto" w:w="0"/>
        <w:jc w:val="center"/>
        <w:tblLayout w:type="fixed"/>
        <w:tblLook w:firstColumn="1" w:firstRow="1" w:lastColumn="0" w:lastRow="0" w:noHBand="0" w:noVBand="1" w:val="04A0"/>
      </w:tblPr>
      <w:tblGrid>
        <w:gridCol w:w="5184"/>
        <w:gridCol w:w="5184"/>
      </w:tblGrid>
      <w:tr>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740520"/>
                  <wp:docPr id="31" name="Picture 31"/>
                  <wp:cNvGraphicFramePr>
                    <a:graphicFrameLocks noChangeAspect="1"/>
                  </wp:cNvGraphicFramePr>
                  <a:graphic>
                    <a:graphicData uri="http://schemas.openxmlformats.org/drawingml/2006/picture">
                      <pic:pic>
                        <pic:nvPicPr>
                          <pic:cNvPr id="0" name="figura_31.png"/>
                          <pic:cNvPicPr/>
                        </pic:nvPicPr>
                        <pic:blipFill>
                          <a:blip r:embed="rId41"/>
                          <a:stretch>
                            <a:fillRect/>
                          </a:stretch>
                        </pic:blipFill>
                        <pic:spPr>
                          <a:xfrm>
                            <a:off x="0" y="0"/>
                            <a:ext cx="3017520" cy="1740520"/>
                          </a:xfrm>
                          <a:prstGeom prst="rect"/>
                        </pic:spPr>
                      </pic:pic>
                    </a:graphicData>
                  </a:graphic>
                </wp:inline>
              </w:drawing>
            </w:r>
          </w:p>
        </w:tc>
        <w:tc>
          <w:tcPr>
            <w:tcW w:type="dxa" w:w="4896"/>
            <w:tcMar>
              <w:top w:w="40" w:type="dxa"/>
              <w:bottom w:w="40" w:type="dxa"/>
              <w:left w:w="40" w:type="dxa"/>
              <w:right w:w="40" w:type="dxa"/>
            </w:tcMar>
          </w:tcPr>
          <w:p>
            <w:pPr>
              <w:spacing w:after="40"/>
              <w:jc w:val="center"/>
            </w:pPr>
            <w:r>
              <w:drawing>
                <wp:inline xmlns:a="http://schemas.openxmlformats.org/drawingml/2006/main" xmlns:pic="http://schemas.openxmlformats.org/drawingml/2006/picture">
                  <wp:extent cx="3017520" cy="1598185"/>
                  <wp:docPr id="32" name="Picture 32"/>
                  <wp:cNvGraphicFramePr>
                    <a:graphicFrameLocks noChangeAspect="1"/>
                  </wp:cNvGraphicFramePr>
                  <a:graphic>
                    <a:graphicData uri="http://schemas.openxmlformats.org/drawingml/2006/picture">
                      <pic:pic>
                        <pic:nvPicPr>
                          <pic:cNvPr id="0" name="figura_22.png"/>
                          <pic:cNvPicPr/>
                        </pic:nvPicPr>
                        <pic:blipFill>
                          <a:blip r:embed="rId32"/>
                          <a:stretch>
                            <a:fillRect/>
                          </a:stretch>
                        </pic:blipFill>
                        <pic:spPr>
                          <a:xfrm>
                            <a:off x="0" y="0"/>
                            <a:ext cx="3017520" cy="1598185"/>
                          </a:xfrm>
                          <a:prstGeom prst="rect"/>
                        </pic:spPr>
                      </pic:pic>
                    </a:graphicData>
                  </a:graphic>
                </wp:inline>
              </w:drawing>
            </w:r>
          </w:p>
        </w:tc>
      </w:tr>
      <w:tr>
        <w:tc>
          <w:tcPr>
            <w:tcW w:type="dxa" w:w="4896"/>
            <w:tcMar>
              <w:top w:w="40" w:type="dxa"/>
              <w:bottom w:w="40" w:type="dxa"/>
              <w:left w:w="40" w:type="dxa"/>
              <w:right w:w="40" w:type="dxa"/>
            </w:tcMar>
          </w:tcPr>
          <w:p>
            <w:pPr>
              <w:spacing w:after="80"/>
              <w:jc w:val="left"/>
            </w:pPr>
            <w:r>
              <w:rPr>
                <w:rFonts w:ascii="Georgia" w:hAnsi="Georgia"/>
                <w:color w:val="4A4A4A"/>
                <w:sz w:val="16"/>
              </w:rPr>
              <w:t>Figura 31: Cópula de Clayton Asimétrica: Modelado de co-caídas entre el activo y el mercado (λ_L = 0,38).</w:t>
            </w:r>
          </w:p>
        </w:tc>
        <w:tc>
          <w:tcPr>
            <w:tcW w:type="dxa" w:w="4896"/>
            <w:tcMar>
              <w:top w:w="40" w:type="dxa"/>
              <w:bottom w:w="40" w:type="dxa"/>
              <w:left w:w="40" w:type="dxa"/>
              <w:right w:w="40" w:type="dxa"/>
            </w:tcMar>
          </w:tcPr>
          <w:p>
            <w:pPr>
              <w:spacing w:after="80"/>
              <w:jc w:val="left"/>
            </w:pPr>
            <w:r>
              <w:rPr>
                <w:rFonts w:ascii="Georgia" w:hAnsi="Georgia"/>
                <w:color w:val="4A4A4A"/>
                <w:sz w:val="16"/>
              </w:rPr>
              <w:t>Figura 22: Convergencia de Múltiplos: Normalización del múltiplo EV/EBITDA hacia 6,75x.</w:t>
            </w:r>
          </w:p>
        </w:tc>
      </w:tr>
    </w:tbl>
    <w:p>
      <w:pPr>
        <w:spacing w:after="40"/>
      </w:pPr>
    </w:p>
    <w:p>
      <w:pPr>
        <w:keepNext/>
        <w:spacing w:before="200" w:after="60"/>
      </w:pPr>
      <w:r>
        <w:rPr>
          <w:rFonts w:ascii="Georgia" w:hAnsi="Georgia"/>
          <w:b/>
          <w:color w:val="1E3A8A"/>
          <w:sz w:val="22"/>
        </w:rPr>
        <w:t>16.3 Diagnóstico Econométrico y Pruebas Estadísticas</w:t>
      </w:r>
    </w:p>
    <w:p>
      <w:pPr>
        <w:keepNext/>
        <w:spacing w:before="120" w:after="40"/>
      </w:pPr>
      <w:r>
        <w:rPr>
          <w:rFonts w:ascii="Georgia" w:hAnsi="Georgia"/>
          <w:b/>
          <w:color w:val="0D233A"/>
          <w:sz w:val="18"/>
        </w:rPr>
        <w:t>Tabla: Resumen de Pruebas Estadísticas y Diagnóstico Econométrico</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074"/>
        <w:gridCol w:w="2074"/>
        <w:gridCol w:w="2074"/>
        <w:gridCol w:w="2074"/>
        <w:gridCol w:w="2074"/>
      </w:tblGrid>
      <w:tr>
        <w:tc>
          <w:tcPr>
            <w:tcW w:type="dxa" w:w="2592"/>
            <w:shd w:fill="F1F5F9"/>
            <w:tcMar>
              <w:top w:w="80" w:type="dxa"/>
              <w:bottom w:w="80" w:type="dxa"/>
              <w:left w:w="100" w:type="dxa"/>
              <w:right w:w="100" w:type="dxa"/>
            </w:tcMar>
          </w:tcPr>
          <w:p>
            <w:pPr>
              <w:spacing w:before="60" w:after="60"/>
              <w:jc w:val="left"/>
            </w:pPr>
            <w:r/>
            <w:r>
              <w:rPr>
                <w:rFonts w:ascii="Georgia" w:hAnsi="Georgia"/>
                <w:b/>
                <w:color w:val="0D233A"/>
                <w:sz w:val="17"/>
              </w:rPr>
              <w:t>Prueba</w:t>
            </w:r>
          </w:p>
        </w:tc>
        <w:tc>
          <w:tcPr>
            <w:tcW w:type="dxa" w:w="2592"/>
            <w:shd w:fill="F1F5F9"/>
            <w:tcMar>
              <w:top w:w="80" w:type="dxa"/>
              <w:bottom w:w="80" w:type="dxa"/>
              <w:left w:w="100" w:type="dxa"/>
              <w:right w:w="100" w:type="dxa"/>
            </w:tcMar>
          </w:tcPr>
          <w:p>
            <w:pPr>
              <w:spacing w:before="60" w:after="60"/>
              <w:jc w:val="right"/>
            </w:pPr>
            <w:r/>
            <w:r>
              <w:rPr>
                <w:rFonts w:ascii="Georgia" w:hAnsi="Georgia"/>
                <w:b/>
                <w:color w:val="0D233A"/>
                <w:sz w:val="17"/>
              </w:rPr>
              <w:t>Variable / Proceso</w:t>
            </w:r>
          </w:p>
        </w:tc>
        <w:tc>
          <w:tcPr>
            <w:tcW w:type="dxa" w:w="1296"/>
            <w:shd w:fill="F1F5F9"/>
            <w:tcMar>
              <w:top w:w="80" w:type="dxa"/>
              <w:bottom w:w="80" w:type="dxa"/>
              <w:left w:w="100" w:type="dxa"/>
              <w:right w:w="100" w:type="dxa"/>
            </w:tcMar>
          </w:tcPr>
          <w:p>
            <w:pPr>
              <w:spacing w:before="60" w:after="60"/>
              <w:jc w:val="right"/>
            </w:pPr>
            <w:r/>
            <w:r>
              <w:rPr>
                <w:rFonts w:ascii="Georgia" w:hAnsi="Georgia"/>
                <w:b/>
                <w:color w:val="0D233A"/>
                <w:sz w:val="17"/>
              </w:rPr>
              <w:t>Estadístico</w:t>
            </w:r>
          </w:p>
        </w:tc>
        <w:tc>
          <w:tcPr>
            <w:tcW w:type="dxa" w:w="1584"/>
            <w:shd w:fill="F1F5F9"/>
            <w:tcMar>
              <w:top w:w="80" w:type="dxa"/>
              <w:bottom w:w="80" w:type="dxa"/>
              <w:left w:w="100" w:type="dxa"/>
              <w:right w:w="100" w:type="dxa"/>
            </w:tcMar>
          </w:tcPr>
          <w:p>
            <w:pPr>
              <w:spacing w:before="60" w:after="60"/>
              <w:jc w:val="right"/>
            </w:pPr>
            <w:r/>
            <w:r>
              <w:rPr>
                <w:rFonts w:ascii="Georgia" w:hAnsi="Georgia"/>
                <w:b/>
                <w:color w:val="0D233A"/>
                <w:sz w:val="17"/>
              </w:rPr>
              <w:t>P-Valor</w:t>
            </w:r>
          </w:p>
        </w:tc>
        <w:tc>
          <w:tcPr>
            <w:tcW w:type="dxa" w:w="2016"/>
            <w:shd w:fill="F1F5F9"/>
            <w:tcMar>
              <w:top w:w="80" w:type="dxa"/>
              <w:bottom w:w="80" w:type="dxa"/>
              <w:left w:w="100" w:type="dxa"/>
              <w:right w:w="100" w:type="dxa"/>
            </w:tcMar>
          </w:tcPr>
          <w:p>
            <w:pPr>
              <w:spacing w:before="60" w:after="60"/>
              <w:jc w:val="right"/>
            </w:pPr>
            <w:r/>
            <w:r>
              <w:rPr>
                <w:rFonts w:ascii="Georgia" w:hAnsi="Georgia"/>
                <w:b/>
                <w:color w:val="0D233A"/>
                <w:sz w:val="17"/>
              </w:rPr>
              <w:t>Conclusión</w:t>
            </w:r>
          </w:p>
        </w:tc>
      </w:tr>
      <w:tr>
        <w:tc>
          <w:tcPr>
            <w:tcW w:type="dxa" w:w="2592"/>
            <w:tcMar>
              <w:top w:w="60" w:type="dxa"/>
              <w:bottom w:w="60" w:type="dxa"/>
              <w:left w:w="100" w:type="dxa"/>
              <w:right w:w="100" w:type="dxa"/>
            </w:tcMar>
          </w:tcPr>
          <w:p>
            <w:pPr>
              <w:spacing w:before="40" w:after="40"/>
              <w:jc w:val="left"/>
            </w:pPr>
            <w:r/>
            <w:r>
              <w:rPr>
                <w:rFonts w:ascii="Georgia" w:hAnsi="Georgia"/>
                <w:color w:val="0F172A"/>
                <w:sz w:val="17"/>
              </w:rPr>
              <w:t>Dickey-Fuller Aumentado (ADF)</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Retornos Diarios ALUA (USD)</w:t>
            </w:r>
          </w:p>
        </w:tc>
        <w:tc>
          <w:tcPr>
            <w:tcW w:type="dxa" w:w="1296"/>
            <w:tcMar>
              <w:top w:w="60" w:type="dxa"/>
              <w:bottom w:w="60" w:type="dxa"/>
              <w:left w:w="100" w:type="dxa"/>
              <w:right w:w="100" w:type="dxa"/>
            </w:tcMar>
          </w:tcPr>
          <w:p>
            <w:pPr>
              <w:spacing w:before="40" w:after="40"/>
              <w:jc w:val="right"/>
            </w:pPr>
            <w:r/>
            <w:r>
              <w:rPr>
                <w:rFonts w:ascii="Georgia" w:hAnsi="Georgia"/>
                <w:color w:val="0F172A"/>
                <w:sz w:val="17"/>
              </w:rPr>
              <w:t>t = -3,84</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p &lt; 0,01</w:t>
            </w:r>
          </w:p>
        </w:tc>
        <w:tc>
          <w:tcPr>
            <w:tcW w:type="dxa" w:w="2016"/>
            <w:tcMar>
              <w:top w:w="60" w:type="dxa"/>
              <w:bottom w:w="60" w:type="dxa"/>
              <w:left w:w="100" w:type="dxa"/>
              <w:right w:w="100" w:type="dxa"/>
            </w:tcMar>
          </w:tcPr>
          <w:p>
            <w:pPr>
              <w:spacing w:before="40" w:after="40"/>
              <w:jc w:val="right"/>
            </w:pPr>
            <w:r/>
            <w:r>
              <w:rPr>
                <w:rFonts w:ascii="Georgia" w:hAnsi="Georgia"/>
                <w:color w:val="0F172A"/>
                <w:sz w:val="17"/>
              </w:rPr>
              <w:t>Serie estacionaria I(0)</w:t>
            </w:r>
          </w:p>
        </w:tc>
      </w:tr>
      <w:tr>
        <w:tc>
          <w:tcPr>
            <w:tcW w:type="dxa" w:w="2592"/>
            <w:tcMar>
              <w:top w:w="60" w:type="dxa"/>
              <w:bottom w:w="60" w:type="dxa"/>
              <w:left w:w="100" w:type="dxa"/>
              <w:right w:w="100" w:type="dxa"/>
            </w:tcMar>
          </w:tcPr>
          <w:p>
            <w:pPr>
              <w:spacing w:before="40" w:after="40"/>
              <w:jc w:val="left"/>
            </w:pPr>
            <w:r/>
            <w:r>
              <w:rPr>
                <w:rFonts w:ascii="Georgia" w:hAnsi="Georgia"/>
                <w:color w:val="0F172A"/>
                <w:sz w:val="17"/>
              </w:rPr>
              <w:t>Phillips-Perron (PP)</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Retornos Diarios ALUA (USD)</w:t>
            </w:r>
          </w:p>
        </w:tc>
        <w:tc>
          <w:tcPr>
            <w:tcW w:type="dxa" w:w="1296"/>
            <w:tcMar>
              <w:top w:w="60" w:type="dxa"/>
              <w:bottom w:w="60" w:type="dxa"/>
              <w:left w:w="100" w:type="dxa"/>
              <w:right w:w="100" w:type="dxa"/>
            </w:tcMar>
          </w:tcPr>
          <w:p>
            <w:pPr>
              <w:spacing w:before="40" w:after="40"/>
              <w:jc w:val="right"/>
            </w:pPr>
            <w:r/>
            <w:r>
              <w:rPr>
                <w:rFonts w:ascii="Georgia" w:hAnsi="Georgia"/>
                <w:color w:val="0F172A"/>
                <w:sz w:val="17"/>
              </w:rPr>
              <w:t>Z_t = -4,12</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p &lt; 0,01</w:t>
            </w:r>
          </w:p>
        </w:tc>
        <w:tc>
          <w:tcPr>
            <w:tcW w:type="dxa" w:w="2016"/>
            <w:tcMar>
              <w:top w:w="60" w:type="dxa"/>
              <w:bottom w:w="60" w:type="dxa"/>
              <w:left w:w="100" w:type="dxa"/>
              <w:right w:w="100" w:type="dxa"/>
            </w:tcMar>
          </w:tcPr>
          <w:p>
            <w:pPr>
              <w:spacing w:before="40" w:after="40"/>
              <w:jc w:val="right"/>
            </w:pPr>
            <w:r/>
            <w:r>
              <w:rPr>
                <w:rFonts w:ascii="Georgia" w:hAnsi="Georgia"/>
                <w:color w:val="0F172A"/>
                <w:sz w:val="17"/>
              </w:rPr>
              <w:t>Estacionariedad robusta a heterocedasticidad</w:t>
            </w:r>
          </w:p>
        </w:tc>
      </w:tr>
      <w:tr>
        <w:tc>
          <w:tcPr>
            <w:tcW w:type="dxa" w:w="2592"/>
            <w:tcMar>
              <w:top w:w="60" w:type="dxa"/>
              <w:bottom w:w="60" w:type="dxa"/>
              <w:left w:w="100" w:type="dxa"/>
              <w:right w:w="100" w:type="dxa"/>
            </w:tcMar>
          </w:tcPr>
          <w:p>
            <w:pPr>
              <w:spacing w:before="40" w:after="40"/>
              <w:jc w:val="left"/>
            </w:pPr>
            <w:r/>
            <w:r>
              <w:rPr>
                <w:rFonts w:ascii="Georgia" w:hAnsi="Georgia"/>
                <w:color w:val="0F172A"/>
                <w:sz w:val="17"/>
              </w:rPr>
              <w:t>Jarque-Bera</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Normalidad de Retornos</w:t>
            </w:r>
          </w:p>
        </w:tc>
        <w:tc>
          <w:tcPr>
            <w:tcW w:type="dxa" w:w="1296"/>
            <w:tcMar>
              <w:top w:w="60" w:type="dxa"/>
              <w:bottom w:w="60" w:type="dxa"/>
              <w:left w:w="100" w:type="dxa"/>
              <w:right w:w="100" w:type="dxa"/>
            </w:tcMar>
          </w:tcPr>
          <w:p>
            <w:pPr>
              <w:spacing w:before="40" w:after="40"/>
              <w:jc w:val="right"/>
            </w:pPr>
            <w:r/>
            <w:r>
              <w:rPr>
                <w:rFonts w:ascii="Georgia" w:hAnsi="Georgia"/>
                <w:color w:val="0F172A"/>
                <w:sz w:val="17"/>
              </w:rPr>
              <w:t>JB = 4.391,7</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p &lt; 0,0001</w:t>
            </w:r>
          </w:p>
        </w:tc>
        <w:tc>
          <w:tcPr>
            <w:tcW w:type="dxa" w:w="2016"/>
            <w:tcMar>
              <w:top w:w="60" w:type="dxa"/>
              <w:bottom w:w="60" w:type="dxa"/>
              <w:left w:w="100" w:type="dxa"/>
              <w:right w:w="100" w:type="dxa"/>
            </w:tcMar>
          </w:tcPr>
          <w:p>
            <w:pPr>
              <w:spacing w:before="40" w:after="40"/>
              <w:jc w:val="right"/>
            </w:pPr>
            <w:r/>
            <w:r>
              <w:rPr>
                <w:rFonts w:ascii="Georgia" w:hAnsi="Georgia"/>
                <w:color w:val="0F172A"/>
                <w:sz w:val="17"/>
              </w:rPr>
              <w:t>Rechazo de normalidad (Curtosis = 7,82)</w:t>
            </w:r>
          </w:p>
        </w:tc>
      </w:tr>
      <w:tr>
        <w:tc>
          <w:tcPr>
            <w:tcW w:type="dxa" w:w="2592"/>
            <w:tcMar>
              <w:top w:w="60" w:type="dxa"/>
              <w:bottom w:w="60" w:type="dxa"/>
              <w:left w:w="100" w:type="dxa"/>
              <w:right w:w="100" w:type="dxa"/>
            </w:tcMar>
          </w:tcPr>
          <w:p>
            <w:pPr>
              <w:spacing w:before="40" w:after="40"/>
              <w:jc w:val="left"/>
            </w:pPr>
            <w:r/>
            <w:r>
              <w:rPr>
                <w:rFonts w:ascii="Georgia" w:hAnsi="Georgia"/>
                <w:color w:val="0F172A"/>
                <w:sz w:val="17"/>
              </w:rPr>
              <w:t>Kolmogorov-Smirnov</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t-Student (ν=4,46) vs. Normal</w:t>
            </w:r>
          </w:p>
        </w:tc>
        <w:tc>
          <w:tcPr>
            <w:tcW w:type="dxa" w:w="1296"/>
            <w:tcMar>
              <w:top w:w="60" w:type="dxa"/>
              <w:bottom w:w="60" w:type="dxa"/>
              <w:left w:w="100" w:type="dxa"/>
              <w:right w:w="100" w:type="dxa"/>
            </w:tcMar>
          </w:tcPr>
          <w:p>
            <w:pPr>
              <w:spacing w:before="40" w:after="40"/>
              <w:jc w:val="right"/>
            </w:pPr>
            <w:r/>
            <w:r>
              <w:rPr>
                <w:rFonts w:ascii="Georgia" w:hAnsi="Georgia"/>
                <w:color w:val="0F172A"/>
                <w:sz w:val="17"/>
              </w:rPr>
              <w:t>D = 0,018</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p = 0,42</w:t>
            </w:r>
          </w:p>
        </w:tc>
        <w:tc>
          <w:tcPr>
            <w:tcW w:type="dxa" w:w="2016"/>
            <w:tcMar>
              <w:top w:w="60" w:type="dxa"/>
              <w:bottom w:w="60" w:type="dxa"/>
              <w:left w:w="100" w:type="dxa"/>
              <w:right w:w="100" w:type="dxa"/>
            </w:tcMar>
          </w:tcPr>
          <w:p>
            <w:pPr>
              <w:spacing w:before="40" w:after="40"/>
              <w:jc w:val="right"/>
            </w:pPr>
            <w:r/>
            <w:r>
              <w:rPr>
                <w:rFonts w:ascii="Georgia" w:hAnsi="Georgia"/>
                <w:color w:val="0F172A"/>
                <w:sz w:val="17"/>
              </w:rPr>
              <w:t>Ajuste con colas pesadas t-Student</w:t>
            </w:r>
          </w:p>
        </w:tc>
      </w:tr>
      <w:tr>
        <w:tc>
          <w:tcPr>
            <w:tcW w:type="dxa" w:w="2592"/>
            <w:tcMar>
              <w:top w:w="60" w:type="dxa"/>
              <w:bottom w:w="60" w:type="dxa"/>
              <w:left w:w="100" w:type="dxa"/>
              <w:right w:w="100" w:type="dxa"/>
            </w:tcMar>
          </w:tcPr>
          <w:p>
            <w:pPr>
              <w:spacing w:before="40" w:after="40"/>
              <w:jc w:val="left"/>
            </w:pPr>
            <w:r/>
            <w:r>
              <w:rPr>
                <w:rFonts w:ascii="Georgia" w:hAnsi="Georgia"/>
                <w:color w:val="0F172A"/>
                <w:sz w:val="17"/>
              </w:rPr>
              <w:t>Cópula de Clayton</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Dependencia de Cola Inferior</w:t>
            </w:r>
          </w:p>
        </w:tc>
        <w:tc>
          <w:tcPr>
            <w:tcW w:type="dxa" w:w="1296"/>
            <w:tcMar>
              <w:top w:w="60" w:type="dxa"/>
              <w:bottom w:w="60" w:type="dxa"/>
              <w:left w:w="100" w:type="dxa"/>
              <w:right w:w="100" w:type="dxa"/>
            </w:tcMar>
          </w:tcPr>
          <w:p>
            <w:pPr>
              <w:spacing w:before="40" w:after="40"/>
              <w:jc w:val="right"/>
            </w:pPr>
            <w:r/>
            <w:r>
              <w:rPr>
                <w:rFonts w:ascii="Georgia" w:hAnsi="Georgia"/>
                <w:color w:val="0F172A"/>
                <w:sz w:val="17"/>
              </w:rPr>
              <w:t>ΔAIC = -88,9</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λ_L = 0,38</w:t>
            </w:r>
          </w:p>
        </w:tc>
        <w:tc>
          <w:tcPr>
            <w:tcW w:type="dxa" w:w="2016"/>
            <w:tcMar>
              <w:top w:w="60" w:type="dxa"/>
              <w:bottom w:w="60" w:type="dxa"/>
              <w:left w:w="100" w:type="dxa"/>
              <w:right w:w="100" w:type="dxa"/>
            </w:tcMar>
          </w:tcPr>
          <w:p>
            <w:pPr>
              <w:spacing w:before="40" w:after="40"/>
              <w:jc w:val="right"/>
            </w:pPr>
            <w:r/>
            <w:r>
              <w:rPr>
                <w:rFonts w:ascii="Georgia" w:hAnsi="Georgia"/>
                <w:color w:val="0F172A"/>
                <w:sz w:val="17"/>
              </w:rPr>
              <w:t>Dependencia asimétrica superior a Gaussiana</w:t>
            </w:r>
          </w:p>
        </w:tc>
      </w:tr>
      <w:tr>
        <w:tc>
          <w:tcPr>
            <w:tcW w:type="dxa" w:w="2592"/>
            <w:tcMar>
              <w:top w:w="60" w:type="dxa"/>
              <w:bottom w:w="60" w:type="dxa"/>
              <w:left w:w="100" w:type="dxa"/>
              <w:right w:w="100" w:type="dxa"/>
            </w:tcMar>
          </w:tcPr>
          <w:p>
            <w:pPr>
              <w:spacing w:before="40" w:after="40"/>
              <w:jc w:val="left"/>
            </w:pPr>
            <w:r/>
            <w:r>
              <w:rPr>
                <w:rFonts w:ascii="Georgia" w:hAnsi="Georgia"/>
                <w:color w:val="0F172A"/>
                <w:sz w:val="17"/>
              </w:rPr>
              <w:t>ARCH-LM (Lag 5)</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Heterocedasticidad Condicional</w:t>
            </w:r>
          </w:p>
        </w:tc>
        <w:tc>
          <w:tcPr>
            <w:tcW w:type="dxa" w:w="1296"/>
            <w:tcMar>
              <w:top w:w="60" w:type="dxa"/>
              <w:bottom w:w="60" w:type="dxa"/>
              <w:left w:w="100" w:type="dxa"/>
              <w:right w:w="100" w:type="dxa"/>
            </w:tcMar>
          </w:tcPr>
          <w:p>
            <w:pPr>
              <w:spacing w:before="40" w:after="40"/>
              <w:jc w:val="right"/>
            </w:pPr>
            <w:r/>
            <w:r>
              <w:rPr>
                <w:rFonts w:ascii="Georgia" w:hAnsi="Georgia"/>
                <w:color w:val="0F172A"/>
                <w:sz w:val="17"/>
              </w:rPr>
              <w:t>LM = 48,2</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p &lt; 0,001</w:t>
            </w:r>
          </w:p>
        </w:tc>
        <w:tc>
          <w:tcPr>
            <w:tcW w:type="dxa" w:w="2016"/>
            <w:tcMar>
              <w:top w:w="60" w:type="dxa"/>
              <w:bottom w:w="60" w:type="dxa"/>
              <w:left w:w="100" w:type="dxa"/>
              <w:right w:w="100" w:type="dxa"/>
            </w:tcMar>
          </w:tcPr>
          <w:p>
            <w:pPr>
              <w:spacing w:before="40" w:after="40"/>
              <w:jc w:val="right"/>
            </w:pPr>
            <w:r/>
            <w:r>
              <w:rPr>
                <w:rFonts w:ascii="Georgia" w:hAnsi="Georgia"/>
                <w:color w:val="0F172A"/>
                <w:sz w:val="17"/>
              </w:rPr>
              <w:t>Presencia de volatilidad por conglomerados</w:t>
            </w:r>
          </w:p>
        </w:tc>
      </w:tr>
      <w:tr>
        <w:tc>
          <w:tcPr>
            <w:tcW w:type="dxa" w:w="2592"/>
            <w:tcMar>
              <w:top w:w="60" w:type="dxa"/>
              <w:bottom w:w="60" w:type="dxa"/>
              <w:left w:w="100" w:type="dxa"/>
              <w:right w:w="100" w:type="dxa"/>
            </w:tcMar>
          </w:tcPr>
          <w:p>
            <w:pPr>
              <w:spacing w:before="40" w:after="40"/>
              <w:jc w:val="left"/>
            </w:pPr>
            <w:r/>
            <w:r>
              <w:rPr>
                <w:rFonts w:ascii="Georgia" w:hAnsi="Georgia"/>
                <w:color w:val="0F172A"/>
                <w:sz w:val="17"/>
              </w:rPr>
              <w:t>Ljung-Box Q(10)</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Autocorrelación de Residuos</w:t>
            </w:r>
          </w:p>
        </w:tc>
        <w:tc>
          <w:tcPr>
            <w:tcW w:type="dxa" w:w="1296"/>
            <w:tcMar>
              <w:top w:w="60" w:type="dxa"/>
              <w:bottom w:w="60" w:type="dxa"/>
              <w:left w:w="100" w:type="dxa"/>
              <w:right w:w="100" w:type="dxa"/>
            </w:tcMar>
          </w:tcPr>
          <w:p>
            <w:pPr>
              <w:spacing w:before="40" w:after="40"/>
              <w:jc w:val="right"/>
            </w:pPr>
            <w:r/>
            <w:r>
              <w:rPr>
                <w:rFonts w:ascii="Georgia" w:hAnsi="Georgia"/>
                <w:color w:val="0F172A"/>
                <w:sz w:val="17"/>
              </w:rPr>
              <w:t>Q = 8,45</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p = 0,58</w:t>
            </w:r>
          </w:p>
        </w:tc>
        <w:tc>
          <w:tcPr>
            <w:tcW w:type="dxa" w:w="2016"/>
            <w:tcMar>
              <w:top w:w="60" w:type="dxa"/>
              <w:bottom w:w="60" w:type="dxa"/>
              <w:left w:w="100" w:type="dxa"/>
              <w:right w:w="100" w:type="dxa"/>
            </w:tcMar>
          </w:tcPr>
          <w:p>
            <w:pPr>
              <w:spacing w:before="40" w:after="40"/>
              <w:jc w:val="right"/>
            </w:pPr>
            <w:r/>
            <w:r>
              <w:rPr>
                <w:rFonts w:ascii="Georgia" w:hAnsi="Georgia"/>
                <w:color w:val="0F172A"/>
                <w:sz w:val="17"/>
              </w:rPr>
              <w:t>Ausencia de correlación serial residual</w:t>
            </w:r>
          </w:p>
        </w:tc>
      </w:tr>
      <w:tr>
        <w:tc>
          <w:tcPr>
            <w:tcW w:type="dxa" w:w="2592"/>
            <w:tcMar>
              <w:top w:w="60" w:type="dxa"/>
              <w:bottom w:w="60" w:type="dxa"/>
              <w:left w:w="100" w:type="dxa"/>
              <w:right w:w="100" w:type="dxa"/>
            </w:tcMar>
          </w:tcPr>
          <w:p>
            <w:pPr>
              <w:spacing w:before="40" w:after="40"/>
              <w:jc w:val="left"/>
            </w:pPr>
            <w:r/>
            <w:r>
              <w:rPr>
                <w:rFonts w:ascii="Georgia" w:hAnsi="Georgia"/>
                <w:color w:val="0F172A"/>
                <w:sz w:val="17"/>
              </w:rPr>
              <w:t>Quandt-Andrews</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Estabilidad Paramétrica</w:t>
            </w:r>
          </w:p>
        </w:tc>
        <w:tc>
          <w:tcPr>
            <w:tcW w:type="dxa" w:w="1296"/>
            <w:tcMar>
              <w:top w:w="60" w:type="dxa"/>
              <w:bottom w:w="60" w:type="dxa"/>
              <w:left w:w="100" w:type="dxa"/>
              <w:right w:w="100" w:type="dxa"/>
            </w:tcMar>
          </w:tcPr>
          <w:p>
            <w:pPr>
              <w:spacing w:before="40" w:after="40"/>
              <w:jc w:val="right"/>
            </w:pPr>
            <w:r/>
            <w:r>
              <w:rPr>
                <w:rFonts w:ascii="Georgia" w:hAnsi="Georgia"/>
                <w:color w:val="0F172A"/>
                <w:sz w:val="17"/>
              </w:rPr>
              <w:t>F = 1,14</w:t>
            </w:r>
          </w:p>
        </w:tc>
        <w:tc>
          <w:tcPr>
            <w:tcW w:type="dxa" w:w="1584"/>
            <w:tcMar>
              <w:top w:w="60" w:type="dxa"/>
              <w:bottom w:w="60" w:type="dxa"/>
              <w:left w:w="100" w:type="dxa"/>
              <w:right w:w="100" w:type="dxa"/>
            </w:tcMar>
          </w:tcPr>
          <w:p>
            <w:pPr>
              <w:spacing w:before="40" w:after="40"/>
              <w:jc w:val="right"/>
            </w:pPr>
            <w:r/>
            <w:r>
              <w:rPr>
                <w:rFonts w:ascii="Georgia" w:hAnsi="Georgia"/>
                <w:color w:val="0F172A"/>
                <w:sz w:val="17"/>
              </w:rPr>
              <w:t>p = 0,31</w:t>
            </w:r>
          </w:p>
        </w:tc>
        <w:tc>
          <w:tcPr>
            <w:tcW w:type="dxa" w:w="2016"/>
            <w:tcMar>
              <w:top w:w="60" w:type="dxa"/>
              <w:bottom w:w="60" w:type="dxa"/>
              <w:left w:w="100" w:type="dxa"/>
              <w:right w:w="100" w:type="dxa"/>
            </w:tcMar>
          </w:tcPr>
          <w:p>
            <w:pPr>
              <w:spacing w:before="40" w:after="40"/>
              <w:jc w:val="right"/>
            </w:pPr>
            <w:r/>
            <w:r>
              <w:rPr>
                <w:rFonts w:ascii="Georgia" w:hAnsi="Georgia"/>
                <w:color w:val="0F172A"/>
                <w:sz w:val="17"/>
              </w:rPr>
              <w:t>Parámetros estables en la muestra analizada</w:t>
            </w:r>
          </w:p>
        </w:tc>
      </w:tr>
    </w:tbl>
    <w:p>
      <w:pPr>
        <w:spacing w:after="80"/>
      </w:pPr>
    </w:p>
    <w:p>
      <w:pPr>
        <w:keepNext/>
        <w:spacing w:before="280" w:after="80"/>
        <w:pBrd>
          <w:bottom w:val="single" w:sz="8" w:space="2" w:color="0D233A"/>
        </w:pBrd>
      </w:pPr>
      <w:r>
        <w:rPr>
          <w:rFonts w:ascii="Georgia" w:hAnsi="Georgia"/>
          <w:b/>
          <w:color w:val="0D233A"/>
          <w:sz w:val="26"/>
        </w:rPr>
        <w:t>17. Dictamen Final y Conclusión del Modelo</w:t>
      </w:r>
    </w:p>
    <w:p>
      <w:pPr>
        <w:spacing w:before="0" w:after="60" w:line="276" w:lineRule="auto"/>
      </w:pPr>
      <w:r>
        <w:rPr>
          <w:rFonts w:ascii="Georgia" w:hAnsi="Georgia"/>
          <w:color w:val="0F172A"/>
          <w:sz w:val="19"/>
        </w:rPr>
        <w:t>El modelo de valuación concluye una recomendación de COMPRAR, fundamentada en:</w:t>
      </w:r>
    </w:p>
    <w:p>
      <w:pPr>
        <w:spacing w:before="0" w:after="60" w:line="276" w:lineRule="auto"/>
      </w:pPr>
      <w:r>
        <w:rPr>
          <w:rFonts w:ascii="Georgia" w:hAnsi="Georgia"/>
          <w:color w:val="0F172A"/>
          <w:sz w:val="19"/>
        </w:rPr>
        <w:t>• Precio Objetivo Base (DCF Dumrauf): ARS 1.236,00 por acción (USD 0,78, upside de +25,8%).</w:t>
      </w:r>
    </w:p>
    <w:p>
      <w:pPr>
        <w:spacing w:before="0" w:after="60" w:line="276" w:lineRule="auto"/>
      </w:pPr>
      <w:r>
        <w:rPr>
          <w:rFonts w:ascii="Georgia" w:hAnsi="Georgia"/>
          <w:color w:val="0F172A"/>
          <w:sz w:val="19"/>
        </w:rPr>
        <w:t>• Precio Objetivo Integrado (Base + Opción Real PEAL V): ARS 1.255,60 por acción (USD 0,79, upside de +27,8%).</w:t>
      </w:r>
    </w:p>
    <w:p>
      <w:pPr>
        <w:spacing w:before="0" w:after="60" w:line="276" w:lineRule="auto"/>
      </w:pPr>
      <w:r>
        <w:rPr>
          <w:rFonts w:ascii="Georgia" w:hAnsi="Georgia"/>
          <w:color w:val="0F172A"/>
          <w:sz w:val="19"/>
        </w:rPr>
        <w:t>• Rango Probabilístico Monte Carlo (P5–P95): ARS 844 a ARS 1.737 por acción, con un 85,2% de probabilidad empírica de retorno positivo.</w:t>
      </w:r>
    </w:p>
    <w:p>
      <w:pPr>
        <w:spacing w:before="0" w:after="60" w:line="276" w:lineRule="auto"/>
      </w:pPr>
      <w:r>
        <w:rPr>
          <w:rFonts w:ascii="Georgia" w:hAnsi="Georgia"/>
          <w:color w:val="0F172A"/>
          <w:sz w:val="19"/>
        </w:rPr>
        <w:t>• Margen de Seguridad Fundamental: La cotización actual descuenta una tasa terminal implícita contractiva (g* = 0,69%), ofreciendo un margen de seguridad de ARS 253,50 por acción frente al valor fundamental de régimen.</w:t>
      </w:r>
    </w:p>
    <w:p>
      <w:r>
        <w:br w:type="page"/>
      </w:r>
    </w:p>
    <w:p>
      <w:pPr>
        <w:keepNext/>
        <w:spacing w:before="280" w:after="80"/>
        <w:pBrd>
          <w:bottom w:val="single" w:sz="8" w:space="2" w:color="0D233A"/>
        </w:pBrd>
      </w:pPr>
      <w:r>
        <w:rPr>
          <w:rFonts w:ascii="Georgia" w:hAnsi="Georgia"/>
          <w:b/>
          <w:color w:val="0D233A"/>
          <w:sz w:val="26"/>
        </w:rPr>
        <w:t>Apéndice: Estados Financieros Auditados y Proyecciones de Flujo de Fondos (USD MM)</w:t>
      </w:r>
    </w:p>
    <w:p>
      <w:pPr>
        <w:spacing w:before="0" w:after="60" w:line="276" w:lineRule="auto"/>
      </w:pPr>
      <w:r>
        <w:rPr>
          <w:rFonts w:ascii="Georgia" w:hAnsi="Georgia"/>
          <w:color w:val="0F172A"/>
          <w:sz w:val="19"/>
        </w:rPr>
        <w:t>Cifras históricas anuales auditadas por Price Waterhouse &amp; Co. S.R.L. convertidas al CCL de cierre de cada ejercicio. Las proyecciones aplican la alícuota estatutaria del 35% sobre el resultado operativo (Ley 20.628).</w:t>
      </w:r>
    </w:p>
    <w:p>
      <w:pPr>
        <w:keepNext/>
        <w:spacing w:before="120" w:after="40"/>
      </w:pPr>
      <w:r>
        <w:rPr>
          <w:rFonts w:ascii="Georgia" w:hAnsi="Georgia"/>
          <w:b/>
          <w:color w:val="0D233A"/>
          <w:sz w:val="18"/>
        </w:rPr>
        <w:t>Tabla: Conciliación de la Tasa Efectiva del Impuesto a las Ganancias FY2025</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456"/>
        <w:gridCol w:w="3456"/>
        <w:gridCol w:w="3456"/>
      </w:tblGrid>
      <w:tr>
        <w:tc>
          <w:tcPr>
            <w:tcW w:type="dxa" w:w="5040"/>
            <w:shd w:fill="F1F5F9"/>
            <w:tcMar>
              <w:top w:w="80" w:type="dxa"/>
              <w:bottom w:w="80" w:type="dxa"/>
              <w:left w:w="100" w:type="dxa"/>
              <w:right w:w="100" w:type="dxa"/>
            </w:tcMar>
          </w:tcPr>
          <w:p>
            <w:pPr>
              <w:spacing w:before="60" w:after="60"/>
              <w:jc w:val="left"/>
            </w:pPr>
            <w:r/>
            <w:r>
              <w:rPr>
                <w:rFonts w:ascii="Georgia" w:hAnsi="Georgia"/>
                <w:b/>
                <w:color w:val="0D233A"/>
                <w:sz w:val="17"/>
              </w:rPr>
              <w:t>Componente Tributario</w:t>
            </w:r>
          </w:p>
        </w:tc>
        <w:tc>
          <w:tcPr>
            <w:tcW w:type="dxa" w:w="2592"/>
            <w:shd w:fill="F1F5F9"/>
            <w:tcMar>
              <w:top w:w="80" w:type="dxa"/>
              <w:bottom w:w="80" w:type="dxa"/>
              <w:left w:w="100" w:type="dxa"/>
              <w:right w:w="100" w:type="dxa"/>
            </w:tcMar>
          </w:tcPr>
          <w:p>
            <w:pPr>
              <w:spacing w:before="60" w:after="60"/>
              <w:jc w:val="right"/>
            </w:pPr>
            <w:r/>
            <w:r>
              <w:rPr>
                <w:rFonts w:ascii="Georgia" w:hAnsi="Georgia"/>
                <w:b/>
                <w:color w:val="0D233A"/>
                <w:sz w:val="17"/>
              </w:rPr>
              <w:t>Monto (USD MM)</w:t>
            </w:r>
          </w:p>
        </w:tc>
        <w:tc>
          <w:tcPr>
            <w:tcW w:type="dxa" w:w="2448"/>
            <w:shd w:fill="F1F5F9"/>
            <w:tcMar>
              <w:top w:w="80" w:type="dxa"/>
              <w:bottom w:w="80" w:type="dxa"/>
              <w:left w:w="100" w:type="dxa"/>
              <w:right w:w="100" w:type="dxa"/>
            </w:tcMar>
          </w:tcPr>
          <w:p>
            <w:pPr>
              <w:spacing w:before="60" w:after="60"/>
              <w:jc w:val="right"/>
            </w:pPr>
            <w:r/>
            <w:r>
              <w:rPr>
                <w:rFonts w:ascii="Georgia" w:hAnsi="Georgia"/>
                <w:b/>
                <w:color w:val="0D233A"/>
                <w:sz w:val="17"/>
              </w:rPr>
              <w:t>% sobre EBT</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Resultado Antes de Impuestos (EBT)</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58,5</w:t>
            </w:r>
          </w:p>
        </w:tc>
        <w:tc>
          <w:tcPr>
            <w:tcW w:type="dxa" w:w="2448"/>
            <w:tcMar>
              <w:top w:w="60" w:type="dxa"/>
              <w:bottom w:w="60" w:type="dxa"/>
              <w:left w:w="100" w:type="dxa"/>
              <w:right w:w="100" w:type="dxa"/>
            </w:tcMar>
          </w:tcPr>
          <w:p>
            <w:pPr>
              <w:spacing w:before="40" w:after="40"/>
              <w:jc w:val="right"/>
            </w:pPr>
            <w:r/>
            <w:r>
              <w:rPr>
                <w:rFonts w:ascii="Georgia" w:hAnsi="Georgia"/>
                <w:color w:val="0F172A"/>
                <w:sz w:val="17"/>
              </w:rPr>
              <w:t>100,0%</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Impuesto Teórico a Tasa Estatutaria (35%)</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(20,5)</w:t>
            </w:r>
          </w:p>
        </w:tc>
        <w:tc>
          <w:tcPr>
            <w:tcW w:type="dxa" w:w="2448"/>
            <w:tcMar>
              <w:top w:w="60" w:type="dxa"/>
              <w:bottom w:w="60" w:type="dxa"/>
              <w:left w:w="100" w:type="dxa"/>
              <w:right w:w="100" w:type="dxa"/>
            </w:tcMar>
          </w:tcPr>
          <w:p>
            <w:pPr>
              <w:spacing w:before="40" w:after="40"/>
              <w:jc w:val="right"/>
            </w:pPr>
            <w:r/>
            <w:r>
              <w:rPr>
                <w:rFonts w:ascii="Georgia" w:hAnsi="Georgia"/>
                <w:color w:val="0F172A"/>
                <w:sz w:val="17"/>
              </w:rPr>
              <w:t>35,0%</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Efecto del Ajuste por Inflación Impositivo (NIC 29)</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(23,1)</w:t>
            </w:r>
          </w:p>
        </w:tc>
        <w:tc>
          <w:tcPr>
            <w:tcW w:type="dxa" w:w="2448"/>
            <w:tcMar>
              <w:top w:w="60" w:type="dxa"/>
              <w:bottom w:w="60" w:type="dxa"/>
              <w:left w:w="100" w:type="dxa"/>
              <w:right w:w="100" w:type="dxa"/>
            </w:tcMar>
          </w:tcPr>
          <w:p>
            <w:pPr>
              <w:spacing w:before="40" w:after="40"/>
              <w:jc w:val="right"/>
            </w:pPr>
            <w:r/>
            <w:r>
              <w:rPr>
                <w:rFonts w:ascii="Georgia" w:hAnsi="Georgia"/>
                <w:color w:val="0F172A"/>
                <w:sz w:val="17"/>
              </w:rPr>
              <w:t>39,5%</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Diferencias de Cambio no Deducibles y Otros</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(5,7)</w:t>
            </w:r>
          </w:p>
        </w:tc>
        <w:tc>
          <w:tcPr>
            <w:tcW w:type="dxa" w:w="2448"/>
            <w:tcMar>
              <w:top w:w="60" w:type="dxa"/>
              <w:bottom w:w="60" w:type="dxa"/>
              <w:left w:w="100" w:type="dxa"/>
              <w:right w:w="100" w:type="dxa"/>
            </w:tcMar>
          </w:tcPr>
          <w:p>
            <w:pPr>
              <w:spacing w:before="40" w:after="40"/>
              <w:jc w:val="right"/>
            </w:pPr>
            <w:r/>
            <w:r>
              <w:rPr>
                <w:rFonts w:ascii="Georgia" w:hAnsi="Georgia"/>
                <w:color w:val="0F172A"/>
                <w:sz w:val="17"/>
              </w:rPr>
              <w:t>9,8%</w:t>
            </w:r>
          </w:p>
        </w:tc>
      </w:tr>
      <w:tr>
        <w:tc>
          <w:tcPr>
            <w:tcW w:type="dxa" w:w="5040"/>
            <w:tcMar>
              <w:top w:w="60" w:type="dxa"/>
              <w:bottom w:w="60" w:type="dxa"/>
              <w:left w:w="100" w:type="dxa"/>
              <w:right w:w="100" w:type="dxa"/>
            </w:tcMar>
          </w:tcPr>
          <w:p>
            <w:pPr>
              <w:spacing w:before="40" w:after="40"/>
              <w:jc w:val="left"/>
            </w:pPr>
            <w:r/>
            <w:r>
              <w:rPr>
                <w:rFonts w:ascii="Georgia" w:hAnsi="Georgia"/>
                <w:color w:val="0F172A"/>
                <w:sz w:val="17"/>
              </w:rPr>
              <w:t>Impuesto a las Ganancias Devengado en Estados Contables</w:t>
            </w:r>
          </w:p>
        </w:tc>
        <w:tc>
          <w:tcPr>
            <w:tcW w:type="dxa" w:w="2592"/>
            <w:tcMar>
              <w:top w:w="60" w:type="dxa"/>
              <w:bottom w:w="60" w:type="dxa"/>
              <w:left w:w="100" w:type="dxa"/>
              <w:right w:w="100" w:type="dxa"/>
            </w:tcMar>
          </w:tcPr>
          <w:p>
            <w:pPr>
              <w:spacing w:before="40" w:after="40"/>
              <w:jc w:val="right"/>
            </w:pPr>
            <w:r/>
            <w:r>
              <w:rPr>
                <w:rFonts w:ascii="Georgia" w:hAnsi="Georgia"/>
                <w:color w:val="0F172A"/>
                <w:sz w:val="17"/>
              </w:rPr>
              <w:t>(49,3)</w:t>
            </w:r>
          </w:p>
        </w:tc>
        <w:tc>
          <w:tcPr>
            <w:tcW w:type="dxa" w:w="2448"/>
            <w:tcMar>
              <w:top w:w="60" w:type="dxa"/>
              <w:bottom w:w="60" w:type="dxa"/>
              <w:left w:w="100" w:type="dxa"/>
              <w:right w:w="100" w:type="dxa"/>
            </w:tcMar>
          </w:tcPr>
          <w:p>
            <w:pPr>
              <w:spacing w:before="40" w:after="40"/>
              <w:jc w:val="right"/>
            </w:pPr>
            <w:r/>
            <w:r>
              <w:rPr>
                <w:rFonts w:ascii="Georgia" w:hAnsi="Georgia"/>
                <w:color w:val="0F172A"/>
                <w:sz w:val="17"/>
              </w:rPr>
              <w:t>84,3%</w:t>
            </w:r>
          </w:p>
        </w:tc>
      </w:tr>
    </w:tbl>
    <w:p>
      <w:pPr>
        <w:spacing w:after="80"/>
      </w:pPr>
    </w:p>
    <w:p>
      <w:pPr>
        <w:keepNext/>
        <w:spacing w:before="120" w:after="40"/>
      </w:pPr>
      <w:r>
        <w:rPr>
          <w:rFonts w:ascii="Georgia" w:hAnsi="Georgia"/>
          <w:b/>
          <w:color w:val="0D233A"/>
          <w:sz w:val="18"/>
        </w:rPr>
        <w:t>Tabla: Estado de Resultados Consolidado Auditado (FY2020–FY2025, USD MM)</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481"/>
        <w:gridCol w:w="1481"/>
        <w:gridCol w:w="1481"/>
        <w:gridCol w:w="1481"/>
        <w:gridCol w:w="1481"/>
        <w:gridCol w:w="1481"/>
        <w:gridCol w:w="1481"/>
      </w:tblGrid>
      <w:tr>
        <w:tc>
          <w:tcPr>
            <w:tcW w:type="dxa" w:w="3456"/>
            <w:shd w:fill="F1F5F9"/>
            <w:tcMar>
              <w:top w:w="80" w:type="dxa"/>
              <w:bottom w:w="80" w:type="dxa"/>
              <w:left w:w="100" w:type="dxa"/>
              <w:right w:w="100" w:type="dxa"/>
            </w:tcMar>
          </w:tcPr>
          <w:p>
            <w:pPr>
              <w:spacing w:before="60" w:after="60"/>
              <w:jc w:val="left"/>
            </w:pPr>
            <w:r/>
            <w:r>
              <w:rPr>
                <w:rFonts w:ascii="Georgia" w:hAnsi="Georgia"/>
                <w:b/>
                <w:color w:val="0D233A"/>
                <w:sz w:val="17"/>
              </w:rPr>
              <w:t>Línea Contable</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FY2020</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FY2021</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FY2022</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FY2023</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FY2024</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FY2025</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Ventas Netas (Revenue)</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823,5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513,5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654,7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647,8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915,9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1.092,6</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Costo de Ventas</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(711,2)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(414,4)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(448,3)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(536,0)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(744,0)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(930,5)</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Ganancia Bruta</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112,3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99,1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206,4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111,8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171,9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162,1</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Gastos de Administración y Comercialización</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(63,8)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(37,8)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(44,1)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(50,1)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(70,1)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(100,8)</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Otros Ingresos / Operativos Netos</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(0,4)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0,0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(0,2)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0,4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50,8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31,0</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EBITDA</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116,5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110,2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208,8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103,5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204,7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163,3</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Depreciación y Amortización (D&amp;A)</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(68,4)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(48,9)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(46,7)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(41,5)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(52,1)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(71,0)</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EBIT (Resultado Operativo)</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48,1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61,3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162,1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62,0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152,6</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92,3</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Resultado Financiero y Asociadas</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(84,5)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14,7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36,2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88,4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(33,8)</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Ganancia Antes de Impuestos (EBT)</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(36,4)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76,0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198,3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150,3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156,5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58,5</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Impuesto a las Ganancias</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(7,5)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(47,9)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(82,8)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(11,3)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(66,7)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(49,3)</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Resultado Neto del Ejercicio</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(43,9)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28,1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115,5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139,0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89,7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9,2</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NOPAT (Resultado Operativo Neto de Impuestos)</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31,3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39,9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105,4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40,3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99,2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60,0</w:t>
            </w:r>
          </w:p>
        </w:tc>
      </w:tr>
    </w:tbl>
    <w:p>
      <w:pPr>
        <w:spacing w:after="80"/>
      </w:pPr>
    </w:p>
    <w:p>
      <w:pPr>
        <w:keepNext/>
        <w:spacing w:before="120" w:after="40"/>
      </w:pPr>
      <w:r>
        <w:rPr>
          <w:rFonts w:ascii="Georgia" w:hAnsi="Georgia"/>
          <w:b/>
          <w:color w:val="0D233A"/>
          <w:sz w:val="18"/>
        </w:rPr>
        <w:t>Tabla: Estado de Situación Patrimonial / Balance Consolidado Auditado (FY2020–FY2025, USD MM)</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481"/>
        <w:gridCol w:w="1481"/>
        <w:gridCol w:w="1481"/>
        <w:gridCol w:w="1481"/>
        <w:gridCol w:w="1481"/>
        <w:gridCol w:w="1481"/>
        <w:gridCol w:w="1481"/>
      </w:tblGrid>
      <w:tr>
        <w:tc>
          <w:tcPr>
            <w:tcW w:type="dxa" w:w="3456"/>
            <w:shd w:fill="F1F5F9"/>
            <w:tcMar>
              <w:top w:w="80" w:type="dxa"/>
              <w:bottom w:w="80" w:type="dxa"/>
              <w:left w:w="100" w:type="dxa"/>
              <w:right w:w="100" w:type="dxa"/>
            </w:tcMar>
          </w:tcPr>
          <w:p>
            <w:pPr>
              <w:spacing w:before="60" w:after="60"/>
              <w:jc w:val="left"/>
            </w:pPr>
            <w:r/>
            <w:r>
              <w:rPr>
                <w:rFonts w:ascii="Georgia" w:hAnsi="Georgia"/>
                <w:b/>
                <w:color w:val="0D233A"/>
                <w:sz w:val="17"/>
              </w:rPr>
              <w:t>Rubro Patrimonial</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FY2020</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FY2021</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FY2022</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FY2023</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FY2024</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FY2025</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Activo Corriente</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454,6</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318,1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478,9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490,1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902,9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1.028,1</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Activo No Corriente (inc. Bienes de Uso)</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597,4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379,9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353,6</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422,3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556,6</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940,9</w:t>
            </w:r>
          </w:p>
        </w:tc>
      </w:tr>
      <w:tr>
        <w:tc>
          <w:tcPr>
            <w:tcW w:type="dxa" w:w="3456"/>
            <w:tcMar>
              <w:top w:w="60" w:type="dxa"/>
              <w:bottom w:w="60" w:type="dxa"/>
              <w:left w:w="100" w:type="dxa"/>
              <w:right w:w="100" w:type="dxa"/>
            </w:tcMar>
          </w:tcPr>
          <w:p>
            <w:pPr>
              <w:spacing w:before="40" w:after="40"/>
              <w:jc w:val="left"/>
            </w:pPr>
            <w:r/>
            <w:r>
              <w:rPr>
                <w:rFonts w:ascii="Georgia" w:hAnsi="Georgia"/>
                <w:b/>
                <w:color w:val="0D233A"/>
                <w:sz w:val="17"/>
              </w:rPr>
              <w:t>Total Activo</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1.052,0</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698,0</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832,6</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912,4</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1.459,5</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1.969,0</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Pasivo Corriente</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240,1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84,2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163,8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167,8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183,2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420,5</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Pasivo No Corriente</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348,7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263,9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212,2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201,9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435,9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439,2</w:t>
            </w:r>
          </w:p>
        </w:tc>
      </w:tr>
      <w:tr>
        <w:tc>
          <w:tcPr>
            <w:tcW w:type="dxa" w:w="3456"/>
            <w:tcMar>
              <w:top w:w="60" w:type="dxa"/>
              <w:bottom w:w="60" w:type="dxa"/>
              <w:left w:w="100" w:type="dxa"/>
              <w:right w:w="100" w:type="dxa"/>
            </w:tcMar>
          </w:tcPr>
          <w:p>
            <w:pPr>
              <w:spacing w:before="40" w:after="40"/>
              <w:jc w:val="left"/>
            </w:pPr>
            <w:r/>
            <w:r>
              <w:rPr>
                <w:rFonts w:ascii="Georgia" w:hAnsi="Georgia"/>
                <w:b/>
                <w:color w:val="0D233A"/>
                <w:sz w:val="17"/>
              </w:rPr>
              <w:t>Total Pasivo</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588,8</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348,1</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376,0</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369,7</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619,1</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859,7</w:t>
            </w:r>
          </w:p>
        </w:tc>
      </w:tr>
      <w:tr>
        <w:tc>
          <w:tcPr>
            <w:tcW w:type="dxa" w:w="3456"/>
            <w:tcMar>
              <w:top w:w="60" w:type="dxa"/>
              <w:bottom w:w="60" w:type="dxa"/>
              <w:left w:w="100" w:type="dxa"/>
              <w:right w:w="100" w:type="dxa"/>
            </w:tcMar>
          </w:tcPr>
          <w:p>
            <w:pPr>
              <w:spacing w:before="40" w:after="40"/>
              <w:jc w:val="left"/>
            </w:pPr>
            <w:r/>
            <w:r>
              <w:rPr>
                <w:rFonts w:ascii="Georgia" w:hAnsi="Georgia"/>
                <w:b/>
                <w:color w:val="0D233A"/>
                <w:sz w:val="17"/>
              </w:rPr>
              <w:t>Deuda Financiera Total</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375,2</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181,4</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134,0</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228,9</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408,5</w:t>
            </w:r>
          </w:p>
        </w:tc>
        <w:tc>
          <w:tcPr>
            <w:tcW w:type="dxa" w:w="1080"/>
            <w:tcMar>
              <w:top w:w="60" w:type="dxa"/>
              <w:bottom w:w="60" w:type="dxa"/>
              <w:left w:w="100" w:type="dxa"/>
              <w:right w:w="100" w:type="dxa"/>
            </w:tcMar>
          </w:tcPr>
          <w:p>
            <w:pPr>
              <w:spacing w:before="40" w:after="40"/>
              <w:jc w:val="right"/>
            </w:pPr>
            <w:r/>
            <w:r>
              <w:rPr>
                <w:rFonts w:ascii="Georgia" w:hAnsi="Georgia"/>
                <w:b/>
                <w:color w:val="0D233A"/>
                <w:sz w:val="17"/>
              </w:rPr>
              <w:t>594,9</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Caja, Bancos e Inversiones</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23,9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44,0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76,7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59,0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197,3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69,2</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Deuda Financiera Neta</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351,3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137,4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57,3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169,9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211,2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525,8</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Patrimonio Neto</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463,2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349,9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456,5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542,7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840,4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1.109,3</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Capital Invertido (NOA)</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838,4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531,3</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590,5</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771,6</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1.248,9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1.704,3</w:t>
            </w:r>
          </w:p>
        </w:tc>
      </w:tr>
    </w:tbl>
    <w:p>
      <w:pPr>
        <w:spacing w:after="80"/>
      </w:pPr>
    </w:p>
    <w:p>
      <w:pPr>
        <w:keepNext/>
        <w:spacing w:before="120" w:after="40"/>
      </w:pPr>
      <w:r>
        <w:rPr>
          <w:rFonts w:ascii="Georgia" w:hAnsi="Georgia"/>
          <w:b/>
          <w:color w:val="0D233A"/>
          <w:sz w:val="18"/>
        </w:rPr>
        <w:t>Tabla: Estado de Flujos de Efectivo Consolidado Auditado (FY2020–FY2025, USD MM)</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481"/>
        <w:gridCol w:w="1481"/>
        <w:gridCol w:w="1481"/>
        <w:gridCol w:w="1481"/>
        <w:gridCol w:w="1481"/>
        <w:gridCol w:w="1481"/>
        <w:gridCol w:w="1481"/>
      </w:tblGrid>
      <w:tr>
        <w:tc>
          <w:tcPr>
            <w:tcW w:type="dxa" w:w="3456"/>
            <w:shd w:fill="F1F5F9"/>
            <w:tcMar>
              <w:top w:w="80" w:type="dxa"/>
              <w:bottom w:w="80" w:type="dxa"/>
              <w:left w:w="100" w:type="dxa"/>
              <w:right w:w="100" w:type="dxa"/>
            </w:tcMar>
          </w:tcPr>
          <w:p>
            <w:pPr>
              <w:spacing w:before="60" w:after="60"/>
              <w:jc w:val="left"/>
            </w:pPr>
            <w:r/>
            <w:r>
              <w:rPr>
                <w:rFonts w:ascii="Georgia" w:hAnsi="Georgia"/>
                <w:b/>
                <w:color w:val="0D233A"/>
                <w:sz w:val="17"/>
              </w:rPr>
              <w:t>Flujo de Caja</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FY2020</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FY2021</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FY2022</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FY2023</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FY2024</w:t>
            </w:r>
          </w:p>
        </w:tc>
        <w:tc>
          <w:tcPr>
            <w:tcW w:type="dxa" w:w="1080"/>
            <w:shd w:fill="F1F5F9"/>
            <w:tcMar>
              <w:top w:w="80" w:type="dxa"/>
              <w:bottom w:w="80" w:type="dxa"/>
              <w:left w:w="100" w:type="dxa"/>
              <w:right w:w="100" w:type="dxa"/>
            </w:tcMar>
          </w:tcPr>
          <w:p>
            <w:pPr>
              <w:spacing w:before="60" w:after="60"/>
              <w:jc w:val="right"/>
            </w:pPr>
            <w:r/>
            <w:r>
              <w:rPr>
                <w:rFonts w:ascii="Georgia" w:hAnsi="Georgia"/>
                <w:b/>
                <w:color w:val="0D233A"/>
                <w:sz w:val="17"/>
              </w:rPr>
              <w:t>FY2025</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Flujo de Caja Operativo (FCO)</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245,7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102,4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89,2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113,6</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79,2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30,7</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Inversiones en Bienes de Uso (CAPEX)</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(103,0)</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(11,1)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(65,9)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(25,6)</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(243,9)</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Flujo de Caja de Inversión (FCI)</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(102,1)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(11,1)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(65,9)</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(25,6)</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(244,0)</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Flujo de Caja de Financiación (FCF)</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(197,8)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(45,1)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(34,4)</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(70,8)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91,1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20,3</w:t>
            </w:r>
          </w:p>
        </w:tc>
      </w:tr>
      <w:tr>
        <w:tc>
          <w:tcPr>
            <w:tcW w:type="dxa" w:w="3456"/>
            <w:tcMar>
              <w:top w:w="60" w:type="dxa"/>
              <w:bottom w:w="60" w:type="dxa"/>
              <w:left w:w="100" w:type="dxa"/>
              <w:right w:w="100" w:type="dxa"/>
            </w:tcMar>
          </w:tcPr>
          <w:p>
            <w:pPr>
              <w:spacing w:before="40" w:after="40"/>
              <w:jc w:val="left"/>
            </w:pPr>
            <w:r/>
            <w:r>
              <w:rPr>
                <w:rFonts w:ascii="Georgia" w:hAnsi="Georgia"/>
                <w:color w:val="0F172A"/>
                <w:sz w:val="17"/>
              </w:rPr>
              <w:t>Variación Neta de Efectivo</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(54,2)</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47,8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43,8</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(23,1)</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144,7</w:t>
            </w:r>
          </w:p>
        </w:tc>
        <w:tc>
          <w:tcPr>
            <w:tcW w:type="dxa" w:w="1080"/>
            <w:tcMar>
              <w:top w:w="60" w:type="dxa"/>
              <w:bottom w:w="60" w:type="dxa"/>
              <w:left w:w="100" w:type="dxa"/>
              <w:right w:w="100" w:type="dxa"/>
            </w:tcMar>
          </w:tcPr>
          <w:p>
            <w:pPr>
              <w:spacing w:before="40" w:after="40"/>
              <w:jc w:val="right"/>
            </w:pPr>
            <w:r/>
            <w:r>
              <w:rPr>
                <w:rFonts w:ascii="Georgia" w:hAnsi="Georgia"/>
                <w:color w:val="0F172A"/>
                <w:sz w:val="17"/>
              </w:rPr>
              <w:t>(193,0)</w:t>
            </w:r>
          </w:p>
        </w:tc>
      </w:tr>
    </w:tbl>
    <w:p>
      <w:pPr>
        <w:spacing w:after="80"/>
      </w:pPr>
    </w:p>
    <w:p>
      <w:pPr>
        <w:keepNext/>
        <w:spacing w:before="120" w:after="40"/>
      </w:pPr>
      <w:r>
        <w:rPr>
          <w:rFonts w:ascii="Georgia" w:hAnsi="Georgia"/>
          <w:b/>
          <w:color w:val="0D233A"/>
          <w:sz w:val="18"/>
        </w:rPr>
        <w:t>Tabla: Proyecciones del Free Cash Flow to the Firm (FCFF, FY2026E–FY2030E, USD MM)</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728"/>
        <w:gridCol w:w="1728"/>
        <w:gridCol w:w="1728"/>
        <w:gridCol w:w="1728"/>
        <w:gridCol w:w="1728"/>
        <w:gridCol w:w="1728"/>
      </w:tblGrid>
      <w:tr>
        <w:tc>
          <w:tcPr>
            <w:tcW w:type="dxa" w:w="4032"/>
            <w:shd w:fill="F1F5F9"/>
            <w:tcMar>
              <w:top w:w="80" w:type="dxa"/>
              <w:bottom w:w="80" w:type="dxa"/>
              <w:left w:w="100" w:type="dxa"/>
              <w:right w:w="100" w:type="dxa"/>
            </w:tcMar>
          </w:tcPr>
          <w:p>
            <w:pPr>
              <w:spacing w:before="60" w:after="60"/>
              <w:jc w:val="left"/>
            </w:pPr>
            <w:r/>
            <w:r>
              <w:rPr>
                <w:rFonts w:ascii="Georgia" w:hAnsi="Georgia"/>
                <w:b/>
                <w:color w:val="0D233A"/>
                <w:sz w:val="17"/>
              </w:rPr>
              <w:t>Cuenta / Ejercicio</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2026E</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2027E</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2028E</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2029E</w:t>
            </w:r>
          </w:p>
        </w:tc>
        <w:tc>
          <w:tcPr>
            <w:tcW w:type="dxa" w:w="1152"/>
            <w:shd w:fill="F1F5F9"/>
            <w:tcMar>
              <w:top w:w="80" w:type="dxa"/>
              <w:bottom w:w="80" w:type="dxa"/>
              <w:left w:w="100" w:type="dxa"/>
              <w:right w:w="100" w:type="dxa"/>
            </w:tcMar>
          </w:tcPr>
          <w:p>
            <w:pPr>
              <w:spacing w:before="60" w:after="60"/>
              <w:jc w:val="right"/>
            </w:pPr>
            <w:r/>
            <w:r>
              <w:rPr>
                <w:rFonts w:ascii="Georgia" w:hAnsi="Georgia"/>
                <w:b/>
                <w:color w:val="0D233A"/>
                <w:sz w:val="17"/>
              </w:rPr>
              <w:t>2030E</w:t>
            </w:r>
          </w:p>
        </w:tc>
      </w:tr>
      <w:tr>
        <w:tc>
          <w:tcPr>
            <w:tcW w:type="dxa" w:w="4032"/>
            <w:tcMar>
              <w:top w:w="60" w:type="dxa"/>
              <w:bottom w:w="60" w:type="dxa"/>
              <w:left w:w="100" w:type="dxa"/>
              <w:right w:w="100" w:type="dxa"/>
            </w:tcMar>
          </w:tcPr>
          <w:p>
            <w:pPr>
              <w:spacing w:before="40" w:after="40"/>
              <w:jc w:val="left"/>
            </w:pPr>
            <w:r/>
            <w:r>
              <w:rPr>
                <w:rFonts w:ascii="Georgia" w:hAnsi="Georgia"/>
                <w:color w:val="0F172A"/>
                <w:sz w:val="17"/>
              </w:rPr>
              <w:t>Ventas Netas (Revenue)</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1.591,4</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1.543,0</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1.494,6</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1.446,3</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1.397,9</w:t>
            </w:r>
          </w:p>
        </w:tc>
      </w:tr>
      <w:tr>
        <w:tc>
          <w:tcPr>
            <w:tcW w:type="dxa" w:w="4032"/>
            <w:tcMar>
              <w:top w:w="60" w:type="dxa"/>
              <w:bottom w:w="60" w:type="dxa"/>
              <w:left w:w="100" w:type="dxa"/>
              <w:right w:w="100" w:type="dxa"/>
            </w:tcMar>
          </w:tcPr>
          <w:p>
            <w:pPr>
              <w:spacing w:before="40" w:after="40"/>
              <w:jc w:val="left"/>
            </w:pPr>
            <w:r/>
            <w:r>
              <w:rPr>
                <w:rFonts w:ascii="Georgia" w:hAnsi="Georgia"/>
                <w:color w:val="0F172A"/>
                <w:sz w:val="17"/>
              </w:rPr>
              <w:t>EBITDA</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391,2</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369,3</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347,4</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325,5</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303,6</w:t>
            </w:r>
          </w:p>
        </w:tc>
      </w:tr>
      <w:tr>
        <w:tc>
          <w:tcPr>
            <w:tcW w:type="dxa" w:w="4032"/>
            <w:tcMar>
              <w:top w:w="60" w:type="dxa"/>
              <w:bottom w:w="60" w:type="dxa"/>
              <w:left w:w="100" w:type="dxa"/>
              <w:right w:w="100" w:type="dxa"/>
            </w:tcMar>
          </w:tcPr>
          <w:p>
            <w:pPr>
              <w:spacing w:before="40" w:after="40"/>
              <w:jc w:val="left"/>
            </w:pPr>
            <w:r/>
            <w:r>
              <w:rPr>
                <w:rFonts w:ascii="Georgia" w:hAnsi="Georgia"/>
                <w:color w:val="0F172A"/>
                <w:sz w:val="17"/>
              </w:rPr>
              <w:t>(-) Depreciación y Amortización</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(108,4)</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(105,1)</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(101,8)</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(98,5)</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(95,2)</w:t>
            </w:r>
          </w:p>
        </w:tc>
      </w:tr>
      <w:tr>
        <w:tc>
          <w:tcPr>
            <w:tcW w:type="dxa" w:w="4032"/>
            <w:tcMar>
              <w:top w:w="60" w:type="dxa"/>
              <w:bottom w:w="60" w:type="dxa"/>
              <w:left w:w="100" w:type="dxa"/>
              <w:right w:w="100" w:type="dxa"/>
            </w:tcMar>
          </w:tcPr>
          <w:p>
            <w:pPr>
              <w:spacing w:before="40" w:after="40"/>
              <w:jc w:val="left"/>
            </w:pPr>
            <w:r/>
            <w:r>
              <w:rPr>
                <w:rFonts w:ascii="Georgia" w:hAnsi="Georgia"/>
                <w:color w:val="0F172A"/>
                <w:sz w:val="17"/>
              </w:rPr>
              <w:t>EBIT</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282,8</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264,2</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245,6</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227,0</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208,4</w:t>
            </w:r>
          </w:p>
        </w:tc>
      </w:tr>
      <w:tr>
        <w:tc>
          <w:tcPr>
            <w:tcW w:type="dxa" w:w="4032"/>
            <w:tcMar>
              <w:top w:w="60" w:type="dxa"/>
              <w:bottom w:w="60" w:type="dxa"/>
              <w:left w:w="100" w:type="dxa"/>
              <w:right w:w="100" w:type="dxa"/>
            </w:tcMar>
          </w:tcPr>
          <w:p>
            <w:pPr>
              <w:spacing w:before="40" w:after="40"/>
              <w:jc w:val="left"/>
            </w:pPr>
            <w:r/>
            <w:r>
              <w:rPr>
                <w:rFonts w:ascii="Georgia" w:hAnsi="Georgia"/>
                <w:color w:val="0F172A"/>
                <w:sz w:val="17"/>
              </w:rPr>
              <w:t>(-) Impuestos Operativos (35% Estatutaria)</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(99,0)</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(92,5)</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(86,0)</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(79,4)</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(72,9)</w:t>
            </w:r>
          </w:p>
        </w:tc>
      </w:tr>
      <w:tr>
        <w:tc>
          <w:tcPr>
            <w:tcW w:type="dxa" w:w="4032"/>
            <w:tcMar>
              <w:top w:w="60" w:type="dxa"/>
              <w:bottom w:w="60" w:type="dxa"/>
              <w:left w:w="100" w:type="dxa"/>
              <w:right w:w="100" w:type="dxa"/>
            </w:tcMar>
          </w:tcPr>
          <w:p>
            <w:pPr>
              <w:spacing w:before="40" w:after="40"/>
              <w:jc w:val="left"/>
            </w:pPr>
            <w:r/>
            <w:r>
              <w:rPr>
                <w:rFonts w:ascii="Georgia" w:hAnsi="Georgia"/>
                <w:color w:val="0F172A"/>
                <w:sz w:val="17"/>
              </w:rPr>
              <w:t>NOPAT</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183,8</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171,7</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159,6</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147,6</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135,5</w:t>
            </w:r>
          </w:p>
        </w:tc>
      </w:tr>
      <w:tr>
        <w:tc>
          <w:tcPr>
            <w:tcW w:type="dxa" w:w="4032"/>
            <w:tcMar>
              <w:top w:w="60" w:type="dxa"/>
              <w:bottom w:w="60" w:type="dxa"/>
              <w:left w:w="100" w:type="dxa"/>
              <w:right w:w="100" w:type="dxa"/>
            </w:tcMar>
          </w:tcPr>
          <w:p>
            <w:pPr>
              <w:spacing w:before="40" w:after="40"/>
              <w:jc w:val="left"/>
            </w:pPr>
            <w:r/>
            <w:r>
              <w:rPr>
                <w:rFonts w:ascii="Georgia" w:hAnsi="Georgia"/>
                <w:color w:val="0F172A"/>
                <w:sz w:val="17"/>
              </w:rPr>
              <w:t>(+) D&amp;A (Reversión)</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108,4</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105,1</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101,8</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98,5</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95,2</w:t>
            </w:r>
          </w:p>
        </w:tc>
      </w:tr>
      <w:tr>
        <w:tc>
          <w:tcPr>
            <w:tcW w:type="dxa" w:w="4032"/>
            <w:tcMar>
              <w:top w:w="60" w:type="dxa"/>
              <w:bottom w:w="60" w:type="dxa"/>
              <w:left w:w="100" w:type="dxa"/>
              <w:right w:w="100" w:type="dxa"/>
            </w:tcMar>
          </w:tcPr>
          <w:p>
            <w:pPr>
              <w:spacing w:before="40" w:after="40"/>
              <w:jc w:val="left"/>
            </w:pPr>
            <w:r/>
            <w:r>
              <w:rPr>
                <w:rFonts w:ascii="Georgia" w:hAnsi="Georgia"/>
                <w:color w:val="0F172A"/>
                <w:sz w:val="17"/>
              </w:rPr>
              <w:t>(-) CAPEX de Mantenimiento</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(103,2)</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(100,0)</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(96,9)</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(93,8)</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(90,6)</w:t>
            </w:r>
          </w:p>
        </w:tc>
      </w:tr>
      <w:tr>
        <w:tc>
          <w:tcPr>
            <w:tcW w:type="dxa" w:w="4032"/>
            <w:tcMar>
              <w:top w:w="60" w:type="dxa"/>
              <w:bottom w:w="60" w:type="dxa"/>
              <w:left w:w="100" w:type="dxa"/>
              <w:right w:w="100" w:type="dxa"/>
            </w:tcMar>
          </w:tcPr>
          <w:p>
            <w:pPr>
              <w:spacing w:before="40" w:after="40"/>
              <w:jc w:val="left"/>
            </w:pPr>
            <w:r/>
            <w:r>
              <w:rPr>
                <w:rFonts w:ascii="Georgia" w:hAnsi="Georgia"/>
                <w:color w:val="0F172A"/>
                <w:sz w:val="17"/>
              </w:rPr>
              <w:t>(-) Variación Capital de Trabajo (ΔNWC)</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(246,5)</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23,9</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23,9</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23,9</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23,9</w:t>
            </w:r>
          </w:p>
        </w:tc>
      </w:tr>
      <w:tr>
        <w:tc>
          <w:tcPr>
            <w:tcW w:type="dxa" w:w="4032"/>
            <w:tcMar>
              <w:top w:w="60" w:type="dxa"/>
              <w:bottom w:w="60" w:type="dxa"/>
              <w:left w:w="100" w:type="dxa"/>
              <w:right w:w="100" w:type="dxa"/>
            </w:tcMar>
          </w:tcPr>
          <w:p>
            <w:pPr>
              <w:spacing w:before="40" w:after="40"/>
              <w:jc w:val="left"/>
            </w:pPr>
            <w:r/>
            <w:r>
              <w:rPr>
                <w:rFonts w:ascii="Georgia" w:hAnsi="Georgia"/>
                <w:color w:val="0F172A"/>
                <w:sz w:val="17"/>
              </w:rPr>
              <w:t>FCFF Explícito</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-57,5</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200,7</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188,4</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176,2</w:t>
            </w:r>
          </w:p>
        </w:tc>
        <w:tc>
          <w:tcPr>
            <w:tcW w:type="dxa" w:w="1152"/>
            <w:tcMar>
              <w:top w:w="60" w:type="dxa"/>
              <w:bottom w:w="60" w:type="dxa"/>
              <w:left w:w="100" w:type="dxa"/>
              <w:right w:w="100" w:type="dxa"/>
            </w:tcMar>
          </w:tcPr>
          <w:p>
            <w:pPr>
              <w:spacing w:before="40" w:after="40"/>
              <w:jc w:val="right"/>
            </w:pPr>
            <w:r/>
            <w:r>
              <w:rPr>
                <w:rFonts w:ascii="Georgia" w:hAnsi="Georgia"/>
                <w:color w:val="0F172A"/>
                <w:sz w:val="17"/>
              </w:rPr>
              <w:t>164,0</w:t>
            </w:r>
          </w:p>
        </w:tc>
      </w:tr>
    </w:tbl>
    <w:p>
      <w:pPr>
        <w:spacing w:after="80"/>
      </w:pPr>
    </w:p>
    <w:p>
      <w:pPr>
        <w:spacing w:before="0" w:after="60" w:line="276" w:lineRule="auto"/>
      </w:pPr>
      <w:r>
        <w:rPr>
          <w:rFonts w:ascii="Georgia" w:hAnsi="Georgia"/>
          <w:color w:val="0F172A"/>
          <w:sz w:val="19"/>
        </w:rPr>
        <w:t>Reconciliación FCFF Explícito 2030E vs. Terminal Normalizado: FCFF Explícito 2030E: USD 164,0 MM (con CAPEX de mantenimiento de USD 90,6 MM y liberación de NWC de USD 23,9 MM). FCFF Terminal Normalizado (g = 2,0%): USD 135,5 MM (asume estado estacionario donde CAPEX = D&amp;A y ΔNWC = $0, coincidiendo con el NOPAT de 2030E según la formulación canónica de Dumrauf Cap. 14).</w:t>
      </w:r>
    </w:p>
    <w:p>
      <w:pPr>
        <w:keepNext/>
        <w:spacing w:before="280" w:after="80"/>
        <w:pBrd>
          <w:bottom w:val="single" w:sz="8" w:space="2" w:color="0D233A"/>
        </w:pBrd>
      </w:pPr>
      <w:r>
        <w:rPr>
          <w:rFonts w:ascii="Georgia" w:hAnsi="Georgia"/>
          <w:b/>
          <w:color w:val="0D233A"/>
          <w:sz w:val="26"/>
        </w:rPr>
        <w:t>Referencias Bibliográficas y Fuentes de Información</w:t>
      </w:r>
    </w:p>
    <w:p>
      <w:pPr>
        <w:spacing w:before="0" w:after="40" w:line="276" w:lineRule="auto"/>
      </w:pPr>
      <w:r>
        <w:rPr>
          <w:rFonts w:ascii="Georgia" w:hAnsi="Georgia"/>
          <w:color w:val="0F172A"/>
          <w:sz w:val="19"/>
        </w:rPr>
        <w:t>1. Damodaran, Aswath (2012). Investment Valuation: Tools and Techniques for Determining the Value of Any Asset, 3rd Ed., John Wiley &amp; Sons.</w:t>
      </w:r>
    </w:p>
    <w:p>
      <w:pPr>
        <w:spacing w:before="0" w:after="40" w:line="276" w:lineRule="auto"/>
      </w:pPr>
      <w:r>
        <w:rPr>
          <w:rFonts w:ascii="Georgia" w:hAnsi="Georgia"/>
          <w:color w:val="0F172A"/>
          <w:sz w:val="19"/>
        </w:rPr>
        <w:t>2. Dumrauf, Guillermo L. (2013). Finanzas Corporativas: Un Enfoque Latinoamericano, 3ª Ed., Alfaomega Grupo Editor.</w:t>
      </w:r>
    </w:p>
    <w:p>
      <w:pPr>
        <w:spacing w:before="0" w:after="40" w:line="276" w:lineRule="auto"/>
      </w:pPr>
      <w:r>
        <w:rPr>
          <w:rFonts w:ascii="Georgia" w:hAnsi="Georgia"/>
          <w:color w:val="0F172A"/>
          <w:sz w:val="19"/>
        </w:rPr>
        <w:t>3. Ross, Stephen A., Westerfield, Randolph W., Jaffe, Jeffrey (2019). Corporate Finance, 12th Ed., McGraw-Hill Education.</w:t>
      </w:r>
    </w:p>
    <w:p>
      <w:pPr>
        <w:spacing w:before="0" w:after="40" w:line="276" w:lineRule="auto"/>
      </w:pPr>
      <w:r>
        <w:rPr>
          <w:rFonts w:ascii="Georgia" w:hAnsi="Georgia"/>
          <w:color w:val="0F172A"/>
          <w:sz w:val="19"/>
        </w:rPr>
        <w:t>4. Alexander, Gordon J., Sharpe, William F., Bailey, Jeffery V. (2001). Fundamentos de Inversiones, Pearson Educación / Prentice Hall.</w:t>
      </w:r>
    </w:p>
    <w:p>
      <w:pPr>
        <w:spacing w:before="0" w:after="40" w:line="276" w:lineRule="auto"/>
      </w:pPr>
      <w:r>
        <w:rPr>
          <w:rFonts w:ascii="Georgia" w:hAnsi="Georgia"/>
          <w:color w:val="0F172A"/>
          <w:sz w:val="19"/>
        </w:rPr>
        <w:t>5. Black, Fischer, Scholes, Myron (1973). 'The Pricing of Options and Corporate Liabilities', Journal of Political Economy, 81(3), pp. 637–654.</w:t>
      </w:r>
    </w:p>
    <w:p>
      <w:pPr>
        <w:spacing w:before="0" w:after="40" w:line="276" w:lineRule="auto"/>
      </w:pPr>
      <w:r>
        <w:rPr>
          <w:rFonts w:ascii="Georgia" w:hAnsi="Georgia"/>
          <w:color w:val="0F172A"/>
          <w:sz w:val="19"/>
        </w:rPr>
        <w:t>6. Longstaff, Francis A., Schwartz, Eduardo S. (2001). 'Valuing American Options by Simulation: A Simple Least-Squares Approach', Review of Financial Studies, 14(1), pp. 113–147.</w:t>
      </w:r>
    </w:p>
    <w:p>
      <w:pPr>
        <w:spacing w:before="0" w:after="40" w:line="276" w:lineRule="auto"/>
      </w:pPr>
      <w:r>
        <w:rPr>
          <w:rFonts w:ascii="Georgia" w:hAnsi="Georgia"/>
          <w:color w:val="0F172A"/>
          <w:sz w:val="19"/>
        </w:rPr>
        <w:t>7. Blume, Marshall E. (1975). 'Betas and Their Regression Tendencies', Journal of Finance, 30(3), pp. 785–795.</w:t>
      </w:r>
    </w:p>
    <w:p>
      <w:pPr>
        <w:spacing w:before="0" w:after="40" w:line="276" w:lineRule="auto"/>
      </w:pPr>
      <w:r>
        <w:rPr>
          <w:rFonts w:ascii="Georgia" w:hAnsi="Georgia"/>
          <w:color w:val="0F172A"/>
          <w:sz w:val="19"/>
        </w:rPr>
        <w:t>8. Hamada, Robert S. (1972). 'The Effect of the Firm's Capital Structure on the Systematic Risk of Common Stocks', Journal of Finance, 27(2), pp. 435–452.</w:t>
      </w:r>
    </w:p>
    <w:p>
      <w:pPr>
        <w:spacing w:before="0" w:after="40" w:line="276" w:lineRule="auto"/>
      </w:pPr>
      <w:r>
        <w:rPr>
          <w:rFonts w:ascii="Georgia" w:hAnsi="Georgia"/>
          <w:color w:val="0F172A"/>
          <w:sz w:val="19"/>
        </w:rPr>
        <w:t>9. Sklar, Abe (1959). 'Fonctions de Répartition à n Dimensions et Leurs Marges', Publications de l'Institut de Statistique de l'Université de Paris, 8, pp. 229–231.</w:t>
      </w:r>
    </w:p>
    <w:p>
      <w:pPr>
        <w:spacing w:before="0" w:after="40" w:line="276" w:lineRule="auto"/>
      </w:pPr>
      <w:r>
        <w:rPr>
          <w:rFonts w:ascii="Georgia" w:hAnsi="Georgia"/>
          <w:color w:val="0F172A"/>
          <w:sz w:val="19"/>
        </w:rPr>
        <w:t>10. Rockafellar, R. Tyrrell, Uryasev, Stanislav (2000). 'Optimization of Conditional Value-at-Risk', Journal of Risk, 2(3), pp. 21–42.</w:t>
      </w:r>
    </w:p>
    <w:p>
      <w:pPr>
        <w:spacing w:before="0" w:after="40" w:line="276" w:lineRule="auto"/>
      </w:pPr>
      <w:r>
        <w:rPr>
          <w:rFonts w:ascii="Georgia" w:hAnsi="Georgia"/>
          <w:color w:val="0F172A"/>
          <w:sz w:val="19"/>
        </w:rPr>
        <w:t>11. Jaschke, Stefan R. (2001). 'The Cornish-Fisher-Expansion in the Context of Delta-Gamma-Normal Approximations', Journal of Risk, 4(4), pp. 33–52.</w:t>
      </w:r>
    </w:p>
    <w:p>
      <w:pPr>
        <w:spacing w:before="0" w:after="40" w:line="276" w:lineRule="auto"/>
      </w:pPr>
      <w:r>
        <w:rPr>
          <w:rFonts w:ascii="Georgia" w:hAnsi="Georgia"/>
          <w:color w:val="0F172A"/>
          <w:sz w:val="19"/>
        </w:rPr>
        <w:t>12. Engle, Robert F., Granger, Clive W.J. (1987). 'Co-integration and Error Correction: Representation, Estimation and Testing', Econometrica, 55(2), pp. 251–276.</w:t>
      </w:r>
    </w:p>
    <w:p>
      <w:pPr>
        <w:spacing w:before="0" w:after="40" w:line="276" w:lineRule="auto"/>
      </w:pPr>
      <w:r>
        <w:rPr>
          <w:rFonts w:ascii="Georgia" w:hAnsi="Georgia"/>
          <w:color w:val="0F172A"/>
          <w:sz w:val="19"/>
        </w:rPr>
        <w:t>13. Aluar Aluminio Argentino S.A.I.C. (2020–2025). Estados Financieros Consolidados Auditados y Memorias Anuales, Comisión Nacional de Valores (CNV) &amp; Bolsas y Mercados Argentinos (BYMA).</w:t>
      </w:r>
    </w:p>
    <w:p>
      <w:pPr>
        <w:spacing w:after="80"/>
      </w:pPr>
    </w:p>
    <w:tbl>
      <w:tblPr>
        <w:tblW w:type="auto" w:w="0"/>
        <w:jc w:val="center"/>
        <w:tblLayout w:type="fixed"/>
        <w:tblLook w:firstColumn="1" w:firstRow="1" w:lastColumn="0" w:lastRow="0" w:noHBand="0" w:noVBand="1" w:val="04A0"/>
      </w:tblPr>
      <w:tblGrid>
        <w:gridCol w:w="10368"/>
      </w:tblGrid>
      <w:tr>
        <w:tc>
          <w:tcPr>
            <w:tcW w:type="dxa" w:w="10080"/>
            <w:shd w:fill="F8FAFC"/>
            <w:tcMar>
              <w:top w:w="120" w:type="dxa"/>
              <w:bottom w:w="120" w:type="dxa"/>
              <w:left w:w="160" w:type="dxa"/>
              <w:right w:w="160" w:type="dxa"/>
            </w:tcMar>
            <w:tcBorders>
              <w:top w:val="single" w:sz="4" w:space="0" w:color="0D233A"/>
              <w:left w:val="single" w:sz="24" w:space="0" w:color="0D233A"/>
              <w:bottom w:val="single" w:sz="4" w:space="0" w:color="0D233A"/>
              <w:right w:val="single" w:sz="4" w:space="0" w:color="0D233A"/>
            </w:tcBorders>
          </w:tcPr>
          <w:p>
            <w:pPr>
              <w:spacing w:before="40" w:after="40" w:line="276" w:lineRule="auto"/>
            </w:pPr>
            <w:r>
              <w:rPr>
                <w:rFonts w:ascii="Georgia" w:hAnsi="Georgia"/>
                <w:b/>
                <w:color w:val="0D233A"/>
                <w:sz w:val="20"/>
              </w:rPr>
              <w:t>Aviso Legal y Certificación del Analista (Ley 26.831)</w:t>
              <w:br/>
            </w:r>
            <w:r>
              <w:rPr>
                <w:rFonts w:ascii="Georgia" w:hAnsi="Georgia"/>
                <w:color w:val="0F172A"/>
                <w:sz w:val="18"/>
              </w:rPr>
              <w:t>Este documento fue elaborado con fines exclusivamente de investigación académica y análisis financiero por Federico Agustín Chillón (FCE, Universidad Nacional de Cuyo). El presente reporte no constituye oferta pública, asesoramiento financiero personalizado, recomendación vinculante de compra o venta, ni intermediación bursátil en los términos de la Ley de Mercado de Capitales N.° 26.831 y normas concordantes de la Comisión Nacional de Valores (CNV). El autor certifica que las estimaciones y modelizaciones reflejan un análisis técnico independiente fundamentado en estados contables públicos auditados por Price Waterhouse &amp; Co. S.R.L., series de mercado de BYMA, CBOE, S&amp;P Dow Jones y el London Metal Exchange (LME). Cualquier decisión de inversión que un tercero adopte en base a este informe es de su exclusiva responsabilidad.</w:t>
              <w:br/>
            </w:r>
          </w:p>
        </w:tc>
      </w:tr>
    </w:tbl>
    <w:p>
      <w:pPr>
        <w:spacing w:after="80"/>
      </w:pP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Georgia" w:hAnsi="Georgia"/>
        <w:color w:val="4A4A4A"/>
        <w:sz w:val="16"/>
      </w:rPr>
      <w:t>Analista Principal: Federico Agustín Chillón | federico.chillon@fce.uncu.edu.ar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b/>
        <w:color w:val="0D233A"/>
        <w:sz w:val="17"/>
      </w:rPr>
      <w:t xml:space="preserve">ALUAR S.A.I.C. (ALUA.BA) · Equity Research                                                 </w:t>
    </w:r>
    <w:r>
      <w:rPr>
        <w:rFonts w:ascii="Georgia" w:hAnsi="Georgia"/>
        <w:color w:val="4A4A4A"/>
        <w:sz w:val="17"/>
      </w:rPr>
      <w:t>FCE · UNCuyo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