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Georgia" w:hAnsi="Georgia"/>
          <w:b/>
          <w:color w:val="0D233A"/>
          <w:sz w:val="44"/>
        </w:rPr>
        <w:t>Aluar Aluminio Argentino</w:t>
      </w:r>
    </w:p>
    <w:p>
      <w:pPr>
        <w:spacing w:after="160"/>
      </w:pPr>
      <w:r>
        <w:rPr>
          <w:rFonts w:ascii="Georgia" w:hAnsi="Georgia"/>
          <w:color w:val="4A4A4A"/>
          <w:sz w:val="24"/>
        </w:rPr>
        <w:t>Informe de Valuación Fundamental y Análisis de Riesgo  |  ALUA.BA</w:t>
      </w:r>
    </w:p>
    <w:p>
      <w:pPr>
        <w:spacing w:after="160"/>
        <w:pBrd>
          <w:bottom w:val="single" w:sz="12" w:space="1" w:color="0D233A"/>
        </w:pBrd>
      </w:pPr>
    </w:p>
    <w:tbl>
      <w:tblPr>
        <w:tblW w:type="auto" w:w="0"/>
        <w:jc w:val="center"/>
        <w:tblLayout w:type="fixed"/>
        <w:tblLook w:firstColumn="1" w:firstRow="1" w:lastColumn="0" w:lastRow="0" w:noHBand="0" w:noVBand="1" w:val="04A0"/>
      </w:tblPr>
      <w:tblGrid>
        <w:gridCol w:w="5184"/>
        <w:gridCol w:w="5184"/>
      </w:tblGrid>
      <w:tr>
        <w:tc>
          <w:tcPr>
            <w:tcW w:type="dxa" w:w="6048"/>
            <w:tcMar>
              <w:top w:w="100" w:type="dxa"/>
              <w:bottom w:w="100" w:type="dxa"/>
              <w:left w:w="120" w:type="dxa"/>
              <w:right w:w="120" w:type="dxa"/>
            </w:tcMar>
          </w:tcPr>
          <w:p>
            <w:pPr>
              <w:spacing w:line="276" w:lineRule="auto"/>
            </w:pPr>
            <w:r>
              <w:rPr>
                <w:rFonts w:ascii="Georgia" w:hAnsi="Georgia"/>
                <w:b/>
                <w:color w:val="0D233A"/>
                <w:sz w:val="22"/>
              </w:rPr>
              <w:t>Resumen Ejecutivo &amp; Tesis de Inversión</w:t>
              <w:br/>
            </w:r>
            <w:r>
              <w:rPr>
                <w:rFonts w:ascii="Georgia" w:hAnsi="Georgia"/>
                <w:color w:val="0F172A"/>
                <w:sz w:val="18"/>
              </w:rPr>
              <w:t>El modelo de valuación aplicado a Aluar Aluminio Argentino S.A.I.C. (ALUA.BA) arroja una recomendación técnica de COMPRAR con un precio objetivo fundamental a 12 meses de ARS 1.236,00 por acción (Target Integrado ARS 1.255,60 al incorporar la opción real de expansión eólica PEAL V), frente a una cotización de mercado de ARS 982,50 (+25,8% / +27,8% de retorno esperado).</w:t>
              <w:br/>
              <w:br/>
              <w:t>1. Estructura de Costos de Primer Cuartil: Matriz 96% autogenerada (78% renovable vía Futaleufú y PEAL), con costo en efectivo C1 en USD 1.680/t (percentil 29% global).</w:t>
              <w:br/>
              <w:t>2. Generación Dolarizada con Costos Fijos en Pesos: 80% de ventas en moneda dura vía LME frente a costos fijos operativos locales.</w:t>
              <w:br/>
              <w:t>3. Compresión Soberana y Desapalancamiento: EMBI+ a 441 pb sitúa el WACC en 7,06% (λ=0,20), y la moderación del CAPEX reduce la deuda neta a &lt;1,0x EBITDA hacia FY2028E.</w:t>
            </w:r>
          </w:p>
        </w:tc>
        <w:tc>
          <w:tcPr>
            <w:tcW w:type="dxa" w:w="4032"/>
            <w:tcMar>
              <w:top w:w="100" w:type="dxa"/>
              <w:bottom w:w="100" w:type="dxa"/>
              <w:left w:w="120" w:type="dxa"/>
              <w:right w:w="120" w:type="dxa"/>
            </w:tcMar>
            <w:shd w:fill="F8FAFC"/>
          </w:tcPr>
          <w:p>
            <w:pPr>
              <w:spacing w:line="276" w:lineRule="auto"/>
              <w:jc w:val="center"/>
            </w:pPr>
            <w:r>
              <w:rPr>
                <w:rFonts w:ascii="Georgia" w:hAnsi="Georgia"/>
                <w:color w:val="4A4A4A"/>
                <w:sz w:val="17"/>
              </w:rPr>
              <w:t>Dictamen del Modelo Teórico</w:t>
              <w:br/>
            </w:r>
            <w:r>
              <w:rPr>
                <w:rFonts w:ascii="Georgia" w:hAnsi="Georgia"/>
                <w:b/>
                <w:color w:val="00843D"/>
                <w:sz w:val="32"/>
              </w:rPr>
              <w:t>COMPRAR</w:t>
              <w:br/>
            </w:r>
            <w:r>
              <w:rPr>
                <w:rFonts w:ascii="Georgia" w:hAnsi="Georgia"/>
                <w:color w:val="0D233A"/>
                <w:sz w:val="17"/>
              </w:rPr>
              <w:t>Target Base (Dumrauf): ARS 1.236,00</w:t>
              <w:br/>
              <w:t>Opción Real PEAL V: +ARS 19,60</w:t>
              <w:br/>
              <w:t>Target Integrado: ARS 1.255,60 (USD 0,79)</w:t>
              <w:br/>
              <w:t>Cotización Spot: ARS 982,50</w:t>
              <w:br/>
              <w:t>Retorno Integrado: +27,8%</w:t>
              <w:br/>
              <w:t>─────────────────────────</w:t>
              <w:br/>
              <w:t>WACC del Modelo: 7,06%</w:t>
              <w:br/>
              <w:t>Costo del Equity (Ke): 9,30%</w:t>
              <w:br/>
              <w:t>Beta Apalancado (Hamada): 0,888</w:t>
              <w:br/>
              <w:t>Prima de Mercado (ERP): 4,18%</w:t>
              <w:br/>
              <w:t>Prima País Ponderada (λ × EMBI+): 0,88%</w:t>
              <w:br/>
              <w:t>Costo Deuda Post-Tax (Kd): 2,47%</w:t>
              <w:br/>
              <w:t>Estructura D/E Objetivo: 0,486</w:t>
              <w:br/>
              <w:t>Crecimiento Terminal (g): 2,00%</w:t>
              <w:br/>
              <w:t>Tipo de Cambio CCL: 1.584,25</w:t>
            </w:r>
          </w:p>
        </w:tc>
      </w:tr>
    </w:tbl>
    <w:p>
      <w:pPr>
        <w:spacing w:after="12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Descargo de Responsabilidad</w:t>
              <w:br/>
            </w:r>
            <w:r>
              <w:rPr>
                <w:rFonts w:ascii="Georgia" w:hAnsi="Georgia"/>
                <w:color w:val="0F172A"/>
                <w:sz w:val="18"/>
              </w:rPr>
              <w:t>Documento de investigación académica y análisis financiero independiente con fines exclusivamente formativos y de divulgación. No constituye oferta de compra, venta o asesoramiento de inversión en los términos de la Ley N.° 26.831. Las valuaciones y conclusiones representan estimaciones del autor fundamentadas en estados financieros públicos auditados y modelos financieros estocásticos.</w:t>
              <w:br/>
            </w:r>
          </w:p>
        </w:tc>
      </w:tr>
    </w:tbl>
    <w:p>
      <w:pPr>
        <w:spacing w:after="80"/>
      </w:pPr>
    </w:p>
    <w:p>
      <w:r>
        <w:br w:type="page"/>
      </w:r>
    </w:p>
    <w:p>
      <w:pPr>
        <w:jc w:val="center"/>
      </w:pPr>
      <w:r>
        <w:rPr>
          <w:rFonts w:ascii="Georgia" w:hAnsi="Georgia"/>
          <w:b/>
          <w:color w:val="0D233A"/>
          <w:sz w:val="28"/>
        </w:rPr>
        <w:t>Índice General de Secciones y Contenidos</w:t>
      </w:r>
    </w:p>
    <w:tbl>
      <w:tblPr>
        <w:tblW w:type="auto" w:w="0"/>
        <w:jc w:val="center"/>
        <w:tblLayout w:type="fixed"/>
        <w:tblLook w:firstColumn="1" w:firstRow="1" w:lastColumn="0" w:lastRow="0" w:noHBand="0" w:noVBand="1" w:val="04A0"/>
      </w:tblPr>
      <w:tblGrid>
        <w:gridCol w:w="5184"/>
        <w:gridCol w:w="5184"/>
      </w:tblGrid>
      <w:tr>
        <w:tc>
          <w:tcPr>
            <w:tcW w:type="dxa" w:w="8640"/>
            <w:tcMar>
              <w:top w:w="30" w:type="dxa"/>
              <w:bottom w:w="30" w:type="dxa"/>
              <w:left w:w="40" w:type="dxa"/>
              <w:right w:w="40" w:type="dxa"/>
            </w:tcMar>
          </w:tcPr>
          <w:p>
            <w:pPr>
              <w:spacing w:after="40"/>
            </w:pPr>
            <w:r>
              <w:rPr>
                <w:rFonts w:ascii="Georgia" w:hAnsi="Georgia"/>
                <w:b/>
                <w:color w:val="0D233A"/>
                <w:sz w:val="17"/>
              </w:rPr>
              <w:t>1. Descripción de la Compañía: Integración Vertical y Estructura Operativa</w:t>
            </w:r>
          </w:p>
        </w:tc>
        <w:tc>
          <w:tcPr>
            <w:tcW w:type="dxa" w:w="1440"/>
            <w:tcMar>
              <w:top w:w="30" w:type="dxa"/>
              <w:bottom w:w="30" w:type="dxa"/>
              <w:left w:w="40" w:type="dxa"/>
              <w:right w:w="40" w:type="dxa"/>
            </w:tcMar>
          </w:tcPr>
          <w:p>
            <w:pPr>
              <w:spacing w:after="40"/>
              <w:jc w:val="right"/>
            </w:pPr>
            <w:r>
              <w:rPr>
                <w:rFonts w:ascii="Georgia" w:hAnsi="Georgia"/>
                <w:color w:val="4A4A4A"/>
                <w:sz w:val="17"/>
              </w:rPr>
              <w:t>3</w:t>
            </w:r>
          </w:p>
        </w:tc>
      </w:tr>
      <w:tr>
        <w:tc>
          <w:tcPr>
            <w:tcW w:type="dxa" w:w="8640"/>
            <w:tcMar>
              <w:top w:w="30" w:type="dxa"/>
              <w:bottom w:w="30" w:type="dxa"/>
              <w:left w:w="40" w:type="dxa"/>
              <w:right w:w="40" w:type="dxa"/>
            </w:tcMar>
          </w:tcPr>
          <w:p>
            <w:pPr>
              <w:spacing w:after="40"/>
            </w:pPr>
            <w:r>
              <w:rPr>
                <w:rFonts w:ascii="Georgia" w:hAnsi="Georgia"/>
                <w:b/>
                <w:color w:val="0D233A"/>
                <w:sz w:val="17"/>
              </w:rPr>
              <w:t>2. Contexto Macroeconómico y Mecánica Operativa de Proyección (P × Q)</w:t>
            </w:r>
          </w:p>
        </w:tc>
        <w:tc>
          <w:tcPr>
            <w:tcW w:type="dxa" w:w="1440"/>
            <w:tcMar>
              <w:top w:w="30" w:type="dxa"/>
              <w:bottom w:w="30" w:type="dxa"/>
              <w:left w:w="40" w:type="dxa"/>
              <w:right w:w="40" w:type="dxa"/>
            </w:tcMar>
          </w:tcPr>
          <w:p>
            <w:pPr>
              <w:spacing w:after="40"/>
              <w:jc w:val="right"/>
            </w:pPr>
            <w:r>
              <w:rPr>
                <w:rFonts w:ascii="Georgia" w:hAnsi="Georgia"/>
                <w:color w:val="4A4A4A"/>
                <w:sz w:val="17"/>
              </w:rPr>
              <w:t>4</w:t>
            </w:r>
          </w:p>
        </w:tc>
      </w:tr>
      <w:tr>
        <w:tc>
          <w:tcPr>
            <w:tcW w:type="dxa" w:w="8640"/>
            <w:tcMar>
              <w:top w:w="30" w:type="dxa"/>
              <w:bottom w:w="30" w:type="dxa"/>
              <w:left w:w="40" w:type="dxa"/>
              <w:right w:w="40" w:type="dxa"/>
            </w:tcMar>
          </w:tcPr>
          <w:p>
            <w:pPr>
              <w:spacing w:after="40"/>
            </w:pPr>
            <w:r>
              <w:rPr>
                <w:rFonts w:ascii="Georgia" w:hAnsi="Georgia"/>
                <w:b/>
                <w:color w:val="0D233A"/>
                <w:sz w:val="17"/>
              </w:rPr>
              <w:t>3. Dinámica de la Industria Global del Aluminio y Cointegración con el LME</w:t>
            </w:r>
          </w:p>
        </w:tc>
        <w:tc>
          <w:tcPr>
            <w:tcW w:type="dxa" w:w="1440"/>
            <w:tcMar>
              <w:top w:w="30" w:type="dxa"/>
              <w:bottom w:w="30" w:type="dxa"/>
              <w:left w:w="40" w:type="dxa"/>
              <w:right w:w="40" w:type="dxa"/>
            </w:tcMar>
          </w:tcPr>
          <w:p>
            <w:pPr>
              <w:spacing w:after="40"/>
              <w:jc w:val="right"/>
            </w:pPr>
            <w:r>
              <w:rPr>
                <w:rFonts w:ascii="Georgia" w:hAnsi="Georgia"/>
                <w:color w:val="4A4A4A"/>
                <w:sz w:val="17"/>
              </w:rPr>
              <w:t>5</w:t>
            </w:r>
          </w:p>
        </w:tc>
      </w:tr>
      <w:tr>
        <w:tc>
          <w:tcPr>
            <w:tcW w:type="dxa" w:w="8640"/>
            <w:tcMar>
              <w:top w:w="30" w:type="dxa"/>
              <w:bottom w:w="30" w:type="dxa"/>
              <w:left w:w="40" w:type="dxa"/>
              <w:right w:w="40" w:type="dxa"/>
            </w:tcMar>
          </w:tcPr>
          <w:p>
            <w:pPr>
              <w:spacing w:after="40"/>
            </w:pPr>
            <w:r>
              <w:rPr>
                <w:rFonts w:ascii="Georgia" w:hAnsi="Georgia"/>
                <w:b/>
                <w:color w:val="0D233A"/>
                <w:sz w:val="17"/>
              </w:rPr>
              <w:t>4. Gobernanza Corporativa, Marco Regulatorio y Factores ESG</w:t>
            </w:r>
          </w:p>
        </w:tc>
        <w:tc>
          <w:tcPr>
            <w:tcW w:type="dxa" w:w="1440"/>
            <w:tcMar>
              <w:top w:w="30" w:type="dxa"/>
              <w:bottom w:w="30" w:type="dxa"/>
              <w:left w:w="40" w:type="dxa"/>
              <w:right w:w="40" w:type="dxa"/>
            </w:tcMar>
          </w:tcPr>
          <w:p>
            <w:pPr>
              <w:spacing w:after="40"/>
              <w:jc w:val="right"/>
            </w:pPr>
            <w:r>
              <w:rPr>
                <w:rFonts w:ascii="Georgia" w:hAnsi="Georgia"/>
                <w:color w:val="4A4A4A"/>
                <w:sz w:val="17"/>
              </w:rPr>
              <w:t>6</w:t>
            </w:r>
          </w:p>
        </w:tc>
      </w:tr>
      <w:tr>
        <w:tc>
          <w:tcPr>
            <w:tcW w:type="dxa" w:w="8640"/>
            <w:tcMar>
              <w:top w:w="30" w:type="dxa"/>
              <w:bottom w:w="30" w:type="dxa"/>
              <w:left w:w="40" w:type="dxa"/>
              <w:right w:w="40" w:type="dxa"/>
            </w:tcMar>
          </w:tcPr>
          <w:p>
            <w:pPr>
              <w:spacing w:after="40"/>
            </w:pPr>
            <w:r>
              <w:rPr>
                <w:rFonts w:ascii="Georgia" w:hAnsi="Georgia"/>
                <w:b/>
                <w:color w:val="0D233A"/>
                <w:sz w:val="17"/>
              </w:rPr>
              <w:t>5. Valuación Relativa y Dinámica de Desapalancamiento Post-CAPEX</w:t>
            </w:r>
          </w:p>
        </w:tc>
        <w:tc>
          <w:tcPr>
            <w:tcW w:type="dxa" w:w="1440"/>
            <w:tcMar>
              <w:top w:w="30" w:type="dxa"/>
              <w:bottom w:w="30" w:type="dxa"/>
              <w:left w:w="40" w:type="dxa"/>
              <w:right w:w="40" w:type="dxa"/>
            </w:tcMar>
          </w:tcPr>
          <w:p>
            <w:pPr>
              <w:spacing w:after="40"/>
              <w:jc w:val="right"/>
            </w:pPr>
            <w:r>
              <w:rPr>
                <w:rFonts w:ascii="Georgia" w:hAnsi="Georgia"/>
                <w:color w:val="4A4A4A"/>
                <w:sz w:val="17"/>
              </w:rPr>
              <w:t>7</w:t>
            </w:r>
          </w:p>
        </w:tc>
      </w:tr>
      <w:tr>
        <w:tc>
          <w:tcPr>
            <w:tcW w:type="dxa" w:w="8640"/>
            <w:tcMar>
              <w:top w:w="30" w:type="dxa"/>
              <w:bottom w:w="30" w:type="dxa"/>
              <w:left w:w="40" w:type="dxa"/>
              <w:right w:w="40" w:type="dxa"/>
            </w:tcMar>
          </w:tcPr>
          <w:p>
            <w:pPr>
              <w:spacing w:after="40"/>
            </w:pPr>
            <w:r>
              <w:rPr>
                <w:rFonts w:ascii="Georgia" w:hAnsi="Georgia"/>
                <w:b/>
                <w:color w:val="0D233A"/>
                <w:sz w:val="17"/>
              </w:rPr>
              <w:t>6. Costo Promedio Ponderado del Capital (WACC) y Factor λ</w:t>
            </w:r>
          </w:p>
        </w:tc>
        <w:tc>
          <w:tcPr>
            <w:tcW w:type="dxa" w:w="1440"/>
            <w:tcMar>
              <w:top w:w="30" w:type="dxa"/>
              <w:bottom w:w="30" w:type="dxa"/>
              <w:left w:w="40" w:type="dxa"/>
              <w:right w:w="40" w:type="dxa"/>
            </w:tcMar>
          </w:tcPr>
          <w:p>
            <w:pPr>
              <w:spacing w:after="40"/>
              <w:jc w:val="right"/>
            </w:pPr>
            <w:r>
              <w:rPr>
                <w:rFonts w:ascii="Georgia" w:hAnsi="Georgia"/>
                <w:color w:val="4A4A4A"/>
                <w:sz w:val="17"/>
              </w:rPr>
              <w:t>8</w:t>
            </w:r>
          </w:p>
        </w:tc>
      </w:tr>
      <w:tr>
        <w:tc>
          <w:tcPr>
            <w:tcW w:type="dxa" w:w="8640"/>
            <w:tcMar>
              <w:top w:w="30" w:type="dxa"/>
              <w:bottom w:w="30" w:type="dxa"/>
              <w:left w:w="40" w:type="dxa"/>
              <w:right w:w="40" w:type="dxa"/>
            </w:tcMar>
          </w:tcPr>
          <w:p>
            <w:pPr>
              <w:spacing w:after="40"/>
            </w:pPr>
            <w:r>
              <w:rPr>
                <w:rFonts w:ascii="Georgia" w:hAnsi="Georgia"/>
                <w:b/>
                <w:color w:val="0D233A"/>
                <w:sz w:val="17"/>
              </w:rPr>
              <w:t>7. Creación de Valor Económico (EVA) y Disciplina Terminal</w:t>
            </w:r>
          </w:p>
        </w:tc>
        <w:tc>
          <w:tcPr>
            <w:tcW w:type="dxa" w:w="1440"/>
            <w:tcMar>
              <w:top w:w="30" w:type="dxa"/>
              <w:bottom w:w="30" w:type="dxa"/>
              <w:left w:w="40" w:type="dxa"/>
              <w:right w:w="40" w:type="dxa"/>
            </w:tcMar>
          </w:tcPr>
          <w:p>
            <w:pPr>
              <w:spacing w:after="40"/>
              <w:jc w:val="right"/>
            </w:pPr>
            <w:r>
              <w:rPr>
                <w:rFonts w:ascii="Georgia" w:hAnsi="Georgia"/>
                <w:color w:val="4A4A4A"/>
                <w:sz w:val="17"/>
              </w:rPr>
              <w:t>9</w:t>
            </w:r>
          </w:p>
        </w:tc>
      </w:tr>
      <w:tr>
        <w:tc>
          <w:tcPr>
            <w:tcW w:type="dxa" w:w="8640"/>
            <w:tcMar>
              <w:top w:w="30" w:type="dxa"/>
              <w:bottom w:w="30" w:type="dxa"/>
              <w:left w:w="40" w:type="dxa"/>
              <w:right w:w="40" w:type="dxa"/>
            </w:tcMar>
          </w:tcPr>
          <w:p>
            <w:pPr>
              <w:spacing w:after="40"/>
            </w:pPr>
            <w:r>
              <w:rPr>
                <w:rFonts w:ascii="Georgia" w:hAnsi="Georgia"/>
                <w:b/>
                <w:color w:val="0D233A"/>
                <w:sz w:val="17"/>
              </w:rPr>
              <w:t>8. Puente de Valuación: Desglose de Enterprise Value a Equity Value</w:t>
            </w:r>
          </w:p>
        </w:tc>
        <w:tc>
          <w:tcPr>
            <w:tcW w:type="dxa" w:w="1440"/>
            <w:tcMar>
              <w:top w:w="30" w:type="dxa"/>
              <w:bottom w:w="30" w:type="dxa"/>
              <w:left w:w="40" w:type="dxa"/>
              <w:right w:w="40" w:type="dxa"/>
            </w:tcMar>
          </w:tcPr>
          <w:p>
            <w:pPr>
              <w:spacing w:after="40"/>
              <w:jc w:val="right"/>
            </w:pPr>
            <w:r>
              <w:rPr>
                <w:rFonts w:ascii="Georgia" w:hAnsi="Georgia"/>
                <w:color w:val="4A4A4A"/>
                <w:sz w:val="17"/>
              </w:rPr>
              <w:t>10</w:t>
            </w:r>
          </w:p>
        </w:tc>
      </w:tr>
      <w:tr>
        <w:tc>
          <w:tcPr>
            <w:tcW w:type="dxa" w:w="8640"/>
            <w:tcMar>
              <w:top w:w="30" w:type="dxa"/>
              <w:bottom w:w="30" w:type="dxa"/>
              <w:left w:w="40" w:type="dxa"/>
              <w:right w:w="40" w:type="dxa"/>
            </w:tcMar>
          </w:tcPr>
          <w:p>
            <w:pPr>
              <w:spacing w:after="40"/>
            </w:pPr>
            <w:r>
              <w:rPr>
                <w:rFonts w:ascii="Georgia" w:hAnsi="Georgia"/>
                <w:b/>
                <w:color w:val="0D233A"/>
                <w:sz w:val="17"/>
              </w:rPr>
              <w:t>9. Análisis Estratégico DuPont y Fuerzas Competitivas (Porter / PESTEL)</w:t>
            </w:r>
          </w:p>
        </w:tc>
        <w:tc>
          <w:tcPr>
            <w:tcW w:type="dxa" w:w="1440"/>
            <w:tcMar>
              <w:top w:w="30" w:type="dxa"/>
              <w:bottom w:w="30" w:type="dxa"/>
              <w:left w:w="40" w:type="dxa"/>
              <w:right w:w="40" w:type="dxa"/>
            </w:tcMar>
          </w:tcPr>
          <w:p>
            <w:pPr>
              <w:spacing w:after="40"/>
              <w:jc w:val="right"/>
            </w:pPr>
            <w:r>
              <w:rPr>
                <w:rFonts w:ascii="Georgia" w:hAnsi="Georgia"/>
                <w:color w:val="4A4A4A"/>
                <w:sz w:val="17"/>
              </w:rPr>
              <w:t>11</w:t>
            </w:r>
          </w:p>
        </w:tc>
      </w:tr>
      <w:tr>
        <w:tc>
          <w:tcPr>
            <w:tcW w:type="dxa" w:w="8640"/>
            <w:tcMar>
              <w:top w:w="30" w:type="dxa"/>
              <w:bottom w:w="30" w:type="dxa"/>
              <w:left w:w="40" w:type="dxa"/>
              <w:right w:w="40" w:type="dxa"/>
            </w:tcMar>
          </w:tcPr>
          <w:p>
            <w:pPr>
              <w:spacing w:after="40"/>
            </w:pPr>
            <w:r>
              <w:rPr>
                <w:rFonts w:ascii="Georgia" w:hAnsi="Georgia"/>
                <w:b/>
                <w:color w:val="0D233A"/>
                <w:sz w:val="17"/>
              </w:rPr>
              <w:t>10. Análisis Financiero Histórico, Ratios Operativos y Cobertura</w:t>
            </w:r>
          </w:p>
        </w:tc>
        <w:tc>
          <w:tcPr>
            <w:tcW w:type="dxa" w:w="1440"/>
            <w:tcMar>
              <w:top w:w="30" w:type="dxa"/>
              <w:bottom w:w="30" w:type="dxa"/>
              <w:left w:w="40" w:type="dxa"/>
              <w:right w:w="40" w:type="dxa"/>
            </w:tcMar>
          </w:tcPr>
          <w:p>
            <w:pPr>
              <w:spacing w:after="40"/>
              <w:jc w:val="right"/>
            </w:pPr>
            <w:r>
              <w:rPr>
                <w:rFonts w:ascii="Georgia" w:hAnsi="Georgia"/>
                <w:color w:val="4A4A4A"/>
                <w:sz w:val="17"/>
              </w:rPr>
              <w:t>12</w:t>
            </w:r>
          </w:p>
        </w:tc>
      </w:tr>
      <w:tr>
        <w:tc>
          <w:tcPr>
            <w:tcW w:type="dxa" w:w="8640"/>
            <w:tcMar>
              <w:top w:w="30" w:type="dxa"/>
              <w:bottom w:w="30" w:type="dxa"/>
              <w:left w:w="40" w:type="dxa"/>
              <w:right w:w="40" w:type="dxa"/>
            </w:tcMar>
          </w:tcPr>
          <w:p>
            <w:pPr>
              <w:spacing w:after="40"/>
            </w:pPr>
            <w:r>
              <w:rPr>
                <w:rFonts w:ascii="Georgia" w:hAnsi="Georgia"/>
                <w:b/>
                <w:color w:val="0D233A"/>
                <w:sz w:val="17"/>
              </w:rPr>
              <w:t>11. Valuación Fundamental por Flujo de Fondos Descontados (DCF) y Opción Real</w:t>
            </w:r>
          </w:p>
        </w:tc>
        <w:tc>
          <w:tcPr>
            <w:tcW w:type="dxa" w:w="1440"/>
            <w:tcMar>
              <w:top w:w="30" w:type="dxa"/>
              <w:bottom w:w="30" w:type="dxa"/>
              <w:left w:w="40" w:type="dxa"/>
              <w:right w:w="40" w:type="dxa"/>
            </w:tcMar>
          </w:tcPr>
          <w:p>
            <w:pPr>
              <w:spacing w:after="40"/>
              <w:jc w:val="right"/>
            </w:pPr>
            <w:r>
              <w:rPr>
                <w:rFonts w:ascii="Georgia" w:hAnsi="Georgia"/>
                <w:color w:val="4A4A4A"/>
                <w:sz w:val="17"/>
              </w:rPr>
              <w:t>13</w:t>
            </w:r>
          </w:p>
        </w:tc>
      </w:tr>
      <w:tr>
        <w:tc>
          <w:tcPr>
            <w:tcW w:type="dxa" w:w="8640"/>
            <w:tcMar>
              <w:top w:w="30" w:type="dxa"/>
              <w:bottom w:w="30" w:type="dxa"/>
              <w:left w:w="40" w:type="dxa"/>
              <w:right w:w="40" w:type="dxa"/>
            </w:tcMar>
          </w:tcPr>
          <w:p>
            <w:pPr>
              <w:spacing w:after="40"/>
            </w:pPr>
            <w:r>
              <w:rPr>
                <w:rFonts w:ascii="Georgia" w:hAnsi="Georgia"/>
                <w:b/>
                <w:color w:val="0D233A"/>
                <w:sz w:val="17"/>
              </w:rPr>
              <w:t>12. Análisis de Sensibilidad Bidimensional y Matriz de Rangos</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13. Simulación Estocástica de Monte Carlo y DCF Inverso</w:t>
            </w:r>
          </w:p>
        </w:tc>
        <w:tc>
          <w:tcPr>
            <w:tcW w:type="dxa" w:w="1440"/>
            <w:tcMar>
              <w:top w:w="30" w:type="dxa"/>
              <w:bottom w:w="30" w:type="dxa"/>
              <w:left w:w="40" w:type="dxa"/>
              <w:right w:w="40" w:type="dxa"/>
            </w:tcMar>
          </w:tcPr>
          <w:p>
            <w:pPr>
              <w:spacing w:after="40"/>
              <w:jc w:val="right"/>
            </w:pPr>
            <w:r>
              <w:rPr>
                <w:rFonts w:ascii="Georgia" w:hAnsi="Georgia"/>
                <w:color w:val="4A4A4A"/>
                <w:sz w:val="17"/>
              </w:rPr>
              <w:t>14</w:t>
            </w:r>
          </w:p>
        </w:tc>
      </w:tr>
      <w:tr>
        <w:tc>
          <w:tcPr>
            <w:tcW w:type="dxa" w:w="8640"/>
            <w:tcMar>
              <w:top w:w="30" w:type="dxa"/>
              <w:bottom w:w="30" w:type="dxa"/>
              <w:left w:w="40" w:type="dxa"/>
              <w:right w:w="40" w:type="dxa"/>
            </w:tcMar>
          </w:tcPr>
          <w:p>
            <w:pPr>
              <w:spacing w:after="40"/>
            </w:pPr>
            <w:r>
              <w:rPr>
                <w:rFonts w:ascii="Georgia" w:hAnsi="Georgia"/>
                <w:b/>
                <w:color w:val="0D233A"/>
                <w:sz w:val="17"/>
              </w:rPr>
              <w:t>14. Valuación Relativa Sectorial y Múltiplos Comparables LTM y Forward</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15. Gestión de Riesgos de Mercado y Asignación Óptima de Cartera</w:t>
            </w:r>
          </w:p>
        </w:tc>
        <w:tc>
          <w:tcPr>
            <w:tcW w:type="dxa" w:w="1440"/>
            <w:tcMar>
              <w:top w:w="30" w:type="dxa"/>
              <w:bottom w:w="30" w:type="dxa"/>
              <w:left w:w="40" w:type="dxa"/>
              <w:right w:w="40" w:type="dxa"/>
            </w:tcMar>
          </w:tcPr>
          <w:p>
            <w:pPr>
              <w:spacing w:after="40"/>
              <w:jc w:val="right"/>
            </w:pPr>
            <w:r>
              <w:rPr>
                <w:rFonts w:ascii="Georgia" w:hAnsi="Georgia"/>
                <w:color w:val="4A4A4A"/>
                <w:sz w:val="17"/>
              </w:rPr>
              <w:t>15</w:t>
            </w:r>
          </w:p>
        </w:tc>
      </w:tr>
      <w:tr>
        <w:tc>
          <w:tcPr>
            <w:tcW w:type="dxa" w:w="8640"/>
            <w:tcMar>
              <w:top w:w="30" w:type="dxa"/>
              <w:bottom w:w="30" w:type="dxa"/>
              <w:left w:w="40" w:type="dxa"/>
              <w:right w:w="40" w:type="dxa"/>
            </w:tcMar>
          </w:tcPr>
          <w:p>
            <w:pPr>
              <w:spacing w:after="40"/>
            </w:pPr>
            <w:r>
              <w:rPr>
                <w:rFonts w:ascii="Georgia" w:hAnsi="Georgia"/>
                <w:b/>
                <w:color w:val="0D233A"/>
                <w:sz w:val="17"/>
              </w:rPr>
              <w:t>16. Modelización Estocástica Avanzada y Validación Econométrica</w:t>
            </w:r>
          </w:p>
        </w:tc>
        <w:tc>
          <w:tcPr>
            <w:tcW w:type="dxa" w:w="1440"/>
            <w:tcMar>
              <w:top w:w="30" w:type="dxa"/>
              <w:bottom w:w="30" w:type="dxa"/>
              <w:left w:w="40" w:type="dxa"/>
              <w:right w:w="40" w:type="dxa"/>
            </w:tcMar>
          </w:tcPr>
          <w:p>
            <w:pPr>
              <w:spacing w:after="40"/>
              <w:jc w:val="right"/>
            </w:pPr>
            <w:r>
              <w:rPr>
                <w:rFonts w:ascii="Georgia" w:hAnsi="Georgia"/>
                <w:color w:val="4A4A4A"/>
                <w:sz w:val="17"/>
              </w:rPr>
              <w:t>16</w:t>
            </w:r>
          </w:p>
        </w:tc>
      </w:tr>
      <w:tr>
        <w:tc>
          <w:tcPr>
            <w:tcW w:type="dxa" w:w="8640"/>
            <w:tcMar>
              <w:top w:w="30" w:type="dxa"/>
              <w:bottom w:w="30" w:type="dxa"/>
              <w:left w:w="40" w:type="dxa"/>
              <w:right w:w="40" w:type="dxa"/>
            </w:tcMar>
          </w:tcPr>
          <w:p>
            <w:pPr>
              <w:spacing w:after="40"/>
            </w:pPr>
            <w:r>
              <w:rPr>
                <w:rFonts w:ascii="Georgia" w:hAnsi="Georgia"/>
                <w:b/>
                <w:color w:val="0D233A"/>
                <w:sz w:val="17"/>
              </w:rPr>
              <w:t>17. Dictamen Final y Conclusión del Modelo</w:t>
            </w:r>
          </w:p>
        </w:tc>
        <w:tc>
          <w:tcPr>
            <w:tcW w:type="dxa" w:w="1440"/>
            <w:tcMar>
              <w:top w:w="30" w:type="dxa"/>
              <w:bottom w:w="30" w:type="dxa"/>
              <w:left w:w="40" w:type="dxa"/>
              <w:right w:w="40" w:type="dxa"/>
            </w:tcMar>
          </w:tcPr>
          <w:p>
            <w:pPr>
              <w:spacing w:after="40"/>
              <w:jc w:val="right"/>
            </w:pPr>
            <w:r>
              <w:rPr>
                <w:rFonts w:ascii="Georgia" w:hAnsi="Georgia"/>
                <w:color w:val="4A4A4A"/>
                <w:sz w:val="17"/>
              </w:rPr>
              <w:t>17</w:t>
            </w:r>
          </w:p>
        </w:tc>
      </w:tr>
      <w:tr>
        <w:tc>
          <w:tcPr>
            <w:tcW w:type="dxa" w:w="8640"/>
            <w:tcMar>
              <w:top w:w="30" w:type="dxa"/>
              <w:bottom w:w="30" w:type="dxa"/>
              <w:left w:w="40" w:type="dxa"/>
              <w:right w:w="40" w:type="dxa"/>
            </w:tcMar>
          </w:tcPr>
          <w:p>
            <w:pPr>
              <w:spacing w:after="40"/>
            </w:pPr>
            <w:r>
              <w:rPr>
                <w:rFonts w:ascii="Georgia" w:hAnsi="Georgia"/>
                <w:b/>
                <w:color w:val="1E3A8A"/>
                <w:sz w:val="17"/>
              </w:rPr>
              <w:t>Apéndice: Estados Financieros Auditados y Proyecciones de Flujo de Fondos (USD MM)</w:t>
            </w:r>
          </w:p>
        </w:tc>
        <w:tc>
          <w:tcPr>
            <w:tcW w:type="dxa" w:w="1440"/>
            <w:tcMar>
              <w:top w:w="30" w:type="dxa"/>
              <w:bottom w:w="30" w:type="dxa"/>
              <w:left w:w="40" w:type="dxa"/>
              <w:right w:w="40" w:type="dxa"/>
            </w:tcMar>
          </w:tcPr>
          <w:p>
            <w:pPr>
              <w:spacing w:after="40"/>
              <w:jc w:val="right"/>
            </w:pPr>
            <w:r>
              <w:rPr>
                <w:rFonts w:ascii="Georgia" w:hAnsi="Georgia"/>
                <w:color w:val="4A4A4A"/>
                <w:sz w:val="17"/>
              </w:rPr>
              <w:t>18</w:t>
            </w:r>
          </w:p>
        </w:tc>
      </w:tr>
      <w:tr>
        <w:tc>
          <w:tcPr>
            <w:tcW w:type="dxa" w:w="8640"/>
            <w:tcMar>
              <w:top w:w="30" w:type="dxa"/>
              <w:bottom w:w="30" w:type="dxa"/>
              <w:left w:w="40" w:type="dxa"/>
              <w:right w:w="40" w:type="dxa"/>
            </w:tcMar>
          </w:tcPr>
          <w:p>
            <w:pPr>
              <w:spacing w:after="40"/>
            </w:pPr>
            <w:r>
              <w:rPr>
                <w:rFonts w:ascii="Georgia" w:hAnsi="Georgia"/>
                <w:b/>
                <w:color w:val="1E3A8A"/>
                <w:sz w:val="17"/>
              </w:rPr>
              <w:t>Referencias Bibliográficas y Fuentes de Información</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r>
        <w:tc>
          <w:tcPr>
            <w:tcW w:type="dxa" w:w="8640"/>
            <w:tcMar>
              <w:top w:w="30" w:type="dxa"/>
              <w:bottom w:w="30" w:type="dxa"/>
              <w:left w:w="40" w:type="dxa"/>
              <w:right w:w="40" w:type="dxa"/>
            </w:tcMar>
          </w:tcPr>
          <w:p>
            <w:pPr>
              <w:spacing w:after="40"/>
            </w:pPr>
            <w:r>
              <w:rPr>
                <w:rFonts w:ascii="Georgia" w:hAnsi="Georgia"/>
                <w:b/>
                <w:color w:val="1E3A8A"/>
                <w:sz w:val="17"/>
              </w:rPr>
              <w:t>Aviso Legal y Certificación del Analista (Ley 26.831)</w:t>
            </w:r>
          </w:p>
        </w:tc>
        <w:tc>
          <w:tcPr>
            <w:tcW w:type="dxa" w:w="1440"/>
            <w:tcMar>
              <w:top w:w="30" w:type="dxa"/>
              <w:bottom w:w="30" w:type="dxa"/>
              <w:left w:w="40" w:type="dxa"/>
              <w:right w:w="40" w:type="dxa"/>
            </w:tcMar>
          </w:tcPr>
          <w:p>
            <w:pPr>
              <w:spacing w:after="40"/>
              <w:jc w:val="right"/>
            </w:pPr>
            <w:r>
              <w:rPr>
                <w:rFonts w:ascii="Georgia" w:hAnsi="Georgia"/>
                <w:color w:val="4A4A4A"/>
                <w:sz w:val="17"/>
              </w:rPr>
              <w:t>19</w:t>
            </w:r>
          </w:p>
        </w:tc>
      </w:tr>
    </w:tbl>
    <w:p>
      <w:r>
        <w:br w:type="page"/>
      </w:r>
    </w:p>
    <w:p>
      <w:pPr>
        <w:keepNext/>
        <w:spacing w:before="280" w:after="80"/>
        <w:pBrd>
          <w:bottom w:val="single" w:sz="8" w:space="2" w:color="0D233A"/>
        </w:pBrd>
      </w:pPr>
      <w:r>
        <w:rPr>
          <w:rFonts w:ascii="Georgia" w:hAnsi="Georgia"/>
          <w:b/>
          <w:color w:val="0D233A"/>
          <w:sz w:val="26"/>
        </w:rPr>
        <w:t>1. Descripción de la Compañía: Integración Vertical y Estructura Operativa</w:t>
      </w:r>
    </w:p>
    <w:p>
      <w:pPr>
        <w:keepNext/>
        <w:spacing w:before="200" w:after="60"/>
      </w:pPr>
      <w:r>
        <w:rPr>
          <w:rFonts w:ascii="Georgia" w:hAnsi="Georgia"/>
          <w:b/>
          <w:color w:val="1E3A8A"/>
          <w:sz w:val="22"/>
        </w:rPr>
        <w:t>1.1 Perfil Operativo: Capacidad Instalada e Integración Productiva</w:t>
      </w:r>
    </w:p>
    <w:p>
      <w:pPr>
        <w:spacing w:before="0" w:after="60" w:line="276" w:lineRule="auto"/>
      </w:pPr>
      <w:r>
        <w:rPr>
          <w:rFonts w:ascii="Georgia" w:hAnsi="Georgia"/>
          <w:color w:val="0F172A"/>
          <w:sz w:val="19"/>
        </w:rP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semielaborados y elaborados de mayor valor agregado. Alrededor del 80% del volumen físico producido se destina a la exportación (Estados Unidos, Brasil, Europa y Japón), liquidado en dólares estadounidenses sobre cotizaciones del London Metal Exchange (LME) más primas regionales, lo que dota a la firma de un flujo operativo vinculado a moneda dura.</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72050"/>
                  <wp:docPr id="1" name="Picture 1"/>
                  <wp:cNvGraphicFramePr>
                    <a:graphicFrameLocks noChangeAspect="1"/>
                  </wp:cNvGraphicFramePr>
                  <a:graphic>
                    <a:graphicData uri="http://schemas.openxmlformats.org/drawingml/2006/picture">
                      <pic:pic>
                        <pic:nvPicPr>
                          <pic:cNvPr id="0" name="figura_01.png"/>
                          <pic:cNvPicPr/>
                        </pic:nvPicPr>
                        <pic:blipFill>
                          <a:blip r:embed="rId11"/>
                          <a:stretch>
                            <a:fillRect/>
                          </a:stretch>
                        </pic:blipFill>
                        <pic:spPr>
                          <a:xfrm>
                            <a:off x="0" y="0"/>
                            <a:ext cx="3017520" cy="157205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82763"/>
                  <wp:docPr id="2" name="Picture 2"/>
                  <wp:cNvGraphicFramePr>
                    <a:graphicFrameLocks noChangeAspect="1"/>
                  </wp:cNvGraphicFramePr>
                  <a:graphic>
                    <a:graphicData uri="http://schemas.openxmlformats.org/drawingml/2006/picture">
                      <pic:pic>
                        <pic:nvPicPr>
                          <pic:cNvPr id="0" name="figura_02.png"/>
                          <pic:cNvPicPr/>
                        </pic:nvPicPr>
                        <pic:blipFill>
                          <a:blip r:embed="rId12"/>
                          <a:stretch>
                            <a:fillRect/>
                          </a:stretch>
                        </pic:blipFill>
                        <pic:spPr>
                          <a:xfrm>
                            <a:off x="0" y="0"/>
                            <a:ext cx="3017520" cy="148276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 Evolución Histórica de Aluar (1974–2026): Hitos de expansión de capacidad instalada y transición energética.</w:t>
            </w:r>
          </w:p>
        </w:tc>
        <w:tc>
          <w:tcPr>
            <w:tcW w:type="dxa" w:w="4896"/>
            <w:tcMar>
              <w:top w:w="40" w:type="dxa"/>
              <w:bottom w:w="40" w:type="dxa"/>
              <w:left w:w="40" w:type="dxa"/>
              <w:right w:w="40" w:type="dxa"/>
            </w:tcMar>
          </w:tcPr>
          <w:p>
            <w:pPr>
              <w:spacing w:after="80"/>
              <w:jc w:val="left"/>
            </w:pPr>
            <w:r>
              <w:rPr>
                <w:rFonts w:ascii="Georgia" w:hAnsi="Georgia"/>
                <w:color w:val="4A4A4A"/>
                <w:sz w:val="16"/>
              </w:rPr>
              <w:t>Figura 2: Estructura Accionaria: Concentración del 45,98% en el grupo de control (Familia Madanes) y 54,02% flotante/ANSES.</w:t>
            </w:r>
          </w:p>
        </w:tc>
      </w:tr>
    </w:tbl>
    <w:p>
      <w:pPr>
        <w:spacing w:after="40"/>
      </w:pPr>
    </w:p>
    <w:p>
      <w:pPr>
        <w:keepNext/>
        <w:spacing w:before="200" w:after="60"/>
      </w:pPr>
      <w:r>
        <w:rPr>
          <w:rFonts w:ascii="Georgia" w:hAnsi="Georgia"/>
          <w:b/>
          <w:color w:val="1E3A8A"/>
          <w:sz w:val="22"/>
        </w:rPr>
        <w:t>1.2 Estructura Accionaria y Control Corporativo</w:t>
      </w:r>
    </w:p>
    <w:p>
      <w:pPr>
        <w:spacing w:before="0" w:after="60" w:line="276" w:lineRule="auto"/>
      </w:pPr>
      <w:r>
        <w:rPr>
          <w:rFonts w:ascii="Georgia" w:hAnsi="Georgia"/>
          <w:color w:val="0F172A"/>
          <w:sz w:val="19"/>
        </w:rP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conformando el grupo de control frente al 54,02% distribuido entre la ANSES-FGS (27,47%) y el capital flotante en el mercado doméstico e internacional.</w:t>
      </w:r>
    </w:p>
    <w:p>
      <w:pPr>
        <w:keepNext/>
        <w:spacing w:before="200" w:after="60"/>
      </w:pPr>
      <w:r>
        <w:rPr>
          <w:rFonts w:ascii="Georgia" w:hAnsi="Georgia"/>
          <w:b/>
          <w:color w:val="1E3A8A"/>
          <w:sz w:val="22"/>
        </w:rPr>
        <w:t>1.3 Ventajas Competitivas: Matriz Energética y Posición de Costos C1</w:t>
      </w:r>
    </w:p>
    <w:p>
      <w:pPr>
        <w:spacing w:before="0" w:after="60" w:line="276" w:lineRule="auto"/>
      </w:pPr>
      <w:r>
        <w:rPr>
          <w:rFonts w:ascii="Georgia" w:hAnsi="Georgia"/>
          <w:color w:val="0F172A"/>
          <w:sz w:val="19"/>
        </w:rPr>
        <w:t>La fundición de aluminio primario es un proceso electrointensivo donde la energía representa entre el 30% y 40% del costo total de producción. Tres factores sustentan el foso defensivo de la compañía:</w:t>
      </w:r>
    </w:p>
    <w:p>
      <w:pPr>
        <w:spacing w:before="0" w:after="60" w:line="276" w:lineRule="auto"/>
      </w:pPr>
      <w:r>
        <w:rPr>
          <w:rFonts w:ascii="Georgia" w:hAnsi="Georgia"/>
          <w:color w:val="0F172A"/>
          <w:sz w:val="19"/>
        </w:rPr>
        <w:t>1. Autonomía Energética Propia (96% del Consumo):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blindando a la compañía ante fluctuaciones en las tarifas eléctricas spot.</w:t>
      </w:r>
    </w:p>
    <w:p>
      <w:pPr>
        <w:spacing w:before="0" w:after="60" w:line="276" w:lineRule="auto"/>
      </w:pPr>
      <w:r>
        <w:rPr>
          <w:rFonts w:ascii="Georgia" w:hAnsi="Georgia"/>
          <w:color w:val="0F172A"/>
          <w:sz w:val="19"/>
        </w:rPr>
        <w:t>2. Posición en el Primer Cuartil de Costos Globales: Con un costo en efectivo C1 de USD 1.680 por tonelada (percentil 29% de la curva global de costos CRU/Wood Mackenzie), Aluar se ubica entre los productores más eficientes del mundo, manteniendo márgenes operativos positivos en fases contractivas del ciclo internacional.</w:t>
      </w:r>
    </w:p>
    <w:p>
      <w:pPr>
        <w:spacing w:before="0" w:after="60" w:line="276" w:lineRule="auto"/>
      </w:pPr>
      <w:r>
        <w:rPr>
          <w:rFonts w:ascii="Georgia" w:hAnsi="Georgia"/>
          <w:color w:val="0F172A"/>
          <w:sz w:val="19"/>
        </w:rPr>
        <w:t>3. Terminal Portuaria Exclusiva: Muelle propio de aguas profundas en Puerto Madryn para la descarga directa de bauxita y alúmina importada y embarque de exportaciones con economías de escala en fletes.</w:t>
      </w:r>
    </w:p>
    <w:p>
      <w:pPr>
        <w:keepNext/>
        <w:spacing w:before="200" w:after="60"/>
      </w:pPr>
      <w:r>
        <w:rPr>
          <w:rFonts w:ascii="Georgia" w:hAnsi="Georgia"/>
          <w:b/>
          <w:color w:val="1E3A8A"/>
          <w:sz w:val="22"/>
        </w:rPr>
        <w:t>1.4 Estrategia Corporativa: Certificación ASI y Mezcla de Elaborados</w:t>
      </w:r>
    </w:p>
    <w:p>
      <w:pPr>
        <w:spacing w:before="0" w:after="60" w:line="276" w:lineRule="auto"/>
      </w:pPr>
      <w:r>
        <w:rPr>
          <w:rFonts w:ascii="Georgia" w:hAnsi="Georgia"/>
          <w:color w:val="0F172A"/>
          <w:sz w:val="19"/>
        </w:rPr>
        <w:t>Los objetivos estratégicos comprenden: (1) alcanzar el 100% de abastecimiento renovable mediante la Etapa V del Parque Eólico (PEAL V / La Flecha); (2) obtener la certificación ASI (Aluminium Stewardship Initiative) para capturar primas de precio por aluminio verde en Europa; y (3) defender la cuota en productos elaborados:</w:t>
      </w:r>
    </w:p>
    <w:p>
      <w:pPr>
        <w:keepNext/>
        <w:spacing w:before="120" w:after="40"/>
      </w:pPr>
      <w:r>
        <w:rPr>
          <w:rFonts w:ascii="Georgia" w:hAnsi="Georgia"/>
          <w:b/>
          <w:color w:val="0D233A"/>
          <w:sz w:val="18"/>
        </w:rPr>
        <w:t>Tabla: Participación de la División Elaborados en el Volumen Total de Ventas (Memoria y EEFF)</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4320"/>
            <w:shd w:fill="F1F5F9"/>
            <w:tcMar>
              <w:top w:w="80" w:type="dxa"/>
              <w:bottom w:w="80" w:type="dxa"/>
              <w:left w:w="100" w:type="dxa"/>
              <w:right w:w="100" w:type="dxa"/>
            </w:tcMar>
          </w:tcPr>
          <w:p>
            <w:pPr>
              <w:spacing w:before="60" w:after="60"/>
              <w:jc w:val="left"/>
            </w:pPr>
            <w:r/>
            <w:r>
              <w:rPr>
                <w:rFonts w:ascii="Georgia" w:hAnsi="Georgia"/>
                <w:b/>
                <w:color w:val="0D233A"/>
                <w:sz w:val="17"/>
              </w:rPr>
              <w:t>Métrica de Volumen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Ventas Elaborados (t)</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23.104</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17.766</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13.498</w:t>
            </w:r>
          </w:p>
        </w:tc>
      </w:tr>
      <w:tr>
        <w:tc>
          <w:tcPr>
            <w:tcW w:type="dxa" w:w="4320"/>
            <w:tcMar>
              <w:top w:w="60" w:type="dxa"/>
              <w:bottom w:w="60" w:type="dxa"/>
              <w:left w:w="100" w:type="dxa"/>
              <w:right w:w="100" w:type="dxa"/>
            </w:tcMar>
          </w:tcPr>
          <w:p>
            <w:pPr>
              <w:spacing w:before="40" w:after="40"/>
              <w:jc w:val="left"/>
            </w:pPr>
            <w:r/>
            <w:r>
              <w:rPr>
                <w:rFonts w:ascii="Georgia" w:hAnsi="Georgia"/>
                <w:b/>
                <w:color w:val="0D233A"/>
                <w:sz w:val="17"/>
              </w:rPr>
              <w:t>Ventas Totales (t)</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383.834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418.014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402.991</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Participación Elaborados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6,0%</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3,3%</w:t>
            </w:r>
          </w:p>
        </w:tc>
      </w:tr>
    </w:tbl>
    <w:p>
      <w:pPr>
        <w:spacing w:after="80"/>
      </w:pPr>
    </w:p>
    <w:p>
      <w:pPr>
        <w:keepNext/>
        <w:spacing w:before="200" w:after="60"/>
      </w:pPr>
      <w:r>
        <w:rPr>
          <w:rFonts w:ascii="Georgia" w:hAnsi="Georgia"/>
          <w:b/>
          <w:color w:val="1E3A8A"/>
          <w:sz w:val="22"/>
        </w:rPr>
        <w:t>1.5 Análisis Estratégico FODA</w:t>
      </w:r>
    </w:p>
    <w:p>
      <w:pPr>
        <w:spacing w:before="0" w:after="60" w:line="276" w:lineRule="auto"/>
      </w:pPr>
      <w:r>
        <w:rPr>
          <w:rFonts w:ascii="Georgia" w:hAnsi="Georgia"/>
          <w:color w:val="0F172A"/>
          <w:sz w:val="19"/>
        </w:rPr>
        <w:t>• Fortalezas: Monopolio primario integrado en Argentina; 96% de energía autogenerada; costos C1 en primer cuartil mundial; ingresos 80% en moneda dura.</w:t>
      </w:r>
    </w:p>
    <w:p>
      <w:pPr>
        <w:spacing w:before="0" w:after="60" w:line="276" w:lineRule="auto"/>
      </w:pPr>
      <w:r>
        <w:rPr>
          <w:rFonts w:ascii="Georgia" w:hAnsi="Georgia"/>
          <w:color w:val="0F172A"/>
          <w:sz w:val="19"/>
        </w:rPr>
        <w:t>• Oportunidades: Primas comerciales por certificación ASI; beneficios impositivos del RIGI para PEAL V; compresión de la prima de riesgo soberano.</w:t>
      </w:r>
    </w:p>
    <w:p>
      <w:pPr>
        <w:spacing w:before="0" w:after="60" w:line="276" w:lineRule="auto"/>
      </w:pPr>
      <w:r>
        <w:rPr>
          <w:rFonts w:ascii="Georgia" w:hAnsi="Georgia"/>
          <w:color w:val="0F172A"/>
          <w:sz w:val="19"/>
        </w:rPr>
        <w:t>• Debilidades: Dependencia de alúmina importada; capacidad nominal operando al 100% (460 kt); apalancamiento transitorio por inversiones eólicas.</w:t>
      </w:r>
    </w:p>
    <w:p>
      <w:pPr>
        <w:spacing w:before="0" w:after="60" w:line="276" w:lineRule="auto"/>
      </w:pPr>
      <w:r>
        <w:rPr>
          <w:rFonts w:ascii="Georgia" w:hAnsi="Georgia"/>
          <w:color w:val="0F172A"/>
          <w:sz w:val="19"/>
        </w:rPr>
        <w:t>• Amenazas: Ciclo internacional del LME; apreciación del tipo de cambio real que encarece costos laborales en USD; excedentes de fundición en Asia.</w:t>
      </w:r>
    </w:p>
    <w:p>
      <w:pPr>
        <w:keepNext/>
        <w:spacing w:before="200" w:after="60"/>
      </w:pPr>
      <w:r>
        <w:rPr>
          <w:rFonts w:ascii="Georgia" w:hAnsi="Georgia"/>
          <w:b/>
          <w:color w:val="1E3A8A"/>
          <w:sz w:val="22"/>
        </w:rPr>
        <w:t>1.6 Desempeño Financiero Reciente (FY2020–FY2025)</w:t>
      </w:r>
    </w:p>
    <w:p>
      <w:pPr>
        <w:keepNext/>
        <w:spacing w:before="120" w:after="40"/>
      </w:pPr>
      <w:r>
        <w:rPr>
          <w:rFonts w:ascii="Georgia" w:hAnsi="Georgia"/>
          <w:b/>
          <w:color w:val="0D233A"/>
          <w:sz w:val="18"/>
        </w:rPr>
        <w:t>Tabla: Evolución de Indicadores Financieros Auditados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Financiera</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Ingresos (Ventas Netas)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3,22x</w:t>
            </w:r>
          </w:p>
        </w:tc>
      </w:tr>
    </w:tbl>
    <w:p>
      <w:pPr>
        <w:spacing w:after="80"/>
      </w:pPr>
    </w:p>
    <w:p>
      <w:pPr>
        <w:keepNext/>
        <w:spacing w:before="280" w:after="80"/>
        <w:pBrd>
          <w:bottom w:val="single" w:sz="8" w:space="2" w:color="0D233A"/>
        </w:pBrd>
      </w:pPr>
      <w:r>
        <w:rPr>
          <w:rFonts w:ascii="Georgia" w:hAnsi="Georgia"/>
          <w:b/>
          <w:color w:val="0D233A"/>
          <w:sz w:val="26"/>
        </w:rPr>
        <w:t>2. Contexto Macroeconómico y Mecánica Operativa de Proyección (P × Q)</w:t>
      </w:r>
    </w:p>
    <w:p>
      <w:pPr>
        <w:keepNext/>
        <w:spacing w:before="200" w:after="60"/>
      </w:pPr>
      <w:r>
        <w:rPr>
          <w:rFonts w:ascii="Georgia" w:hAnsi="Georgia"/>
          <w:b/>
          <w:color w:val="1E3A8A"/>
          <w:sz w:val="22"/>
        </w:rPr>
        <w:t>2.1 Entorno Macroeconómico y Dinámica del Riesgo Soberano</w:t>
      </w:r>
    </w:p>
    <w:p>
      <w:pPr>
        <w:spacing w:before="0" w:after="60" w:line="276" w:lineRule="auto"/>
      </w:pPr>
      <w:r>
        <w:rPr>
          <w:rFonts w:ascii="Georgia" w:hAnsi="Georgia"/>
          <w:color w:val="0F172A"/>
          <w:sz w:val="19"/>
        </w:rPr>
        <w:t>Las proyecciones del modelo se apoyan en el escenario de estabilización macroeconómica argentino, con convergencia inflacionaria y reactivación gradual de la actividad industrial. La compresión del spread de riesgo soberano EMBI+ desde máximos de 2.400 pb en 2022 a 441 pb al cierre de julio de 2026 reduce de forma directa la tasa de descuento requerida para el capital.</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71175"/>
                  <wp:docPr id="3" name="Picture 3"/>
                  <wp:cNvGraphicFramePr>
                    <a:graphicFrameLocks noChangeAspect="1"/>
                  </wp:cNvGraphicFramePr>
                  <a:graphic>
                    <a:graphicData uri="http://schemas.openxmlformats.org/drawingml/2006/picture">
                      <pic:pic>
                        <pic:nvPicPr>
                          <pic:cNvPr id="0" name="figura_03.png"/>
                          <pic:cNvPicPr/>
                        </pic:nvPicPr>
                        <pic:blipFill>
                          <a:blip r:embed="rId13"/>
                          <a:stretch>
                            <a:fillRect/>
                          </a:stretch>
                        </pic:blipFill>
                        <pic:spPr>
                          <a:xfrm>
                            <a:off x="0" y="0"/>
                            <a:ext cx="3017520" cy="147117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0956"/>
                  <wp:docPr id="4" name="Picture 4"/>
                  <wp:cNvGraphicFramePr>
                    <a:graphicFrameLocks noChangeAspect="1"/>
                  </wp:cNvGraphicFramePr>
                  <a:graphic>
                    <a:graphicData uri="http://schemas.openxmlformats.org/drawingml/2006/picture">
                      <pic:pic>
                        <pic:nvPicPr>
                          <pic:cNvPr id="0" name="figura_04.png"/>
                          <pic:cNvPicPr/>
                        </pic:nvPicPr>
                        <pic:blipFill>
                          <a:blip r:embed="rId14"/>
                          <a:stretch>
                            <a:fillRect/>
                          </a:stretch>
                        </pic:blipFill>
                        <pic:spPr>
                          <a:xfrm>
                            <a:off x="0" y="0"/>
                            <a:ext cx="3017520" cy="154095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 Contexto Macroeconómico: PBI real e inflación proyectada en Argentina (2020–2030E).</w:t>
            </w:r>
          </w:p>
        </w:tc>
        <w:tc>
          <w:tcPr>
            <w:tcW w:type="dxa" w:w="4896"/>
            <w:tcMar>
              <w:top w:w="40" w:type="dxa"/>
              <w:bottom w:w="40" w:type="dxa"/>
              <w:left w:w="40" w:type="dxa"/>
              <w:right w:w="40" w:type="dxa"/>
            </w:tcMar>
          </w:tcPr>
          <w:p>
            <w:pPr>
              <w:spacing w:after="80"/>
              <w:jc w:val="left"/>
            </w:pPr>
            <w:r>
              <w:rPr>
                <w:rFonts w:ascii="Georgia" w:hAnsi="Georgia"/>
                <w:color w:val="4A4A4A"/>
                <w:sz w:val="16"/>
              </w:rPr>
              <w:t>Figura 4: Compresión del Riesgo País (EMBI+): Descenso del spread soberano desde 2.400 pb a 441 pb.</w:t>
            </w:r>
          </w:p>
        </w:tc>
      </w:tr>
    </w:tbl>
    <w:p>
      <w:pPr>
        <w:spacing w:after="40"/>
      </w:pPr>
    </w:p>
    <w:p>
      <w:pPr>
        <w:keepNext/>
        <w:spacing w:before="200" w:after="60"/>
      </w:pPr>
      <w:r>
        <w:rPr>
          <w:rFonts w:ascii="Georgia" w:hAnsi="Georgia"/>
          <w:b/>
          <w:color w:val="1E3A8A"/>
          <w:sz w:val="22"/>
        </w:rPr>
        <w:t>2.2 Mecánica Operativa de Ingresos: Volumen Saturado y Reversión del LME</w:t>
      </w:r>
    </w:p>
    <w:p>
      <w:pPr>
        <w:spacing w:before="0" w:after="60" w:line="276" w:lineRule="auto"/>
      </w:pPr>
      <w:r>
        <w:rPr>
          <w:rFonts w:ascii="Georgia" w:hAnsi="Georgia"/>
          <w:color w:val="0F172A"/>
          <w:sz w:val="19"/>
        </w:rPr>
        <w:t>La proyección de ingresos descansa en la descomposición operativa Ingresos = P × Q:</w:t>
      </w:r>
    </w:p>
    <w:p>
      <w:pPr>
        <w:spacing w:before="80" w:after="80"/>
        <w:jc w:val="center"/>
      </w:pPr>
      <w:r>
        <w:rPr>
          <w:rFonts w:ascii="Cambria Math" w:hAnsi="Cambria Math"/>
          <w:b/>
          <w:color w:val="0D233A"/>
          <w:sz w:val="21"/>
        </w:rPr>
        <w:t xml:space="preserve">   Q = 460.000 Tn × 0,94 = 432.400 Tn/año   </w:t>
      </w:r>
      <w:r>
        <w:rPr>
          <w:rFonts w:ascii="Georgia" w:hAnsi="Georgia"/>
          <w:i/>
          <w:color w:val="4A4A4A"/>
          <w:sz w:val="18"/>
        </w:rPr>
        <w:t xml:space="preserve">    (Volumen Físico)</w:t>
      </w:r>
    </w:p>
    <w:p>
      <w:pPr>
        <w:spacing w:before="0" w:after="60" w:line="276" w:lineRule="auto"/>
      </w:pPr>
      <w:r>
        <w:rPr>
          <w:rFonts w:ascii="Georgia" w:hAnsi="Georgia"/>
          <w:color w:val="0F172A"/>
          <w:sz w:val="19"/>
        </w:rPr>
        <w:t>En FY2026E los ingresos alcanzan USD 1.591,4 MM impulsados por el precio spot del LME en el 1T26 ($3.173,2/t). Para el período 2027E–2030E, el precio realizado converge linealmente a su nivel de equilibrio de largo plazo:</w:t>
      </w:r>
    </w:p>
    <w:p>
      <w:pPr>
        <w:spacing w:before="80" w:after="80"/>
        <w:jc w:val="center"/>
      </w:pPr>
      <w:r>
        <w:rPr>
          <w:rFonts w:ascii="Cambria Math" w:hAnsi="Cambria Math"/>
          <w:b/>
          <w:color w:val="0D233A"/>
          <w:sz w:val="21"/>
        </w:rPr>
        <w:t xml:space="preserve">   P_2030 = LME_rev ($2.587,1/t) + Premium_elab ($645,7/t) = USD 3.232,8/t   </w:t>
      </w:r>
      <w:r>
        <w:rPr>
          <w:rFonts w:ascii="Georgia" w:hAnsi="Georgia"/>
          <w:i/>
          <w:color w:val="4A4A4A"/>
          <w:sz w:val="18"/>
        </w:rPr>
        <w:t xml:space="preserve">    (Precio 2030E)</w:t>
      </w:r>
    </w:p>
    <w:p>
      <w:pPr>
        <w:spacing w:before="0" w:after="60" w:line="276" w:lineRule="auto"/>
      </w:pPr>
      <w:r>
        <w:rPr>
          <w:rFonts w:ascii="Georgia" w:hAnsi="Georgia"/>
          <w:color w:val="0F172A"/>
          <w:sz w:val="19"/>
        </w:rPr>
        <w:t>Se calibra el parámetro de eficiencia operativa k sobre los datos reales del 1T26 (Ventas = USD 416 MM, EBITDA = USD 106 MM, C1 = USD 1.680/t):</w:t>
      </w:r>
    </w:p>
    <w:p>
      <w:pPr>
        <w:spacing w:before="80" w:after="80"/>
        <w:jc w:val="center"/>
      </w:pPr>
      <w:r>
        <w:rPr>
          <w:rFonts w:ascii="Cambria Math" w:hAnsi="Cambria Math"/>
          <w:b/>
          <w:color w:val="0D233A"/>
          <w:sz w:val="21"/>
        </w:rPr>
        <w:t xml:space="preserve">   k = Margen_EBITDA_Q1 / ((P_Q1 - C1) / P_Q1) = (106 / 416) / ((3.848,3 - 1.680) / 3.848,3) = 0,4521   </w:t>
      </w:r>
      <w:r>
        <w:rPr>
          <w:rFonts w:ascii="Georgia" w:hAnsi="Georgia"/>
          <w:i/>
          <w:color w:val="4A4A4A"/>
          <w:sz w:val="18"/>
        </w:rPr>
        <w:t xml:space="preserve">    (Calibración k)</w:t>
      </w:r>
    </w:p>
    <w:p>
      <w:pPr>
        <w:spacing w:before="0" w:after="60" w:line="276" w:lineRule="auto"/>
      </w:pPr>
      <w:r>
        <w:rPr>
          <w:rFonts w:ascii="Georgia" w:hAnsi="Georgia"/>
          <w:color w:val="0F172A"/>
          <w:sz w:val="19"/>
        </w:rPr>
        <w:t>Se proyecta la variación de capital de trabajo según la mediana histórica (NWC/Ventas = 49,42%):</w:t>
      </w:r>
    </w:p>
    <w:p>
      <w:pPr>
        <w:spacing w:before="80" w:after="80"/>
        <w:jc w:val="center"/>
      </w:pPr>
      <w:r>
        <w:rPr>
          <w:rFonts w:ascii="Cambria Math" w:hAnsi="Cambria Math"/>
          <w:b/>
          <w:color w:val="0D233A"/>
          <w:sz w:val="21"/>
        </w:rPr>
        <w:t xml:space="preserve">   ΔNWC_2026E = (Ventas_2026E - Ventas_2025) × 49,42% = (1.591,4 - 1.092,6) × 0,4942 = USD 246,5 MM   </w:t>
      </w:r>
      <w:r>
        <w:rPr>
          <w:rFonts w:ascii="Georgia" w:hAnsi="Georgia"/>
          <w:i/>
          <w:color w:val="4A4A4A"/>
          <w:sz w:val="18"/>
        </w:rPr>
        <w:t xml:space="preserve">    (ΔNWC 2026E)</w:t>
      </w:r>
    </w:p>
    <w:p>
      <w:pPr>
        <w:keepNext/>
        <w:spacing w:before="200" w:after="60"/>
      </w:pPr>
      <w:r>
        <w:rPr>
          <w:rFonts w:ascii="Georgia" w:hAnsi="Georgia"/>
          <w:b/>
          <w:color w:val="1E3A8A"/>
          <w:sz w:val="22"/>
        </w:rPr>
        <w:t>2.3 Curva de Tasas y Convergencia del Riesgo País (Modelo AR(1))</w:t>
      </w:r>
    </w:p>
    <w:p>
      <w:pPr>
        <w:spacing w:before="80" w:after="80"/>
        <w:jc w:val="center"/>
      </w:pPr>
      <w:r>
        <w:rPr>
          <w:rFonts w:ascii="Cambria Math" w:hAnsi="Cambria Math"/>
          <w:b/>
          <w:color w:val="0D233A"/>
          <w:sz w:val="21"/>
        </w:rPr>
        <w:t xml:space="preserve">   EMBI_t = μ × (1 - φ) + φ × EMBI_{t-1} + ε_t,   φ = 0,7582,   μ = 1.614 pb   </w:t>
      </w:r>
      <w:r>
        <w:rPr>
          <w:rFonts w:ascii="Georgia" w:hAnsi="Georgia"/>
          <w:i/>
          <w:color w:val="4A4A4A"/>
          <w:sz w:val="18"/>
        </w:rPr>
        <w:t xml:space="preserve">    (AR(1) Riesgo País)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87385"/>
                  <wp:docPr id="5" name="Picture 5"/>
                  <wp:cNvGraphicFramePr>
                    <a:graphicFrameLocks noChangeAspect="1"/>
                  </wp:cNvGraphicFramePr>
                  <a:graphic>
                    <a:graphicData uri="http://schemas.openxmlformats.org/drawingml/2006/picture">
                      <pic:pic>
                        <pic:nvPicPr>
                          <pic:cNvPr id="0" name="figura_05.png"/>
                          <pic:cNvPicPr/>
                        </pic:nvPicPr>
                        <pic:blipFill>
                          <a:blip r:embed="rId15"/>
                          <a:stretch>
                            <a:fillRect/>
                          </a:stretch>
                        </pic:blipFill>
                        <pic:spPr>
                          <a:xfrm>
                            <a:off x="0" y="0"/>
                            <a:ext cx="3017520" cy="168738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7468"/>
                  <wp:docPr id="6" name="Picture 6"/>
                  <wp:cNvGraphicFramePr>
                    <a:graphicFrameLocks noChangeAspect="1"/>
                  </wp:cNvGraphicFramePr>
                  <a:graphic>
                    <a:graphicData uri="http://schemas.openxmlformats.org/drawingml/2006/picture">
                      <pic:pic>
                        <pic:nvPicPr>
                          <pic:cNvPr id="0" name="figura_06.png"/>
                          <pic:cNvPicPr/>
                        </pic:nvPicPr>
                        <pic:blipFill>
                          <a:blip r:embed="rId16"/>
                          <a:stretch>
                            <a:fillRect/>
                          </a:stretch>
                        </pic:blipFill>
                        <pic:spPr>
                          <a:xfrm>
                            <a:off x="0" y="0"/>
                            <a:ext cx="3017520" cy="1527468"/>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5: Trayectoria del Riesgo País: Proyección estocástica AR(1) frente al supuesto corporativo base (441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6: Aluminio LME vs. DXY: Relación inversa entre el commodity y el índice global del dólar.</w:t>
            </w:r>
          </w:p>
        </w:tc>
      </w:tr>
    </w:tbl>
    <w:p>
      <w:pPr>
        <w:spacing w:after="40"/>
      </w:pPr>
    </w:p>
    <w:p>
      <w:pPr>
        <w:keepNext/>
        <w:spacing w:before="280" w:after="80"/>
        <w:pBrd>
          <w:bottom w:val="single" w:sz="8" w:space="2" w:color="0D233A"/>
        </w:pBrd>
      </w:pPr>
      <w:r>
        <w:rPr>
          <w:rFonts w:ascii="Georgia" w:hAnsi="Georgia"/>
          <w:b/>
          <w:color w:val="0D233A"/>
          <w:sz w:val="26"/>
        </w:rPr>
        <w:t>3. Dinámica de la Industria Global del Aluminio y Cointegración con el LME</w:t>
      </w:r>
    </w:p>
    <w:p>
      <w:pPr>
        <w:keepNext/>
        <w:spacing w:before="200" w:after="60"/>
      </w:pPr>
      <w:r>
        <w:rPr>
          <w:rFonts w:ascii="Georgia" w:hAnsi="Georgia"/>
          <w:b/>
          <w:color w:val="1E3A8A"/>
          <w:sz w:val="22"/>
        </w:rPr>
        <w:t>3.1 Comportamiento Cíclico: LME, DXY y Cobertura Operativa</w:t>
      </w:r>
    </w:p>
    <w:p>
      <w:pPr>
        <w:spacing w:before="0" w:after="60" w:line="276" w:lineRule="auto"/>
      </w:pPr>
      <w:r>
        <w:rPr>
          <w:rFonts w:ascii="Georgia" w:hAnsi="Georgia"/>
          <w:color w:val="0F172A"/>
          <w:sz w:val="19"/>
        </w:rPr>
        <w:t>Existe una correlación inversa entre el precio internacional de los metales básicos y la fortaleza del dólar global (DXY). Aluar cuenta con una cobertura operativa natural: en fases contractivas del commodity acompañadas por apreciación del dólar, las correcciones del tipo de cambio real doméstico reducen los costos fijos en pesos (salarios y servicios), amortiguando la presión sobre el margen operativo.</w:t>
      </w:r>
    </w:p>
    <w:p>
      <w:pPr>
        <w:keepNext/>
        <w:spacing w:before="200" w:after="60"/>
      </w:pPr>
      <w:r>
        <w:rPr>
          <w:rFonts w:ascii="Georgia" w:hAnsi="Georgia"/>
          <w:b/>
          <w:color w:val="1E3A8A"/>
          <w:sz w:val="22"/>
        </w:rPr>
        <w:t>3.2 Análisis Econométrico: Test de Cointegración de Engle-Granger</w:t>
      </w:r>
    </w:p>
    <w:p>
      <w:pPr>
        <w:spacing w:before="0" w:after="60" w:line="276" w:lineRule="auto"/>
      </w:pPr>
      <w:r>
        <w:rPr>
          <w:rFonts w:ascii="Georgia" w:hAnsi="Georgia"/>
          <w:color w:val="0F172A"/>
          <w:sz w:val="19"/>
        </w:rPr>
        <w:t>Se sometió la serie diaria de ALUA.BA (expresada en USD vía CCL, N=2.355 ruedas, período 2016–2026) y el futuro del LME a la prueba de cointegración de Engle-Granger. El estadístico t = -2,29 (p = 0,38, frente a un valor crítico del -3,34 al 5%) no permite afirmar cointegración estricta en niveles. Sin embargo, la elasticidad contemporánea se sitúa en 0,66 (R² = 0,12), confirmando que Aluar responde de forma combinada tanto al ciclo internacional del metal como a las condiciones macroeconómicas locales.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129"/>
                  <wp:docPr id="7" name="Picture 7"/>
                  <wp:cNvGraphicFramePr>
                    <a:graphicFrameLocks noChangeAspect="1"/>
                  </wp:cNvGraphicFramePr>
                  <a:graphic>
                    <a:graphicData uri="http://schemas.openxmlformats.org/drawingml/2006/picture">
                      <pic:pic>
                        <pic:nvPicPr>
                          <pic:cNvPr id="0" name="figura_07.png"/>
                          <pic:cNvPicPr/>
                        </pic:nvPicPr>
                        <pic:blipFill>
                          <a:blip r:embed="rId17"/>
                          <a:stretch>
                            <a:fillRect/>
                          </a:stretch>
                        </pic:blipFill>
                        <pic:spPr>
                          <a:xfrm>
                            <a:off x="0" y="0"/>
                            <a:ext cx="3017520" cy="16771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25712"/>
                  <wp:docPr id="8" name="Picture 8"/>
                  <wp:cNvGraphicFramePr>
                    <a:graphicFrameLocks noChangeAspect="1"/>
                  </wp:cNvGraphicFramePr>
                  <a:graphic>
                    <a:graphicData uri="http://schemas.openxmlformats.org/drawingml/2006/picture">
                      <pic:pic>
                        <pic:nvPicPr>
                          <pic:cNvPr id="0" name="figura_08.png"/>
                          <pic:cNvPicPr/>
                        </pic:nvPicPr>
                        <pic:blipFill>
                          <a:blip r:embed="rId18"/>
                          <a:stretch>
                            <a:fillRect/>
                          </a:stretch>
                        </pic:blipFill>
                        <pic:spPr>
                          <a:xfrm>
                            <a:off x="0" y="0"/>
                            <a:ext cx="3017520" cy="152571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7: Producción Mundial de Aluminio: Participación de los principales países productores.</w:t>
            </w:r>
          </w:p>
        </w:tc>
        <w:tc>
          <w:tcPr>
            <w:tcW w:type="dxa" w:w="4896"/>
            <w:tcMar>
              <w:top w:w="40" w:type="dxa"/>
              <w:bottom w:w="40" w:type="dxa"/>
              <w:left w:w="40" w:type="dxa"/>
              <w:right w:w="40" w:type="dxa"/>
            </w:tcMar>
          </w:tcPr>
          <w:p>
            <w:pPr>
              <w:spacing w:after="80"/>
              <w:jc w:val="left"/>
            </w:pPr>
            <w:r>
              <w:rPr>
                <w:rFonts w:ascii="Georgia" w:hAnsi="Georgia"/>
                <w:color w:val="4A4A4A"/>
                <w:sz w:val="16"/>
              </w:rPr>
              <w:t>Figura 8: Capacidad y Autogeneración: Comparativa de escala y matriz energética propia frente a pares.</w:t>
            </w:r>
          </w:p>
        </w:tc>
      </w:tr>
    </w:tbl>
    <w:p>
      <w:pPr>
        <w:spacing w:after="4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14258"/>
                  <wp:docPr id="9" name="Picture 9"/>
                  <wp:cNvGraphicFramePr>
                    <a:graphicFrameLocks noChangeAspect="1"/>
                  </wp:cNvGraphicFramePr>
                  <a:graphic>
                    <a:graphicData uri="http://schemas.openxmlformats.org/drawingml/2006/picture">
                      <pic:pic>
                        <pic:nvPicPr>
                          <pic:cNvPr id="0" name="figura_09.png"/>
                          <pic:cNvPicPr/>
                        </pic:nvPicPr>
                        <pic:blipFill>
                          <a:blip r:embed="rId19"/>
                          <a:stretch>
                            <a:fillRect/>
                          </a:stretch>
                        </pic:blipFill>
                        <pic:spPr>
                          <a:xfrm>
                            <a:off x="0" y="0"/>
                            <a:ext cx="3017520" cy="171425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879353"/>
                  <wp:docPr id="10" name="Picture 10"/>
                  <wp:cNvGraphicFramePr>
                    <a:graphicFrameLocks noChangeAspect="1"/>
                  </wp:cNvGraphicFramePr>
                  <a:graphic>
                    <a:graphicData uri="http://schemas.openxmlformats.org/drawingml/2006/picture">
                      <pic:pic>
                        <pic:nvPicPr>
                          <pic:cNvPr id="0" name="figura_10.png"/>
                          <pic:cNvPicPr/>
                        </pic:nvPicPr>
                        <pic:blipFill>
                          <a:blip r:embed="rId20"/>
                          <a:stretch>
                            <a:fillRect/>
                          </a:stretch>
                        </pic:blipFill>
                        <pic:spPr>
                          <a:xfrm>
                            <a:off x="0" y="0"/>
                            <a:ext cx="3017520" cy="187935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9: Participación de Mercado Local: Cuota del 60% de Aluar frente al 40% importado.</w:t>
            </w:r>
          </w:p>
        </w:tc>
        <w:tc>
          <w:tcPr>
            <w:tcW w:type="dxa" w:w="4896"/>
            <w:tcMar>
              <w:top w:w="40" w:type="dxa"/>
              <w:bottom w:w="40" w:type="dxa"/>
              <w:left w:w="40" w:type="dxa"/>
              <w:right w:w="40" w:type="dxa"/>
            </w:tcMar>
          </w:tcPr>
          <w:p>
            <w:pPr>
              <w:spacing w:after="80"/>
              <w:jc w:val="left"/>
            </w:pPr>
            <w:r>
              <w:rPr>
                <w:rFonts w:ascii="Georgia" w:hAnsi="Georgia"/>
                <w:color w:val="4A4A4A"/>
                <w:sz w:val="16"/>
              </w:rPr>
              <w:t>Figura 10: Matriz Renovable y Curva C1: Posicionamiento en el primer cuartil de costos de fundición.</w:t>
            </w:r>
          </w:p>
        </w:tc>
      </w:tr>
    </w:tbl>
    <w:p>
      <w:pPr>
        <w:spacing w:after="40"/>
      </w:pPr>
    </w:p>
    <w:p>
      <w:pPr>
        <w:keepNext/>
        <w:spacing w:before="280" w:after="80"/>
        <w:pBrd>
          <w:bottom w:val="single" w:sz="8" w:space="2" w:color="0D233A"/>
        </w:pBrd>
      </w:pPr>
      <w:r>
        <w:rPr>
          <w:rFonts w:ascii="Georgia" w:hAnsi="Georgia"/>
          <w:b/>
          <w:color w:val="0D233A"/>
          <w:sz w:val="26"/>
        </w:rPr>
        <w:t>4. Gobernanza Corporativa, Marco Regulatorio y Factores ESG</w:t>
      </w:r>
    </w:p>
    <w:p>
      <w:pPr>
        <w:keepNext/>
        <w:spacing w:before="200" w:after="60"/>
      </w:pPr>
      <w:r>
        <w:rPr>
          <w:rFonts w:ascii="Georgia" w:hAnsi="Georgia"/>
          <w:b/>
          <w:color w:val="1E3A8A"/>
          <w:sz w:val="22"/>
        </w:rPr>
        <w:t>4.1 Gobierno Corporativo y Transparencia (Ley 26.831 / CNV)</w:t>
      </w:r>
    </w:p>
    <w:p>
      <w:pPr>
        <w:spacing w:before="0" w:after="60" w:line="276" w:lineRule="auto"/>
      </w:pPr>
      <w:r>
        <w:rPr>
          <w:rFonts w:ascii="Georgia" w:hAnsi="Georgia"/>
          <w:color w:val="0F172A"/>
          <w:sz w:val="19"/>
        </w:rP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pPr>
        <w:keepNext/>
        <w:spacing w:before="120" w:after="40"/>
      </w:pPr>
      <w:r>
        <w:rPr>
          <w:rFonts w:ascii="Georgia" w:hAnsi="Georgia"/>
          <w:b/>
          <w:color w:val="0D233A"/>
          <w:sz w:val="18"/>
        </w:rPr>
        <w:t>Tabla: Matriz de Evaluación de Factores Ambientales, Sociales y de Gobierno (ESG)</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2160"/>
            <w:shd w:fill="F1F5F9"/>
            <w:tcMar>
              <w:top w:w="80" w:type="dxa"/>
              <w:bottom w:w="80" w:type="dxa"/>
              <w:left w:w="100" w:type="dxa"/>
              <w:right w:w="100" w:type="dxa"/>
            </w:tcMar>
          </w:tcPr>
          <w:p>
            <w:pPr>
              <w:spacing w:before="60" w:after="60"/>
              <w:jc w:val="left"/>
            </w:pPr>
            <w:r/>
            <w:r>
              <w:rPr>
                <w:rFonts w:ascii="Georgia" w:hAnsi="Georgia"/>
                <w:b/>
                <w:color w:val="0D233A"/>
                <w:sz w:val="17"/>
              </w:rPr>
              <w:t>Dimensión</w:t>
            </w:r>
          </w:p>
        </w:tc>
        <w:tc>
          <w:tcPr>
            <w:tcW w:type="dxa" w:w="4608"/>
            <w:shd w:fill="F1F5F9"/>
            <w:tcMar>
              <w:top w:w="80" w:type="dxa"/>
              <w:bottom w:w="80" w:type="dxa"/>
              <w:left w:w="100" w:type="dxa"/>
              <w:right w:w="100" w:type="dxa"/>
            </w:tcMar>
          </w:tcPr>
          <w:p>
            <w:pPr>
              <w:spacing w:before="60" w:after="60"/>
              <w:jc w:val="right"/>
            </w:pPr>
            <w:r/>
            <w:r>
              <w:rPr>
                <w:rFonts w:ascii="Georgia" w:hAnsi="Georgia"/>
                <w:b/>
                <w:color w:val="0D233A"/>
                <w:sz w:val="17"/>
              </w:rPr>
              <w:t>Indicadores Observables</w:t>
            </w:r>
          </w:p>
        </w:tc>
        <w:tc>
          <w:tcPr>
            <w:tcW w:type="dxa" w:w="3312"/>
            <w:shd w:fill="F1F5F9"/>
            <w:tcMar>
              <w:top w:w="80" w:type="dxa"/>
              <w:bottom w:w="80" w:type="dxa"/>
              <w:left w:w="100" w:type="dxa"/>
              <w:right w:w="100" w:type="dxa"/>
            </w:tcMar>
          </w:tcPr>
          <w:p>
            <w:pPr>
              <w:spacing w:before="60" w:after="60"/>
              <w:jc w:val="right"/>
            </w:pPr>
            <w:r/>
            <w:r>
              <w:rPr>
                <w:rFonts w:ascii="Georgia" w:hAnsi="Georgia"/>
                <w:b/>
                <w:color w:val="0D233A"/>
                <w:sz w:val="17"/>
              </w:rPr>
              <w:t>Evaluación</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Ambiental (E)</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78% renovable propia. Huella &lt; 4 t CO2/t Al. Certificación ASI en proceso.</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Favorable. Ventaja competitiva frente al mecanismo de ajuste en frontera por carbono (CBAM).</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Social (S)</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Principal empleador privado en Chubut (&gt; 6.200 puestos directos e indirectos). TRIR &lt; 1,0.</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Adecuada. Estándares de seguridad industrial y baja tasa de siniestralidad.</w:t>
            </w:r>
          </w:p>
        </w:tc>
      </w:tr>
      <w:tr>
        <w:tc>
          <w:tcPr>
            <w:tcW w:type="dxa" w:w="2160"/>
            <w:tcMar>
              <w:top w:w="60" w:type="dxa"/>
              <w:bottom w:w="60" w:type="dxa"/>
              <w:left w:w="100" w:type="dxa"/>
              <w:right w:w="100" w:type="dxa"/>
            </w:tcMar>
          </w:tcPr>
          <w:p>
            <w:pPr>
              <w:spacing w:before="40" w:after="40"/>
              <w:jc w:val="left"/>
            </w:pPr>
            <w:r/>
            <w:r>
              <w:rPr>
                <w:rFonts w:ascii="Georgia" w:hAnsi="Georgia"/>
                <w:color w:val="0F172A"/>
                <w:sz w:val="17"/>
              </w:rPr>
              <w:t>Gobernanza (G)</w:t>
            </w:r>
          </w:p>
        </w:tc>
        <w:tc>
          <w:tcPr>
            <w:tcW w:type="dxa" w:w="4608"/>
            <w:tcMar>
              <w:top w:w="60" w:type="dxa"/>
              <w:bottom w:w="60" w:type="dxa"/>
              <w:left w:w="100" w:type="dxa"/>
              <w:right w:w="100" w:type="dxa"/>
            </w:tcMar>
          </w:tcPr>
          <w:p>
            <w:pPr>
              <w:spacing w:before="40" w:after="40"/>
              <w:jc w:val="right"/>
            </w:pPr>
            <w:r/>
            <w:r>
              <w:rPr>
                <w:rFonts w:ascii="Georgia" w:hAnsi="Georgia"/>
                <w:color w:val="0F172A"/>
                <w:sz w:val="17"/>
              </w:rPr>
              <w:t>Concentración del 45,98% en el grupo de control. Auditoría externa por PwC y comités independientes.</w:t>
            </w:r>
          </w:p>
        </w:tc>
        <w:tc>
          <w:tcPr>
            <w:tcW w:type="dxa" w:w="3312"/>
            <w:tcMar>
              <w:top w:w="60" w:type="dxa"/>
              <w:bottom w:w="60" w:type="dxa"/>
              <w:left w:w="100" w:type="dxa"/>
              <w:right w:w="100" w:type="dxa"/>
            </w:tcMar>
          </w:tcPr>
          <w:p>
            <w:pPr>
              <w:spacing w:before="40" w:after="40"/>
              <w:jc w:val="right"/>
            </w:pPr>
            <w:r/>
            <w:r>
              <w:rPr>
                <w:rFonts w:ascii="Georgia" w:hAnsi="Georgia"/>
                <w:color w:val="0F172A"/>
                <w:sz w:val="17"/>
              </w:rPr>
              <w:t>Estable. Continuidad estratégica con flotante del 54,02%.</w:t>
            </w:r>
          </w:p>
        </w:tc>
      </w:tr>
    </w:tbl>
    <w:p>
      <w:pPr>
        <w:spacing w:after="80"/>
      </w:pPr>
    </w:p>
    <w:p>
      <w:pPr>
        <w:keepNext/>
        <w:spacing w:before="200" w:after="60"/>
      </w:pPr>
      <w:r>
        <w:rPr>
          <w:rFonts w:ascii="Georgia" w:hAnsi="Georgia"/>
          <w:b/>
          <w:color w:val="1E3A8A"/>
          <w:sz w:val="22"/>
        </w:rPr>
        <w:t>4.2 Impacto del Ajuste de Carbono en Frontera (CBAM de la Unión Europea)</w:t>
      </w:r>
    </w:p>
    <w:p>
      <w:pPr>
        <w:spacing w:before="0" w:after="60" w:line="276" w:lineRule="auto"/>
      </w:pPr>
      <w:r>
        <w:rPr>
          <w:rFonts w:ascii="Georgia" w:hAnsi="Georgia"/>
          <w:color w:val="0F172A"/>
          <w:sz w:val="19"/>
        </w:rPr>
        <w:t>La reducida huella de carbono de Aluar (&lt; 4 t CO2/t Al) frente al promedio de la industria (~ 11 t CO2/t) le otorga una ventaja arancelaria neta estimada en USD 80–120 por tonelada bajo el esquema CBAM de la Unión Europea frente a productores alimentados con fuentes fósiles.</w:t>
      </w:r>
    </w:p>
    <w:p>
      <w:pPr>
        <w:keepNext/>
        <w:spacing w:before="280" w:after="80"/>
        <w:pBrd>
          <w:bottom w:val="single" w:sz="8" w:space="2" w:color="0D233A"/>
        </w:pBrd>
      </w:pPr>
      <w:r>
        <w:rPr>
          <w:rFonts w:ascii="Georgia" w:hAnsi="Georgia"/>
          <w:b/>
          <w:color w:val="0D233A"/>
          <w:sz w:val="26"/>
        </w:rPr>
        <w:t>5. Valuación Relativa y Dinámica de Desapalancamiento Post-CAPEX</w:t>
      </w:r>
    </w:p>
    <w:p>
      <w:pPr>
        <w:keepNext/>
        <w:spacing w:before="200" w:after="60"/>
      </w:pPr>
      <w:r>
        <w:rPr>
          <w:rFonts w:ascii="Georgia" w:hAnsi="Georgia"/>
          <w:b/>
          <w:color w:val="1E3A8A"/>
          <w:sz w:val="22"/>
        </w:rPr>
        <w:t>5.1 Comparación de Múltiplos LTM y Forward</w:t>
      </w:r>
    </w:p>
    <w:p>
      <w:pPr>
        <w:spacing w:before="0" w:after="60" w:line="276" w:lineRule="auto"/>
      </w:pPr>
      <w:r>
        <w:rPr>
          <w:rFonts w:ascii="Georgia" w:hAnsi="Georgia"/>
          <w:color w:val="0F172A"/>
          <w:sz w:val="19"/>
        </w:rPr>
        <w:t>Aluar cotiza a un múltiplo EV/EBITDA LTM de 13,4x sobre el resultado deprimido de FY2025 (USD 163,3 MM). Al normalizar la proyección sobre el EBITDA estimado de FY2026E (USD 391,2 MM), el múltiplo implícito desciende a 5,2x EV/EBITDA Forward, situando a la firma con un descuento del 20%–25% frente a comparables internacionales como Alcoa (8,1x) y Norsk Hydro (6,5x).</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68243"/>
                  <wp:docPr id="11" name="Picture 11"/>
                  <wp:cNvGraphicFramePr>
                    <a:graphicFrameLocks noChangeAspect="1"/>
                  </wp:cNvGraphicFramePr>
                  <a:graphic>
                    <a:graphicData uri="http://schemas.openxmlformats.org/drawingml/2006/picture">
                      <pic:pic>
                        <pic:nvPicPr>
                          <pic:cNvPr id="0" name="figura_11.png"/>
                          <pic:cNvPicPr/>
                        </pic:nvPicPr>
                        <pic:blipFill>
                          <a:blip r:embed="rId21"/>
                          <a:stretch>
                            <a:fillRect/>
                          </a:stretch>
                        </pic:blipFill>
                        <pic:spPr>
                          <a:xfrm>
                            <a:off x="0" y="0"/>
                            <a:ext cx="3017520" cy="1768243"/>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06881"/>
                  <wp:docPr id="12" name="Picture 12"/>
                  <wp:cNvGraphicFramePr>
                    <a:graphicFrameLocks noChangeAspect="1"/>
                  </wp:cNvGraphicFramePr>
                  <a:graphic>
                    <a:graphicData uri="http://schemas.openxmlformats.org/drawingml/2006/picture">
                      <pic:pic>
                        <pic:nvPicPr>
                          <pic:cNvPr id="0" name="figura_12.png"/>
                          <pic:cNvPicPr/>
                        </pic:nvPicPr>
                        <pic:blipFill>
                          <a:blip r:embed="rId22"/>
                          <a:stretch>
                            <a:fillRect/>
                          </a:stretch>
                        </pic:blipFill>
                        <pic:spPr>
                          <a:xfrm>
                            <a:off x="0" y="0"/>
                            <a:ext cx="3017520" cy="16068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11: EV/EBITDA vs. Margen: Ubicación de Aluar frente a pares internacionales (Alcoa, Hydro, Chalco).</w:t>
            </w:r>
          </w:p>
        </w:tc>
        <w:tc>
          <w:tcPr>
            <w:tcW w:type="dxa" w:w="4896"/>
            <w:tcMar>
              <w:top w:w="40" w:type="dxa"/>
              <w:bottom w:w="40" w:type="dxa"/>
              <w:left w:w="40" w:type="dxa"/>
              <w:right w:w="40" w:type="dxa"/>
            </w:tcMar>
          </w:tcPr>
          <w:p>
            <w:pPr>
              <w:spacing w:after="80"/>
              <w:jc w:val="left"/>
            </w:pPr>
            <w:r>
              <w:rPr>
                <w:rFonts w:ascii="Georgia" w:hAnsi="Georgia"/>
                <w:color w:val="4A4A4A"/>
                <w:sz w:val="16"/>
              </w:rPr>
              <w:t>Figura 12: EBITDA Histórico y Proyectado: Recuperación operativa y desapalancamiento tras el pico de CAPEX.</w:t>
            </w:r>
          </w:p>
        </w:tc>
      </w:tr>
    </w:tbl>
    <w:p>
      <w:pPr>
        <w:spacing w:after="40"/>
      </w:pPr>
    </w:p>
    <w:p>
      <w:pPr>
        <w:keepNext/>
        <w:spacing w:before="200" w:after="60"/>
      </w:pPr>
      <w:r>
        <w:rPr>
          <w:rFonts w:ascii="Georgia" w:hAnsi="Georgia"/>
          <w:b/>
          <w:color w:val="1E3A8A"/>
          <w:sz w:val="22"/>
        </w:rPr>
        <w:t>5.2 Trayectoria de Desapalancamiento Financiero</w:t>
      </w:r>
    </w:p>
    <w:p>
      <w:pPr>
        <w:spacing w:before="0" w:after="60" w:line="276" w:lineRule="auto"/>
      </w:pPr>
      <w:r>
        <w:rPr>
          <w:rFonts w:ascii="Georgia" w:hAnsi="Georgia"/>
          <w:color w:val="0F172A"/>
          <w:sz w:val="19"/>
        </w:rPr>
        <w:t>El desembolso en bienes de uso durante FY2025 (USD 243,9 MM) elevó la Deuda Neta a USD 525,8 MM (3,22x EBITDA). Con la moderación de inversiones hacia niveles de mantenimiento (~USD 90–103 MM/año), el flujo libre de caja proyectado permite recomprimir la Deuda Neta / EBITDA a &lt;1,0x hacia FY2028E.</w:t>
      </w:r>
    </w:p>
    <w:p>
      <w:pPr>
        <w:keepNext/>
        <w:spacing w:before="120" w:after="40"/>
      </w:pPr>
      <w:r>
        <w:rPr>
          <w:rFonts w:ascii="Georgia" w:hAnsi="Georgia"/>
          <w:b/>
          <w:color w:val="0D233A"/>
          <w:sz w:val="18"/>
        </w:rPr>
        <w:t>Tabla: Múltiplos Financieros de Empresas Comparables del Sector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600"/>
            <w:shd w:fill="F1F5F9"/>
            <w:tcMar>
              <w:top w:w="80" w:type="dxa"/>
              <w:bottom w:w="80" w:type="dxa"/>
              <w:left w:w="100" w:type="dxa"/>
              <w:right w:w="100" w:type="dxa"/>
            </w:tcMar>
          </w:tcPr>
          <w:p>
            <w:pPr>
              <w:spacing w:before="60" w:after="60"/>
              <w:jc w:val="left"/>
            </w:pPr>
            <w:r/>
            <w:r>
              <w:rPr>
                <w:rFonts w:ascii="Georgia" w:hAnsi="Georgia"/>
                <w:b/>
                <w:color w:val="0D233A"/>
                <w:sz w:val="17"/>
              </w:rPr>
              <w:t>Compañía</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Ticker</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EV/EBITDA (x)</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Margen EBITDA</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Deuda Neta/EBITDA</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Aluar S.A.I.C. (LTM / Fwd)</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ALUA.BA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13,4x / 5,2x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Alcoa Corp.</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AA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8,1x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Norsk Hydro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NHY.OL</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Chalco</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2600.HK</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5,8x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3,80x</w:t>
            </w:r>
          </w:p>
        </w:tc>
      </w:tr>
      <w:tr>
        <w:tc>
          <w:tcPr>
            <w:tcW w:type="dxa" w:w="3600"/>
            <w:tcMar>
              <w:top w:w="60" w:type="dxa"/>
              <w:bottom w:w="60" w:type="dxa"/>
              <w:left w:w="100" w:type="dxa"/>
              <w:right w:w="100" w:type="dxa"/>
            </w:tcMar>
          </w:tcPr>
          <w:p>
            <w:pPr>
              <w:spacing w:before="40" w:after="40"/>
              <w:jc w:val="left"/>
            </w:pPr>
            <w:r/>
            <w:r>
              <w:rPr>
                <w:rFonts w:ascii="Georgia" w:hAnsi="Georgia"/>
                <w:color w:val="0F172A"/>
                <w:sz w:val="17"/>
              </w:rPr>
              <w:t>Mediana de Pares</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6,5x</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2,10x</w:t>
            </w:r>
          </w:p>
        </w:tc>
      </w:tr>
    </w:tbl>
    <w:p>
      <w:pPr>
        <w:spacing w:after="80"/>
      </w:pPr>
    </w:p>
    <w:p>
      <w:pPr>
        <w:keepNext/>
        <w:spacing w:before="280" w:after="80"/>
        <w:pBrd>
          <w:bottom w:val="single" w:sz="8" w:space="2" w:color="0D233A"/>
        </w:pBrd>
      </w:pPr>
      <w:r>
        <w:rPr>
          <w:rFonts w:ascii="Georgia" w:hAnsi="Georgia"/>
          <w:b/>
          <w:color w:val="0D233A"/>
          <w:sz w:val="26"/>
        </w:rPr>
        <w:t>6. Costo Promedio Ponderado del Capital (WACC) y Factor λ</w:t>
      </w:r>
    </w:p>
    <w:p>
      <w:pPr>
        <w:keepNext/>
        <w:spacing w:before="200" w:after="60"/>
      </w:pPr>
      <w:r>
        <w:rPr>
          <w:rFonts w:ascii="Georgia" w:hAnsi="Georgia"/>
          <w:b/>
          <w:color w:val="1E3A8A"/>
          <w:sz w:val="22"/>
        </w:rPr>
        <w:t>6.1 Formulación y Estimación del WACC</w:t>
      </w:r>
    </w:p>
    <w:p>
      <w:pPr>
        <w:spacing w:before="80" w:after="80"/>
        <w:jc w:val="center"/>
      </w:pPr>
      <w:r>
        <w:rPr>
          <w:rFonts w:ascii="Cambria Math" w:hAnsi="Cambria Math"/>
          <w:b/>
          <w:color w:val="0D233A"/>
          <w:sz w:val="21"/>
        </w:rPr>
        <w:t xml:space="preserve">   WACC = Ke × (E / V) + Kd × (1 - t) × (D / V)   </w:t>
      </w:r>
      <w:r>
        <w:rPr>
          <w:rFonts w:ascii="Georgia" w:hAnsi="Georgia"/>
          <w:i/>
          <w:color w:val="4A4A4A"/>
          <w:sz w:val="18"/>
        </w:rPr>
        <w:t xml:space="preserve">    (Formulación WACC)</w:t>
      </w:r>
    </w:p>
    <w:p>
      <w:pPr>
        <w:spacing w:before="80" w:after="80"/>
        <w:jc w:val="center"/>
      </w:pPr>
      <w:r>
        <w:rPr>
          <w:rFonts w:ascii="Cambria Math" w:hAnsi="Cambria Math"/>
          <w:b/>
          <w:color w:val="0D233A"/>
          <w:sz w:val="21"/>
        </w:rPr>
        <w:t xml:space="preserve">   WACC = 9,30% × 0,6729 + 3,80% × (1 - 0,35) × 0,3271 = 6,26% + 0,81% = 7,06%   </w:t>
      </w:r>
      <w:r>
        <w:rPr>
          <w:rFonts w:ascii="Georgia" w:hAnsi="Georgia"/>
          <w:i/>
          <w:color w:val="4A4A4A"/>
          <w:sz w:val="18"/>
        </w:rPr>
        <w:t xml:space="preserve">    (Cálculo del WACC)</w:t>
      </w:r>
    </w:p>
    <w:p>
      <w:pPr>
        <w:keepNext/>
        <w:spacing w:before="200" w:after="60"/>
      </w:pPr>
      <w:r>
        <w:rPr>
          <w:rFonts w:ascii="Georgia" w:hAnsi="Georgia"/>
          <w:b/>
          <w:color w:val="1E3A8A"/>
          <w:sz w:val="22"/>
        </w:rPr>
        <w:t>6.2 Deducción del Beta en Cuatro Pasos (OLS → Blume → Hamada)</w:t>
      </w:r>
    </w:p>
    <w:p>
      <w:pPr>
        <w:spacing w:before="0" w:after="60" w:line="276" w:lineRule="auto"/>
      </w:pPr>
      <w:r>
        <w:rPr>
          <w:rFonts w:ascii="Georgia" w:hAnsi="Georgia"/>
          <w:color w:val="0F172A"/>
          <w:sz w:val="19"/>
        </w:rPr>
        <w:t>1. Beta OLS Histórico: Regresión lineal diaria de 10 años (N=2.376 ruedas) de ALUA (en USD CCL) contra el índice S&amp;P 500 arrojó β_OLS = 0,8420 (SE = 0,0563, R² = 8,60%).</w:t>
      </w:r>
    </w:p>
    <w:p>
      <w:pPr>
        <w:spacing w:before="0" w:after="60" w:line="276" w:lineRule="auto"/>
      </w:pPr>
      <w:r>
        <w:rPr>
          <w:rFonts w:ascii="Georgia" w:hAnsi="Georgia"/>
          <w:color w:val="0F172A"/>
          <w:sz w:val="19"/>
        </w:rPr>
        <w:t>2. Ajuste de Blume (1975): Corrección por reversión a la media del riesgo sistemático: β_Blume = (2/3) × 0,8420 + 1/3 = 0,8947.</w:t>
      </w:r>
    </w:p>
    <w:p>
      <w:pPr>
        <w:spacing w:before="0" w:after="60" w:line="276" w:lineRule="auto"/>
      </w:pPr>
      <w:r>
        <w:rPr>
          <w:rFonts w:ascii="Georgia" w:hAnsi="Georgia"/>
          <w:color w:val="0F172A"/>
          <w:sz w:val="19"/>
        </w:rPr>
        <w:t>3. Desapalancamiento por Hamada (1972): Con el ratio D/E histórico mediano (0,5036): β_U = 0,8947 / [1 + (1 - 0,35) × 0,5036] = 0,6745.</w:t>
      </w:r>
    </w:p>
    <w:p>
      <w:pPr>
        <w:spacing w:before="0" w:after="60" w:line="276" w:lineRule="auto"/>
      </w:pPr>
      <w:r>
        <w:rPr>
          <w:rFonts w:ascii="Georgia" w:hAnsi="Georgia"/>
          <w:color w:val="0F172A"/>
          <w:sz w:val="19"/>
        </w:rPr>
        <w:t>4. Reapalancamiento al D/E Objetivo (0,4860): β_L = 0,6745 × [1 + (1 - 0,35) × 0,4860] = 0,8876.</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8528"/>
                  <wp:docPr id="13" name="Picture 13"/>
                  <wp:cNvGraphicFramePr>
                    <a:graphicFrameLocks noChangeAspect="1"/>
                  </wp:cNvGraphicFramePr>
                  <a:graphic>
                    <a:graphicData uri="http://schemas.openxmlformats.org/drawingml/2006/picture">
                      <pic:pic>
                        <pic:nvPicPr>
                          <pic:cNvPr id="0" name="figura_13.png"/>
                          <pic:cNvPicPr/>
                        </pic:nvPicPr>
                        <pic:blipFill>
                          <a:blip r:embed="rId23"/>
                          <a:stretch>
                            <a:fillRect/>
                          </a:stretch>
                        </pic:blipFill>
                        <pic:spPr>
                          <a:xfrm>
                            <a:off x="0" y="0"/>
                            <a:ext cx="3017520" cy="158852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9851"/>
                  <wp:docPr id="14" name="Picture 14"/>
                  <wp:cNvGraphicFramePr>
                    <a:graphicFrameLocks noChangeAspect="1"/>
                  </wp:cNvGraphicFramePr>
                  <a:graphic>
                    <a:graphicData uri="http://schemas.openxmlformats.org/drawingml/2006/picture">
                      <pic:pic>
                        <pic:nvPicPr>
                          <pic:cNvPr id="0" name="figura_14.png"/>
                          <pic:cNvPicPr/>
                        </pic:nvPicPr>
                        <pic:blipFill>
                          <a:blip r:embed="rId24"/>
                          <a:stretch>
                            <a:fillRect/>
                          </a:stretch>
                        </pic:blipFill>
                        <pic:spPr>
                          <a:xfrm>
                            <a:off x="0" y="0"/>
                            <a:ext cx="3017520" cy="170985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13: Secuencia del Beta: OLS (0,842) → Blume (0,895) → Desapalancado (0,675) → Hamada (β_L = 0,8876).</w:t>
            </w:r>
          </w:p>
        </w:tc>
        <w:tc>
          <w:tcPr>
            <w:tcW w:type="dxa" w:w="4896"/>
            <w:tcMar>
              <w:top w:w="40" w:type="dxa"/>
              <w:bottom w:w="40" w:type="dxa"/>
              <w:left w:w="40" w:type="dxa"/>
              <w:right w:w="40" w:type="dxa"/>
            </w:tcMar>
          </w:tcPr>
          <w:p>
            <w:pPr>
              <w:spacing w:after="80"/>
              <w:jc w:val="left"/>
            </w:pPr>
            <w:r>
              <w:rPr>
                <w:rFonts w:ascii="Georgia" w:hAnsi="Georgia"/>
                <w:color w:val="4A4A4A"/>
                <w:sz w:val="16"/>
              </w:rPr>
              <w:t>Figura 14: Composición del WACC: Costo del equity Ke = 9,30%, deuda post-tax Kd = 2,47%, resultando en 7,06%.</w:t>
            </w:r>
          </w:p>
        </w:tc>
      </w:tr>
    </w:tbl>
    <w:p>
      <w:pPr>
        <w:spacing w:after="40"/>
      </w:pPr>
    </w:p>
    <w:p>
      <w:pPr>
        <w:keepNext/>
        <w:spacing w:before="200" w:after="60"/>
      </w:pPr>
      <w:r>
        <w:rPr>
          <w:rFonts w:ascii="Georgia" w:hAnsi="Georgia"/>
          <w:b/>
          <w:color w:val="1E3A8A"/>
          <w:sz w:val="22"/>
        </w:rPr>
        <w:t>6.3 Fundamentación del Factor de Exposición Soberana λ = 0,20</w:t>
      </w:r>
    </w:p>
    <w:p>
      <w:pPr>
        <w:spacing w:before="80" w:after="80"/>
        <w:jc w:val="center"/>
      </w:pPr>
      <w:r>
        <w:rPr>
          <w:rFonts w:ascii="Cambria Math" w:hAnsi="Cambria Math"/>
          <w:b/>
          <w:color w:val="0D233A"/>
          <w:sz w:val="21"/>
        </w:rPr>
        <w:t xml:space="preserve">   Ke = Rf + β_L × ERP + λ × EMBI+ = 4,70% + 0,8876 × 4,18% + 0,20 × 4,41% = 9,30%   </w:t>
      </w:r>
      <w:r>
        <w:rPr>
          <w:rFonts w:ascii="Georgia" w:hAnsi="Georgia"/>
          <w:i/>
          <w:color w:val="4A4A4A"/>
          <w:sz w:val="18"/>
        </w:rPr>
        <w:t xml:space="preserve">    (CAPM con Factor λ)</w:t>
      </w:r>
    </w:p>
    <w:p>
      <w:pPr>
        <w:spacing w:before="0" w:after="60" w:line="276" w:lineRule="auto"/>
      </w:pPr>
      <w:r>
        <w:rPr>
          <w:rFonts w:ascii="Georgia" w:hAnsi="Georgia"/>
          <w:color w:val="0F172A"/>
          <w:sz w:val="19"/>
        </w:rPr>
        <w:t>El factor λ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pPr>
        <w:keepNext/>
        <w:spacing w:before="120" w:after="40"/>
      </w:pPr>
      <w:r>
        <w:rPr>
          <w:rFonts w:ascii="Georgia" w:hAnsi="Georgia"/>
          <w:b/>
          <w:color w:val="0D233A"/>
          <w:sz w:val="18"/>
        </w:rPr>
        <w:t>Tabla: Sensibilidad del Costo de Capital y Precio Objetivo ante Variaciones en λ</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Parámetro de Riesgo País</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0,20 (Caso Base)</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0,50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0,75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λ = 1,00 (Sin Cobertura)</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Prima por Riesgo País (λ × EMBI+)</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0,88%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2,21%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4,41%</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Costo del Equity (Ke)</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9,30%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10,63%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11,73%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12,83%</w:t>
            </w:r>
          </w:p>
        </w:tc>
      </w:tr>
      <w:tr>
        <w:tc>
          <w:tcPr>
            <w:tcW w:type="dxa" w:w="3744"/>
            <w:tcMar>
              <w:top w:w="60" w:type="dxa"/>
              <w:bottom w:w="60" w:type="dxa"/>
              <w:left w:w="100" w:type="dxa"/>
              <w:right w:w="100" w:type="dxa"/>
            </w:tcMar>
          </w:tcPr>
          <w:p>
            <w:pPr>
              <w:spacing w:before="40" w:after="40"/>
              <w:jc w:val="left"/>
            </w:pPr>
            <w:r/>
            <w:r>
              <w:rPr>
                <w:rFonts w:ascii="Georgia" w:hAnsi="Georgia"/>
                <w:b/>
                <w:color w:val="0D233A"/>
                <w:sz w:val="17"/>
              </w:rPr>
              <w:t>WACC Resultante (USD)</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7,96%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8,70%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9,45%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Precio Objetivo Base (ARS)</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1.236,00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915,00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812,00</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Retorno Esperado vs. Spot (ARS 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+25,8%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-17,4%</w:t>
            </w:r>
          </w:p>
        </w:tc>
      </w:tr>
    </w:tbl>
    <w:p>
      <w:pPr>
        <w:spacing w:after="80"/>
      </w:pPr>
    </w:p>
    <w:p>
      <w:pPr>
        <w:keepNext/>
        <w:spacing w:before="280" w:after="80"/>
        <w:pBrd>
          <w:bottom w:val="single" w:sz="8" w:space="2" w:color="0D233A"/>
        </w:pBrd>
      </w:pPr>
      <w:r>
        <w:rPr>
          <w:rFonts w:ascii="Georgia" w:hAnsi="Georgia"/>
          <w:b/>
          <w:color w:val="0D233A"/>
          <w:sz w:val="26"/>
        </w:rPr>
        <w:t>7. Creación de Valor Económico (EVA) y Disciplina Terminal</w:t>
      </w:r>
    </w:p>
    <w:p>
      <w:pPr>
        <w:keepNext/>
        <w:spacing w:before="200" w:after="60"/>
      </w:pPr>
      <w:r>
        <w:rPr>
          <w:rFonts w:ascii="Georgia" w:hAnsi="Georgia"/>
          <w:b/>
          <w:color w:val="1E3A8A"/>
          <w:sz w:val="22"/>
        </w:rPr>
        <w:t>7.1 Evolución del EVA y Efecto del Capital Invertido</w:t>
      </w:r>
    </w:p>
    <w:p>
      <w:pPr>
        <w:spacing w:before="0" w:after="60" w:line="276" w:lineRule="auto"/>
      </w:pPr>
      <w:r>
        <w:rPr>
          <w:rFonts w:ascii="Georgia" w:hAnsi="Georgia"/>
          <w:color w:val="0F172A"/>
          <w:sz w:val="19"/>
        </w:rPr>
        <w:t>El Valor Económico Agregado (EVA_t = (ROIC_t - WACC) ×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pPr>
        <w:keepNext/>
        <w:spacing w:before="120" w:after="40"/>
      </w:pPr>
      <w:r>
        <w:rPr>
          <w:rFonts w:ascii="Georgia" w:hAnsi="Georgia"/>
          <w:b/>
          <w:color w:val="0D233A"/>
          <w:sz w:val="18"/>
        </w:rPr>
        <w:t>Tabla: Trayectoria Histórica y Proyectada de Creación de Valor (EVA,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296"/>
        <w:gridCol w:w="1296"/>
        <w:gridCol w:w="1296"/>
        <w:gridCol w:w="1296"/>
        <w:gridCol w:w="1296"/>
        <w:gridCol w:w="1296"/>
        <w:gridCol w:w="1296"/>
        <w:gridCol w:w="1296"/>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de Valor</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Terminal (2030E)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(USD MM)</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1.919,3</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 (NOPAT / NOA)</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Spread (ROIC - WACC)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-3,33%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+0,44%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+0,88%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-3,54%</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0,00%</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EVA (USD MM)</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-27,9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63,7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11,0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-60,3</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0,0</w:t>
            </w:r>
          </w:p>
        </w:tc>
      </w:tr>
    </w:tbl>
    <w:p>
      <w:pPr>
        <w:spacing w:after="80"/>
      </w:pPr>
    </w:p>
    <w:p>
      <w:pPr>
        <w:keepNext/>
        <w:spacing w:before="200" w:after="60"/>
      </w:pPr>
      <w:r>
        <w:rPr>
          <w:rFonts w:ascii="Georgia" w:hAnsi="Georgia"/>
          <w:b/>
          <w:color w:val="1E3A8A"/>
          <w:sz w:val="22"/>
        </w:rPr>
        <w:t>7.2 Criterios Metodológicos: Caso Base Dumrauf vs. Cota de Reinversión Damodaran</w:t>
      </w:r>
    </w:p>
    <w:p>
      <w:pPr>
        <w:spacing w:before="0" w:after="60" w:line="276" w:lineRule="auto"/>
      </w:pPr>
      <w:r>
        <w:rPr>
          <w:rFonts w:ascii="Georgia" w:hAnsi="Georgia"/>
          <w:color w:val="0F172A"/>
          <w:sz w:val="19"/>
        </w:rPr>
        <w:t>• Caso Base Oficial (Dumrauf, Cap. 14): En estado estacionario a plena capacidad (460 kt), CAPEX = D&amp;A y ΔNWC = 0, por lo que FCFF_terminal = NOPAT_2030 = USD 135,5 MM. El valor terminal descontado resulta TV = (135,5 × 1,02) / (0,0706 - 0,02) = USD 2.731,4 MM, determinando el precio objetivo oficial de ARS 1.236,00.</w:t>
      </w:r>
    </w:p>
    <w:p>
      <w:pPr>
        <w:spacing w:before="0" w:after="60" w:line="276" w:lineRule="auto"/>
      </w:pPr>
      <w:r>
        <w:rPr>
          <w:rFonts w:ascii="Georgia" w:hAnsi="Georgia"/>
          <w:color w:val="0F172A"/>
          <w:sz w:val="19"/>
        </w:rPr>
        <w:t>• Cota de Reinversión (Damodaran, ROIC → WACC): Asumiendo una tasa de reinversión implícita RR = g / WACC = 2,0% / 7,06% = 28,3%, el flujo terminal se ajusta a NOPAT × (1 - RR) = USD 97,1 MM, arrojando un precio objetivo de ARS 993,00, que se adopta como cota conservadora de control.</w:t>
      </w:r>
    </w:p>
    <w:p>
      <w:pPr>
        <w:keepNext/>
        <w:spacing w:before="280" w:after="80"/>
        <w:pBrd>
          <w:bottom w:val="single" w:sz="8" w:space="2" w:color="0D233A"/>
        </w:pBrd>
      </w:pPr>
      <w:r>
        <w:rPr>
          <w:rFonts w:ascii="Georgia" w:hAnsi="Georgia"/>
          <w:b/>
          <w:color w:val="0D233A"/>
          <w:sz w:val="26"/>
        </w:rPr>
        <w:t>8. Puente de Valuación: Desglose de Enterprise Value a Equity Value</w:t>
      </w:r>
    </w:p>
    <w:p>
      <w:pPr>
        <w:keepNext/>
        <w:spacing w:before="200" w:after="60"/>
      </w:pPr>
      <w:r>
        <w:rPr>
          <w:rFonts w:ascii="Georgia" w:hAnsi="Georgia"/>
          <w:b/>
          <w:color w:val="1E3A8A"/>
          <w:sz w:val="22"/>
        </w:rPr>
        <w:t>8.1 Composición del Enterprise Value</w:t>
      </w:r>
    </w:p>
    <w:p>
      <w:pPr>
        <w:spacing w:before="0" w:after="60" w:line="276" w:lineRule="auto"/>
      </w:pPr>
      <w:r>
        <w:rPr>
          <w:rFonts w:ascii="Georgia" w:hAnsi="Georgia"/>
          <w:color w:val="0F172A"/>
          <w:sz w:val="19"/>
        </w:rPr>
        <w:t>El Enterprise Value estimado asciende a USD 3.951 MM.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Equity Value de USD 2.186 MM, equivalente a ARS 1.236,00 por acción al tipo de cambio CCL de 1.584,25.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2552"/>
                  <wp:docPr id="15" name="Picture 15"/>
                  <wp:cNvGraphicFramePr>
                    <a:graphicFrameLocks noChangeAspect="1"/>
                  </wp:cNvGraphicFramePr>
                  <a:graphic>
                    <a:graphicData uri="http://schemas.openxmlformats.org/drawingml/2006/picture">
                      <pic:pic>
                        <pic:nvPicPr>
                          <pic:cNvPr id="0" name="figura_15.png"/>
                          <pic:cNvPicPr/>
                        </pic:nvPicPr>
                        <pic:blipFill>
                          <a:blip r:embed="rId25"/>
                          <a:stretch>
                            <a:fillRect/>
                          </a:stretch>
                        </pic:blipFill>
                        <pic:spPr>
                          <a:xfrm>
                            <a:off x="0" y="0"/>
                            <a:ext cx="3017520" cy="1582552"/>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3035"/>
                  <wp:docPr id="16" name="Picture 16"/>
                  <wp:cNvGraphicFramePr>
                    <a:graphicFrameLocks noChangeAspect="1"/>
                  </wp:cNvGraphicFramePr>
                  <a:graphic>
                    <a:graphicData uri="http://schemas.openxmlformats.org/drawingml/2006/picture">
                      <pic:pic>
                        <pic:nvPicPr>
                          <pic:cNvPr id="0" name="figura_16.png"/>
                          <pic:cNvPicPr/>
                        </pic:nvPicPr>
                        <pic:blipFill>
                          <a:blip r:embed="rId26"/>
                          <a:stretch>
                            <a:fillRect/>
                          </a:stretch>
                        </pic:blipFill>
                        <pic:spPr>
                          <a:xfrm>
                            <a:off x="0" y="0"/>
                            <a:ext cx="3017520" cy="173303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15: Puente de Valuación (Waterfall): De Enterprise Value (USD 3.951 MM) a Equity Value (USD 2.186 MM) y Target.</w:t>
            </w:r>
          </w:p>
        </w:tc>
        <w:tc>
          <w:tcPr>
            <w:tcW w:type="dxa" w:w="4896"/>
            <w:tcMar>
              <w:top w:w="40" w:type="dxa"/>
              <w:bottom w:w="40" w:type="dxa"/>
              <w:left w:w="40" w:type="dxa"/>
              <w:right w:w="40" w:type="dxa"/>
            </w:tcMar>
          </w:tcPr>
          <w:p>
            <w:pPr>
              <w:spacing w:after="80"/>
              <w:jc w:val="left"/>
            </w:pPr>
            <w:r>
              <w:rPr>
                <w:rFonts w:ascii="Georgia" w:hAnsi="Georgia"/>
                <w:color w:val="4A4A4A"/>
                <w:sz w:val="16"/>
              </w:rPr>
              <w:t>Figura 16: Capital de Trabajo Operativo: Trayectoria de DIO, DSO, DPO y Ciclo de Conversión de Efectivo (CCC).</w:t>
            </w:r>
          </w:p>
        </w:tc>
      </w:tr>
    </w:tbl>
    <w:p>
      <w:pPr>
        <w:spacing w:after="40"/>
      </w:pPr>
    </w:p>
    <w:p>
      <w:pPr>
        <w:keepNext/>
        <w:spacing w:before="200" w:after="60"/>
      </w:pPr>
      <w:r>
        <w:rPr>
          <w:rFonts w:ascii="Georgia" w:hAnsi="Georgia"/>
          <w:b/>
          <w:color w:val="1E3A8A"/>
          <w:sz w:val="22"/>
        </w:rPr>
        <w:t>8.2 Evolución del Ciclo de Conversión de Efectivo (CCC)</w:t>
      </w:r>
    </w:p>
    <w:p>
      <w:pPr>
        <w:spacing w:before="0" w:after="60" w:line="276" w:lineRule="auto"/>
      </w:pPr>
      <w:r>
        <w:rPr>
          <w:rFonts w:ascii="Georgia" w:hAnsi="Georgia"/>
          <w:color w:val="0F172A"/>
          <w:sz w:val="19"/>
        </w:rPr>
        <w:t>El Ciclo de Conversión de Efectivo se comprime desde 79 días en FY2023 a 64 días proyectados, producto de la normalización en días de inventario (DIO) y cobranza (DSO), favoreciendo la liquidez para el servicio de pasivos.</w:t>
      </w:r>
    </w:p>
    <w:p>
      <w:pPr>
        <w:keepNext/>
        <w:spacing w:before="280" w:after="80"/>
        <w:pBrd>
          <w:bottom w:val="single" w:sz="8" w:space="2" w:color="0D233A"/>
        </w:pBrd>
      </w:pPr>
      <w:r>
        <w:rPr>
          <w:rFonts w:ascii="Georgia" w:hAnsi="Georgia"/>
          <w:b/>
          <w:color w:val="0D233A"/>
          <w:sz w:val="26"/>
        </w:rPr>
        <w:t>9. Análisis Estratégico DuPont y Fuerzas Competitivas</w:t>
      </w:r>
    </w:p>
    <w:p>
      <w:pPr>
        <w:keepNext/>
        <w:spacing w:before="200" w:after="60"/>
      </w:pPr>
      <w:r>
        <w:rPr>
          <w:rFonts w:ascii="Georgia" w:hAnsi="Georgia"/>
          <w:b/>
          <w:color w:val="1E3A8A"/>
          <w:sz w:val="22"/>
        </w:rPr>
        <w:t>9.1 Descomposición DuPont de Cinco Factores (FY2020–FY2025)</w:t>
      </w:r>
    </w:p>
    <w:p>
      <w:pPr>
        <w:spacing w:before="80" w:after="80"/>
        <w:jc w:val="center"/>
      </w:pPr>
      <w:r>
        <w:rPr>
          <w:rFonts w:ascii="Cambria Math" w:hAnsi="Cambria Math"/>
          <w:b/>
          <w:color w:val="0D233A"/>
          <w:sz w:val="21"/>
        </w:rPr>
        <w:t xml:space="preserve">   ROE = (RN / EBT) × (EBT / EBIT) × (EBIT / Ventas) × (Ventas / Activos) × (Activos / PN)   </w:t>
      </w:r>
      <w:r>
        <w:rPr>
          <w:rFonts w:ascii="Georgia" w:hAnsi="Georgia"/>
          <w:i/>
          <w:color w:val="4A4A4A"/>
          <w:sz w:val="18"/>
        </w:rPr>
        <w:t xml:space="preserve">    (DuPont 5 Factores)</w:t>
      </w:r>
    </w:p>
    <w:p>
      <w:pPr>
        <w:spacing w:before="0" w:after="60" w:line="276" w:lineRule="auto"/>
      </w:pPr>
      <w:r>
        <w:rPr>
          <w:rFonts w:ascii="Georgia" w:hAnsi="Georgia"/>
          <w:color w:val="0F172A"/>
          <w:sz w:val="19"/>
        </w:rPr>
        <w:t>En FY2025, el factor impositivo se redujo a 15,67% (alícuota efectiva del 84,3% por el impacto del ajuste por inflación impositivo NIC 29), situando el ROE en 0,83% aun cuando el margen operativo EBIT se ubicó en 8,44%.</w:t>
      </w:r>
    </w:p>
    <w:p>
      <w:pPr>
        <w:keepNext/>
        <w:spacing w:before="120" w:after="40"/>
      </w:pPr>
      <w:r>
        <w:rPr>
          <w:rFonts w:ascii="Georgia" w:hAnsi="Georgia"/>
          <w:b/>
          <w:color w:val="0D233A"/>
          <w:sz w:val="18"/>
        </w:rPr>
        <w:t>Tabla: Descomposición DuPont de 3 Factores (FY2020–FY2025)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744"/>
            <w:shd w:fill="F1F5F9"/>
            <w:tcMar>
              <w:top w:w="80" w:type="dxa"/>
              <w:bottom w:w="80" w:type="dxa"/>
              <w:left w:w="100" w:type="dxa"/>
              <w:right w:w="100" w:type="dxa"/>
            </w:tcMar>
          </w:tcPr>
          <w:p>
            <w:pPr>
              <w:spacing w:before="60" w:after="60"/>
              <w:jc w:val="left"/>
            </w:pPr>
            <w:r/>
            <w:r>
              <w:rPr>
                <w:rFonts w:ascii="Georgia" w:hAnsi="Georgia"/>
                <w:b/>
                <w:color w:val="0D233A"/>
                <w:sz w:val="17"/>
              </w:rPr>
              <w:t>Componente DuPont</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Margen Neto (RN / Ventas)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Rotación Activos (V / Activos)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0,79x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0,71x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0,63x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0,55x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Apalancamiento (Activos / PN)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1,74x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1,78x</w:t>
            </w:r>
          </w:p>
        </w:tc>
      </w:tr>
      <w:tr>
        <w:tc>
          <w:tcPr>
            <w:tcW w:type="dxa" w:w="3744"/>
            <w:tcMar>
              <w:top w:w="60" w:type="dxa"/>
              <w:bottom w:w="60" w:type="dxa"/>
              <w:left w:w="100" w:type="dxa"/>
              <w:right w:w="100" w:type="dxa"/>
            </w:tcMar>
          </w:tcPr>
          <w:p>
            <w:pPr>
              <w:spacing w:before="40" w:after="40"/>
              <w:jc w:val="left"/>
            </w:pPr>
            <w:r/>
            <w:r>
              <w:rPr>
                <w:rFonts w:ascii="Georgia" w:hAnsi="Georgia"/>
                <w:color w:val="0F172A"/>
                <w:sz w:val="17"/>
              </w:rPr>
              <w:t>ROE (Producto)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0,83%</w:t>
            </w:r>
          </w:p>
        </w:tc>
      </w:tr>
    </w:tbl>
    <w:p>
      <w:pPr>
        <w:spacing w:after="80"/>
      </w:pPr>
    </w:p>
    <w:p>
      <w:pPr>
        <w:keepNext/>
        <w:spacing w:before="200" w:after="60"/>
      </w:pPr>
      <w:r>
        <w:rPr>
          <w:rFonts w:ascii="Georgia" w:hAnsi="Georgia"/>
          <w:b/>
          <w:color w:val="1E3A8A"/>
          <w:sz w:val="22"/>
        </w:rPr>
        <w:t>9.2 Las Cinco Fuerzas de Porter y Régimen RIGI</w:t>
      </w:r>
    </w:p>
    <w:p>
      <w:pPr>
        <w:spacing w:before="0" w:after="60" w:line="276" w:lineRule="auto"/>
      </w:pPr>
      <w:r>
        <w:rPr>
          <w:rFonts w:ascii="Georgia" w:hAnsi="Georgia"/>
          <w:color w:val="0F172A"/>
          <w:sz w:val="19"/>
        </w:rPr>
        <w:t>• Amenaza de Nuevos Entrantes (Muy Baja): Elevada inversión de capital (&gt; USD 2.500 MM para un complejo nuevo) y acceso restringido a fuentes hidroeléctricas dedicadas.</w:t>
      </w:r>
    </w:p>
    <w:p>
      <w:pPr>
        <w:spacing w:before="0" w:after="60" w:line="276" w:lineRule="auto"/>
      </w:pPr>
      <w:r>
        <w:rPr>
          <w:rFonts w:ascii="Georgia" w:hAnsi="Georgia"/>
          <w:color w:val="0F172A"/>
          <w:sz w:val="19"/>
        </w:rPr>
        <w:t>• Poder de Negociación de Proveedores (Bajo a Medio): Concentración en alúmina importada mitigada por contratos de suministro diversificados; insumo energético 96% autogenerado.</w:t>
      </w:r>
    </w:p>
    <w:p>
      <w:pPr>
        <w:spacing w:before="0" w:after="60" w:line="276" w:lineRule="auto"/>
      </w:pPr>
      <w:r>
        <w:rPr>
          <w:rFonts w:ascii="Georgia" w:hAnsi="Georgia"/>
          <w:color w:val="0F172A"/>
          <w:sz w:val="19"/>
        </w:rPr>
        <w:t>• Poder de Negociación de Clientes (Bajo): Exportaciones colocadas a precios internacionales tomadores LME; cuota del 60% en el mercado doméstico.</w:t>
      </w:r>
    </w:p>
    <w:p>
      <w:pPr>
        <w:spacing w:before="0" w:after="60" w:line="276" w:lineRule="auto"/>
      </w:pPr>
      <w:r>
        <w:rPr>
          <w:rFonts w:ascii="Georgia" w:hAnsi="Georgia"/>
          <w:color w:val="0F172A"/>
          <w:sz w:val="19"/>
        </w:rPr>
        <w:t>• Amenaza de Sustitutos (Baja): Propiedades mecánicas y reciclabilidad del aluminio difíciles de reemplazar en extrusión estructural y transporte.</w:t>
      </w:r>
    </w:p>
    <w:p>
      <w:pPr>
        <w:spacing w:before="0" w:after="60" w:line="276" w:lineRule="auto"/>
      </w:pPr>
      <w:r>
        <w:rPr>
          <w:rFonts w:ascii="Georgia" w:hAnsi="Georgia"/>
          <w:color w:val="0F172A"/>
          <w:sz w:val="19"/>
        </w:rPr>
        <w:t>• Rivalidad Competitiva (Media): Competencia internacional por costos; protección operativa en el primer cuartil C1.</w:t>
      </w:r>
    </w:p>
    <w:p>
      <w:pPr>
        <w:spacing w:before="0" w:after="60" w:line="276" w:lineRule="auto"/>
      </w:pPr>
      <w:r>
        <w:rPr>
          <w:rFonts w:ascii="Georgia" w:hAnsi="Georgia"/>
          <w:color w:val="0F172A"/>
          <w:sz w:val="19"/>
        </w:rPr>
        <w:t>• Marco Regulatorio / Régimen RIGI: El Régimen de Incentivos para Grandes Inversiones reduce la tasa corporativa del impuesto a las ganancias al 25% para nuevos desarrollos eólicos y elimina aranceles de importación en bienes de capital, optimizando el rendimiento de expansiones futuras.</w:t>
      </w:r>
    </w:p>
    <w:p>
      <w:pPr>
        <w:keepNext/>
        <w:spacing w:before="280" w:after="80"/>
        <w:pBrd>
          <w:bottom w:val="single" w:sz="8" w:space="2" w:color="0D233A"/>
        </w:pBrd>
      </w:pPr>
      <w:r>
        <w:rPr>
          <w:rFonts w:ascii="Georgia" w:hAnsi="Georgia"/>
          <w:b/>
          <w:color w:val="0D233A"/>
          <w:sz w:val="26"/>
        </w:rPr>
        <w:t>10. Análisis Financiero Histórico, Ratios Operativos y Cobertura</w:t>
      </w:r>
    </w:p>
    <w:p>
      <w:pPr>
        <w:keepNext/>
        <w:spacing w:before="200" w:after="60"/>
      </w:pPr>
      <w:r>
        <w:rPr>
          <w:rFonts w:ascii="Georgia" w:hAnsi="Georgia"/>
          <w:b/>
          <w:color w:val="1E3A8A"/>
          <w:sz w:val="22"/>
        </w:rPr>
        <w:t>10.1 Desempeño Operativo y Cobertura de Intereses</w:t>
      </w:r>
    </w:p>
    <w:p>
      <w:pPr>
        <w:spacing w:before="0" w:after="60" w:line="276" w:lineRule="auto"/>
      </w:pPr>
      <w:r>
        <w:rPr>
          <w:rFonts w:ascii="Georgia" w:hAnsi="Georgia"/>
          <w:color w:val="0F172A"/>
          <w:sz w:val="19"/>
        </w:rPr>
        <w:t>La serie histórica auditada demuestra la solidez operativa de Aluar en distintos momentos del ciclo macroeconómico. El ratio de cobertura de intereses (EBIT/Intereses) cerró en 3,53x en FY2025 tras el pico de endeudamiento financiero, con ratios de liquidez corriente por encima de 1,40x:</w:t>
      </w:r>
    </w:p>
    <w:p>
      <w:pPr>
        <w:keepNext/>
        <w:spacing w:before="120" w:after="40"/>
      </w:pPr>
      <w:r>
        <w:rPr>
          <w:rFonts w:ascii="Georgia" w:hAnsi="Georgia"/>
          <w:b/>
          <w:color w:val="0D233A"/>
          <w:sz w:val="18"/>
        </w:rPr>
        <w:t>Tabla: Estados Financieros y Ratios Operativos Históricos de Aluar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 Ejercicio</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915,85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14,94%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92,27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24,76%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126,19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19,48%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9,80%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0,84%</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525,76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ROE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22,64%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23,25%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10,68%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0,83%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Liquidez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2,92x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Cobertura Intereses (EBIT/Int.)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1,81x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107,80x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7,69x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8,62x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3,53x</w:t>
            </w:r>
          </w:p>
        </w:tc>
      </w:tr>
    </w:tbl>
    <w:p>
      <w:pPr>
        <w:spacing w:after="80"/>
      </w:pPr>
    </w:p>
    <w:p>
      <w:pPr>
        <w:keepNext/>
        <w:spacing w:before="280" w:after="80"/>
        <w:pBrd>
          <w:bottom w:val="single" w:sz="8" w:space="2" w:color="0D233A"/>
        </w:pBrd>
      </w:pPr>
      <w:r>
        <w:rPr>
          <w:rFonts w:ascii="Georgia" w:hAnsi="Georgia"/>
          <w:b/>
          <w:color w:val="0D233A"/>
          <w:sz w:val="26"/>
        </w:rPr>
        <w:t>11. Valuación Fundamental por Flujo de Fondos Descontados (DCF)</w:t>
      </w:r>
    </w:p>
    <w:p>
      <w:pPr>
        <w:keepNext/>
        <w:spacing w:before="200" w:after="60"/>
      </w:pPr>
      <w:r>
        <w:rPr>
          <w:rFonts w:ascii="Georgia" w:hAnsi="Georgia"/>
          <w:b/>
          <w:color w:val="1E3A8A"/>
          <w:sz w:val="22"/>
        </w:rPr>
        <w:t>11.1 Estructura del Modelo DCF y Valor de la Opción Real PEAL V</w:t>
      </w:r>
    </w:p>
    <w:p>
      <w:pPr>
        <w:spacing w:before="80" w:after="80"/>
        <w:jc w:val="center"/>
      </w:pPr>
      <w:r>
        <w:rPr>
          <w:rFonts w:ascii="Cambria Math" w:hAnsi="Cambria Math"/>
          <w:b/>
          <w:color w:val="0D233A"/>
          <w:sz w:val="21"/>
        </w:rPr>
        <w:t xml:space="preserve">   EV = Σ [FCFF_{2026+t} / (1 + WACC)^t] + TV / (1 + WACC)^4 = USD 3.951,0 MM   </w:t>
      </w:r>
      <w:r>
        <w:rPr>
          <w:rFonts w:ascii="Georgia" w:hAnsi="Georgia"/>
          <w:i/>
          <w:color w:val="4A4A4A"/>
          <w:sz w:val="18"/>
        </w:rPr>
        <w:t xml:space="preserve">    (Descuento DCF)</w:t>
      </w:r>
    </w:p>
    <w:p>
      <w:pPr>
        <w:spacing w:before="0" w:after="60" w:line="276" w:lineRule="auto"/>
      </w:pPr>
      <w:r>
        <w:rPr>
          <w:rFonts w:ascii="Georgia" w:hAnsi="Georgia"/>
          <w:color w:val="0F172A"/>
          <w:sz w:val="19"/>
        </w:rPr>
        <w:t>• Precio Objetivo DCF Caso Base: ARS 1.236,00 por acción (USD 0,78, +25,8% de retorno esperado).</w:t>
      </w:r>
    </w:p>
    <w:p>
      <w:pPr>
        <w:spacing w:before="0" w:after="60" w:line="276" w:lineRule="auto"/>
      </w:pPr>
      <w:r>
        <w:rPr>
          <w:rFonts w:ascii="Georgia" w:hAnsi="Georgia"/>
          <w:color w:val="0F172A"/>
          <w:sz w:val="19"/>
        </w:rPr>
        <w:t>• Opción Real PEAL V (Longstaff-Schwartz): Valúa la flexibilidad gerencial de diferir o ejecutar 312 MW eólicos adicionales mediante simulación por mínimos cuadrados (LSMC) sobre polinomios de Laguerre, aportando un valor aditivo de +ARS 19,60 por acción (+USD 0,01).</w:t>
      </w:r>
    </w:p>
    <w:p>
      <w:pPr>
        <w:spacing w:before="0" w:after="60" w:line="276" w:lineRule="auto"/>
      </w:pPr>
      <w:r>
        <w:rPr>
          <w:rFonts w:ascii="Georgia" w:hAnsi="Georgia"/>
          <w:color w:val="0F172A"/>
          <w:sz w:val="19"/>
        </w:rPr>
        <w:t>• Precio Objetivo Integrado (Base + Opción Real): ARS 1.255,60 por acción (USD 0,79, +27,8% de retorno esperado).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77399"/>
                  <wp:docPr id="17" name="Picture 17"/>
                  <wp:cNvGraphicFramePr>
                    <a:graphicFrameLocks noChangeAspect="1"/>
                  </wp:cNvGraphicFramePr>
                  <a:graphic>
                    <a:graphicData uri="http://schemas.openxmlformats.org/drawingml/2006/picture">
                      <pic:pic>
                        <pic:nvPicPr>
                          <pic:cNvPr id="0" name="figura_17.png"/>
                          <pic:cNvPicPr/>
                        </pic:nvPicPr>
                        <pic:blipFill>
                          <a:blip r:embed="rId27"/>
                          <a:stretch>
                            <a:fillRect/>
                          </a:stretch>
                        </pic:blipFill>
                        <pic:spPr>
                          <a:xfrm>
                            <a:off x="0" y="0"/>
                            <a:ext cx="3017520" cy="167739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4540"/>
                  <wp:docPr id="18" name="Picture 18"/>
                  <wp:cNvGraphicFramePr>
                    <a:graphicFrameLocks noChangeAspect="1"/>
                  </wp:cNvGraphicFramePr>
                  <a:graphic>
                    <a:graphicData uri="http://schemas.openxmlformats.org/drawingml/2006/picture">
                      <pic:pic>
                        <pic:nvPicPr>
                          <pic:cNvPr id="0" name="figura_18.png"/>
                          <pic:cNvPicPr/>
                        </pic:nvPicPr>
                        <pic:blipFill>
                          <a:blip r:embed="rId28"/>
                          <a:stretch>
                            <a:fillRect/>
                          </a:stretch>
                        </pic:blipFill>
                        <pic:spPr>
                          <a:xfrm>
                            <a:off x="0" y="0"/>
                            <a:ext cx="3017520" cy="174454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17: Sensibilidad al Riesgo Soberano: Impacto sobre WACC y Target en escenario de EMBI+ a 2.400 pb.</w:t>
            </w:r>
          </w:p>
        </w:tc>
        <w:tc>
          <w:tcPr>
            <w:tcW w:type="dxa" w:w="4896"/>
            <w:tcMar>
              <w:top w:w="40" w:type="dxa"/>
              <w:bottom w:w="40" w:type="dxa"/>
              <w:left w:w="40" w:type="dxa"/>
              <w:right w:w="40" w:type="dxa"/>
            </w:tcMar>
          </w:tcPr>
          <w:p>
            <w:pPr>
              <w:spacing w:after="80"/>
              <w:jc w:val="left"/>
            </w:pPr>
            <w:r>
              <w:rPr>
                <w:rFonts w:ascii="Georgia" w:hAnsi="Georgia"/>
                <w:color w:val="4A4A4A"/>
                <w:sz w:val="16"/>
              </w:rPr>
              <w:t>Figura 18: Rango de Precios Intrínsecos: Comparativa de estimaciones metodológicas vs. cotización Spot.</w:t>
            </w:r>
          </w:p>
        </w:tc>
      </w:tr>
    </w:tbl>
    <w:p>
      <w:pPr>
        <w:spacing w:after="40"/>
      </w:pPr>
    </w:p>
    <w:p>
      <w:pPr>
        <w:keepNext/>
        <w:spacing w:before="200" w:after="60"/>
      </w:pPr>
      <w:r>
        <w:rPr>
          <w:rFonts w:ascii="Georgia" w:hAnsi="Georgia"/>
          <w:b/>
          <w:color w:val="1E3A8A"/>
          <w:sz w:val="22"/>
        </w:rPr>
        <w:t>11.2 Marco de Escenarios Ponderados (Pesimista / Base / Optimista)</w:t>
      </w:r>
    </w:p>
    <w:p>
      <w:pPr>
        <w:keepNext/>
        <w:spacing w:before="120" w:after="40"/>
      </w:pPr>
      <w:r>
        <w:rPr>
          <w:rFonts w:ascii="Georgia" w:hAnsi="Georgia"/>
          <w:b/>
          <w:color w:val="0D233A"/>
          <w:sz w:val="18"/>
        </w:rPr>
        <w:t>Tabla: Marco de Escenarios: Supuestos Operativos y Precios Objetivos Resultantes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Variable</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Pesimista (25%)</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Base (50%)</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Optimista (25%)</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LME</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Caída hacia costo marginal global (~USD 1.900/t).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Nivel medio de equilibrio OU (USD 2.450–2.814/t).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LME sostenido &gt; USD 3.000/t por déficit de oferta.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Riesgo País (EMBI+)</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Rebote soberano a &gt; 800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Estabilización a largo plazo (≈ 441 pb).</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Compresión continua por debajo de 350 pb.</w:t>
            </w:r>
          </w:p>
        </w:tc>
      </w:tr>
      <w:tr>
        <w:tc>
          <w:tcPr>
            <w:tcW w:type="dxa" w:w="2592"/>
            <w:tcMar>
              <w:top w:w="60" w:type="dxa"/>
              <w:bottom w:w="60" w:type="dxa"/>
              <w:left w:w="100" w:type="dxa"/>
              <w:right w:w="100" w:type="dxa"/>
            </w:tcMar>
          </w:tcPr>
          <w:p>
            <w:pPr>
              <w:spacing w:before="40" w:after="40"/>
              <w:jc w:val="left"/>
            </w:pPr>
            <w:r/>
            <w:r>
              <w:rPr>
                <w:rFonts w:ascii="Georgia" w:hAnsi="Georgia"/>
                <w:b/>
                <w:color w:val="0D233A"/>
                <w:sz w:val="17"/>
              </w:rPr>
              <w:t>WACC / g</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9,0% / 1,5%</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7,06% / 2,0%</w:t>
            </w:r>
          </w:p>
        </w:tc>
        <w:tc>
          <w:tcPr>
            <w:tcW w:type="dxa" w:w="2592"/>
            <w:tcMar>
              <w:top w:w="60" w:type="dxa"/>
              <w:bottom w:w="60" w:type="dxa"/>
              <w:left w:w="100" w:type="dxa"/>
              <w:right w:w="100" w:type="dxa"/>
            </w:tcMar>
          </w:tcPr>
          <w:p>
            <w:pPr>
              <w:spacing w:before="40" w:after="40"/>
              <w:jc w:val="right"/>
            </w:pPr>
            <w:r/>
            <w:r>
              <w:rPr>
                <w:rFonts w:ascii="Georgia" w:hAnsi="Georgia"/>
                <w:b/>
                <w:color w:val="0D233A"/>
                <w:sz w:val="17"/>
              </w:rPr>
              <w:t>6,5% / 2,2%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Precio Objetivo (DCF)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781 (-20,5%)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1.236,00 (Caso Base)</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ARS 1.481 (+50,7%)</w:t>
            </w:r>
          </w:p>
        </w:tc>
      </w:tr>
    </w:tbl>
    <w:p>
      <w:pPr>
        <w:spacing w:after="80"/>
      </w:pPr>
    </w:p>
    <w:p>
      <w:pPr>
        <w:keepNext/>
        <w:spacing w:before="280" w:after="80"/>
        <w:pBrd>
          <w:bottom w:val="single" w:sz="8" w:space="2" w:color="0D233A"/>
        </w:pBrd>
      </w:pPr>
      <w:r>
        <w:rPr>
          <w:rFonts w:ascii="Georgia" w:hAnsi="Georgia"/>
          <w:b/>
          <w:color w:val="0D233A"/>
          <w:sz w:val="26"/>
        </w:rPr>
        <w:t>12. Análisis de Sensibilidad Bidimensional y Matriz de Rangos</w:t>
      </w:r>
    </w:p>
    <w:p>
      <w:pPr>
        <w:keepNext/>
        <w:spacing w:before="200" w:after="60"/>
      </w:pPr>
      <w:r>
        <w:rPr>
          <w:rFonts w:ascii="Georgia" w:hAnsi="Georgia"/>
          <w:b/>
          <w:color w:val="1E3A8A"/>
          <w:sz w:val="22"/>
        </w:rPr>
        <w:t>12.1 Sensibilidad Cruzada: WACC vs. Tasa de Crecimiento Terminal (g)</w:t>
      </w:r>
    </w:p>
    <w:p>
      <w:pPr>
        <w:spacing w:before="0" w:after="60" w:line="276" w:lineRule="auto"/>
      </w:pPr>
      <w:r>
        <w:rPr>
          <w:rFonts w:ascii="Georgia" w:hAnsi="Georgia"/>
          <w:color w:val="0F172A"/>
          <w:sz w:val="19"/>
        </w:rPr>
        <w:t>La matriz bidimensional confirma que la recomendación COMPRAR se mantiene válida para cualquier tasa WACC inferior a 8,0% con tasas de crecimiento terminal g ≥ 1,5%.</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1920"/>
                  <wp:docPr id="19" name="Picture 19"/>
                  <wp:cNvGraphicFramePr>
                    <a:graphicFrameLocks noChangeAspect="1"/>
                  </wp:cNvGraphicFramePr>
                  <a:graphic>
                    <a:graphicData uri="http://schemas.openxmlformats.org/drawingml/2006/picture">
                      <pic:pic>
                        <pic:nvPicPr>
                          <pic:cNvPr id="0" name="figura_19.png"/>
                          <pic:cNvPicPr/>
                        </pic:nvPicPr>
                        <pic:blipFill>
                          <a:blip r:embed="rId29"/>
                          <a:stretch>
                            <a:fillRect/>
                          </a:stretch>
                        </pic:blipFill>
                        <pic:spPr>
                          <a:xfrm>
                            <a:off x="0" y="0"/>
                            <a:ext cx="3017520" cy="15419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0" name="Picture 20"/>
                  <wp:cNvGraphicFramePr>
                    <a:graphicFrameLocks noChangeAspect="1"/>
                  </wp:cNvGraphicFramePr>
                  <a:graphic>
                    <a:graphicData uri="http://schemas.openxmlformats.org/drawingml/2006/picture">
                      <pic:pic>
                        <pic:nvPicPr>
                          <pic:cNvPr id="0" name="figura_20.png"/>
                          <pic:cNvPicPr/>
                        </pic:nvPicPr>
                        <pic:blipFill>
                          <a:blip r:embed="rId30"/>
                          <a:stretch>
                            <a:fillRect/>
                          </a:stretch>
                        </pic:blipFill>
                        <pic:spPr>
                          <a:xfrm>
                            <a:off x="0" y="0"/>
                            <a:ext cx="3017520" cy="173519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19: Matriz WACC vs. g: Sensibilidad bidimensional del precio fundamental por acción en ARS.</w:t>
            </w:r>
          </w:p>
        </w:tc>
        <w:tc>
          <w:tcPr>
            <w:tcW w:type="dxa" w:w="4896"/>
            <w:tcMar>
              <w:top w:w="40" w:type="dxa"/>
              <w:bottom w:w="40" w:type="dxa"/>
              <w:left w:w="40" w:type="dxa"/>
              <w:right w:w="40" w:type="dxa"/>
            </w:tcMar>
          </w:tcPr>
          <w:p>
            <w:pPr>
              <w:spacing w:after="80"/>
              <w:jc w:val="left"/>
            </w:pPr>
            <w:r>
              <w:rPr>
                <w:rFonts w:ascii="Georgia" w:hAnsi="Georgia"/>
                <w:color w:val="4A4A4A"/>
                <w:sz w:val="16"/>
              </w:rPr>
              <w:t>Figura 20: Simulación Monte Carlo (20.000 iteraciones): Distribución empírica con innovaciones t-Student (ν=4,2).</w:t>
            </w:r>
          </w:p>
        </w:tc>
      </w:tr>
    </w:tbl>
    <w:p>
      <w:pPr>
        <w:spacing w:after="40"/>
      </w:pPr>
    </w:p>
    <w:p>
      <w:pPr>
        <w:keepNext/>
        <w:spacing w:before="120" w:after="40"/>
      </w:pPr>
      <w:r>
        <w:rPr>
          <w:rFonts w:ascii="Georgia" w:hAnsi="Georgia"/>
          <w:b/>
          <w:color w:val="0D233A"/>
          <w:sz w:val="18"/>
        </w:rPr>
        <w:t>Tabla: Resumen de Precios Intrínsecos según Metodología (ARS/acción)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Valuación</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Mínimo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Central</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Máximo</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λ=1,0 (Sin Cobertura de Riesgo País)</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776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con Tasa de Reinversión Damodaran</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993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Caso Base Oficial (Dumrauf, λ=0,20)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DCF Crecimiento Optimista (g=2,5%)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1.371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Monte Carlo (Percentiles P5 / Mediana / P95)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1.237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1.737</w:t>
            </w:r>
          </w:p>
        </w:tc>
      </w:tr>
      <w:tr>
        <w:tc>
          <w:tcPr>
            <w:tcW w:type="dxa" w:w="5040"/>
            <w:tcMar>
              <w:top w:w="60" w:type="dxa"/>
              <w:bottom w:w="60" w:type="dxa"/>
              <w:left w:w="100" w:type="dxa"/>
              <w:right w:w="100" w:type="dxa"/>
            </w:tcMar>
          </w:tcPr>
          <w:p>
            <w:pPr>
              <w:spacing w:before="40" w:after="40"/>
              <w:jc w:val="left"/>
            </w:pPr>
            <w:r/>
            <w:r>
              <w:rPr>
                <w:rFonts w:ascii="Georgia" w:hAnsi="Georgia"/>
                <w:b/>
                <w:color w:val="0D233A"/>
                <w:sz w:val="17"/>
              </w:rPr>
              <w:t>Target Integrado (DCF + Opción Real PEAL V)</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c>
          <w:tcPr>
            <w:tcW w:type="dxa" w:w="1728"/>
            <w:tcMar>
              <w:top w:w="60" w:type="dxa"/>
              <w:bottom w:w="60" w:type="dxa"/>
              <w:left w:w="100" w:type="dxa"/>
              <w:right w:w="100" w:type="dxa"/>
            </w:tcMar>
          </w:tcPr>
          <w:p>
            <w:pPr>
              <w:spacing w:before="40" w:after="40"/>
              <w:jc w:val="right"/>
            </w:pPr>
            <w:r/>
            <w:r>
              <w:rPr>
                <w:rFonts w:ascii="Georgia" w:hAnsi="Georgia"/>
                <w:b/>
                <w:color w:val="0D233A"/>
                <w:sz w:val="17"/>
              </w:rPr>
              <w:t>1.255,60</w:t>
            </w:r>
          </w:p>
        </w:tc>
        <w:tc>
          <w:tcPr>
            <w:tcW w:type="dxa" w:w="1584"/>
            <w:tcMar>
              <w:top w:w="60" w:type="dxa"/>
              <w:bottom w:w="60" w:type="dxa"/>
              <w:left w:w="100" w:type="dxa"/>
              <w:right w:w="100" w:type="dxa"/>
            </w:tcMar>
          </w:tcPr>
          <w:p>
            <w:pPr>
              <w:spacing w:before="40" w:after="40"/>
              <w:jc w:val="right"/>
            </w:pPr>
            <w:r/>
            <w:r>
              <w:rPr>
                <w:rFonts w:ascii="Georgia" w:hAnsi="Georgia"/>
                <w:b/>
                <w:color w:val="0D233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Escenarios Ponderados (25/50/25)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Cotización Spot de Mercado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982,50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w:t>
            </w:r>
          </w:p>
        </w:tc>
      </w:tr>
    </w:tbl>
    <w:p>
      <w:pPr>
        <w:spacing w:after="80"/>
      </w:pPr>
    </w:p>
    <w:p>
      <w:pPr>
        <w:keepNext/>
        <w:spacing w:before="280" w:after="80"/>
        <w:pBrd>
          <w:bottom w:val="single" w:sz="8" w:space="2" w:color="0D233A"/>
        </w:pBrd>
      </w:pPr>
      <w:r>
        <w:rPr>
          <w:rFonts w:ascii="Georgia" w:hAnsi="Georgia"/>
          <w:b/>
          <w:color w:val="0D233A"/>
          <w:sz w:val="26"/>
        </w:rPr>
        <w:t>13. Simulación Estocástica de Monte Carlo y DCF Inverso</w:t>
      </w:r>
    </w:p>
    <w:p>
      <w:pPr>
        <w:keepNext/>
        <w:spacing w:before="200" w:after="60"/>
      </w:pPr>
      <w:r>
        <w:rPr>
          <w:rFonts w:ascii="Georgia" w:hAnsi="Georgia"/>
          <w:b/>
          <w:color w:val="1E3A8A"/>
          <w:sz w:val="22"/>
        </w:rPr>
        <w:t>13.1 Distribución Empírica con Innovaciones t-Student (ν=4,2)</w:t>
      </w:r>
    </w:p>
    <w:p>
      <w:pPr>
        <w:spacing w:before="80" w:after="80"/>
        <w:jc w:val="center"/>
      </w:pPr>
      <w:r>
        <w:rPr>
          <w:rFonts w:ascii="Cambria Math" w:hAnsi="Cambria Math"/>
          <w:b/>
          <w:color w:val="0D233A"/>
          <w:sz w:val="21"/>
        </w:rPr>
        <w:t xml:space="preserve">   WACC_{sim} = WACC + σ_{WACC} × √((ν-2)/ν) × T_ν,   g_{sim} = g + σ_g × √((ν-2)/ν) × T_ν   </w:t>
      </w:r>
      <w:r>
        <w:rPr>
          <w:rFonts w:ascii="Georgia" w:hAnsi="Georgia"/>
          <w:i/>
          <w:color w:val="4A4A4A"/>
          <w:sz w:val="18"/>
        </w:rPr>
        <w:t xml:space="preserve">    (Innovaciones t-Student)</w:t>
      </w:r>
    </w:p>
    <w:p>
      <w:pPr>
        <w:spacing w:before="0" w:after="60" w:line="276" w:lineRule="auto"/>
      </w:pPr>
      <w:r>
        <w:rPr>
          <w:rFonts w:ascii="Georgia" w:hAnsi="Georgia"/>
          <w:color w:val="0F172A"/>
          <w:sz w:val="19"/>
        </w:rPr>
        <w:t>La simulación de Monte Carlo con 20.000 iteraciones e innovaciones con colas pesadas t-Student arroja una mediana de ARS 1.237 y un intervalo de confianza P5–P95 de ARS 844 a ARS 1.737, con un 85,2% de probabilidad empírica de retorno positivo frente a la cotización spot.</w:t>
      </w:r>
    </w:p>
    <w:p>
      <w:pPr>
        <w:keepNext/>
        <w:spacing w:before="200" w:after="60"/>
      </w:pPr>
      <w:r>
        <w:rPr>
          <w:rFonts w:ascii="Georgia" w:hAnsi="Georgia"/>
          <w:b/>
          <w:color w:val="1E3A8A"/>
          <w:sz w:val="22"/>
        </w:rPr>
        <w:t>13.2 Expectativas Implícitas: Tasa de Crecimiento del DCF Inverso (g* = 0,69%)</w:t>
      </w:r>
    </w:p>
    <w:p>
      <w:pPr>
        <w:spacing w:before="0" w:after="60" w:line="276" w:lineRule="auto"/>
      </w:pPr>
      <w:r>
        <w:rPr>
          <w:rFonts w:ascii="Georgia" w:hAnsi="Georgia"/>
          <w:color w:val="0F172A"/>
          <w:sz w:val="19"/>
        </w:rPr>
        <w:t>Despejando la tasa de crecimiento terminal implícita en la cotización de mercado, se comprueba que el precio actual descuenta un crecimiento a perpetuidad de apenas g* = 0,69%, muy por debajo del 2,0% fundamental de largo plazo.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21" name="Picture 21"/>
                  <wp:cNvGraphicFramePr>
                    <a:graphicFrameLocks noChangeAspect="1"/>
                  </wp:cNvGraphicFramePr>
                  <a:graphic>
                    <a:graphicData uri="http://schemas.openxmlformats.org/drawingml/2006/picture">
                      <pic:pic>
                        <pic:nvPicPr>
                          <pic:cNvPr id="0" name="figura_21.png"/>
                          <pic:cNvPicPr/>
                        </pic:nvPicPr>
                        <pic:blipFill>
                          <a:blip r:embed="rId31"/>
                          <a:stretch>
                            <a:fillRect/>
                          </a:stretch>
                        </pic:blipFill>
                        <pic:spPr>
                          <a:xfrm>
                            <a:off x="0" y="0"/>
                            <a:ext cx="3017520" cy="173519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22" name="Picture 2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21: DCF Inverso: Tasa g implícita descontada en el precio de mercado (0,69%).</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80" w:after="80"/>
        <w:pBrd>
          <w:bottom w:val="single" w:sz="8" w:space="2" w:color="0D233A"/>
        </w:pBrd>
      </w:pPr>
      <w:r>
        <w:rPr>
          <w:rFonts w:ascii="Georgia" w:hAnsi="Georgia"/>
          <w:b/>
          <w:color w:val="0D233A"/>
          <w:sz w:val="26"/>
        </w:rPr>
        <w:t>14. Valuación Relativa Sectorial y Múltiplos Comparables LTM y Forward</w:t>
      </w:r>
    </w:p>
    <w:p>
      <w:pPr>
        <w:spacing w:before="0" w:after="60" w:line="276" w:lineRule="auto"/>
      </w:pPr>
      <w:r>
        <w:rPr>
          <w:rFonts w:ascii="Georgia" w:hAnsi="Georgia"/>
          <w:color w:val="0F172A"/>
          <w:sz w:val="19"/>
        </w:rPr>
        <w:t>El análisis comparativo sectorial confirma la divergencia entre la valuación basada en cifras LTM y la capacidad de generación normalizada. Mientras el múltiplo LTM de Aluar (13,3x) refleja la compresión de resultados de FY2025, el rendimiento proyectado del flujo libre de caja (FCF Yield 2027E &gt; 10%) supera ampliamente la mediana de la industria internacional (3,8%):</w:t>
      </w:r>
    </w:p>
    <w:p>
      <w:pPr>
        <w:keepNext/>
        <w:spacing w:before="120" w:after="40"/>
      </w:pPr>
      <w:r>
        <w:rPr>
          <w:rFonts w:ascii="Georgia" w:hAnsi="Georgia"/>
          <w:b/>
          <w:color w:val="0D233A"/>
          <w:sz w:val="18"/>
        </w:rPr>
        <w:t>Tabla: Múltiplos Financieros y Rendimientos del Sector Aluminio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Compañía / Ticker</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EV/EBITDA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Crec. Ventas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Margen EBITDA LTM</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ROIC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FCF Yield 2026E/27E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ALUAR (ALUA.BA)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13,3x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 / +12,8%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Alcoa Corp. (AA)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8,5x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Chalco (ACH)</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9,0x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Kaiser Aluminum (KALU)</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Norsk Hydro (NHYDY)</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Constellium (CSTM)</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5,4x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Rusal</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5,1x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Mediana de la Industria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w:t>
            </w:r>
          </w:p>
        </w:tc>
      </w:tr>
    </w:tbl>
    <w:p>
      <w:pPr>
        <w:spacing w:after="80"/>
      </w:pPr>
    </w:p>
    <w:p>
      <w:pPr>
        <w:keepNext/>
        <w:spacing w:before="280" w:after="80"/>
        <w:pBrd>
          <w:bottom w:val="single" w:sz="8" w:space="2" w:color="0D233A"/>
        </w:pBrd>
      </w:pPr>
      <w:r>
        <w:rPr>
          <w:rFonts w:ascii="Georgia" w:hAnsi="Georgia"/>
          <w:b/>
          <w:color w:val="0D233A"/>
          <w:sz w:val="26"/>
        </w:rPr>
        <w:t>15. Gestión de Riesgos de Mercado y Asignación Óptima de Cartera</w:t>
      </w:r>
    </w:p>
    <w:p>
      <w:pPr>
        <w:keepNext/>
        <w:spacing w:before="200" w:after="60"/>
      </w:pPr>
      <w:r>
        <w:rPr>
          <w:rFonts w:ascii="Georgia" w:hAnsi="Georgia"/>
          <w:b/>
          <w:color w:val="1E3A8A"/>
          <w:sz w:val="22"/>
        </w:rPr>
        <w:t>15.1 Criterio de Asignación de Kelly y Límite de Tolerancia por CVaR</w:t>
      </w:r>
    </w:p>
    <w:p>
      <w:pPr>
        <w:spacing w:before="80" w:after="80"/>
        <w:jc w:val="center"/>
      </w:pPr>
      <w:r>
        <w:rPr>
          <w:rFonts w:ascii="Cambria Math" w:hAnsi="Cambria Math"/>
          <w:b/>
          <w:color w:val="0D233A"/>
          <w:sz w:val="21"/>
        </w:rPr>
        <w:t xml:space="preserve">   f* = (μ - Rf) / σ² = (24,63% - 4,70%) / (52,06%)² = 73,5% (Full-Kelly)   =&gt;   Half-Kelly = 36,8%   </w:t>
      </w:r>
      <w:r>
        <w:rPr>
          <w:rFonts w:ascii="Georgia" w:hAnsi="Georgia"/>
          <w:i/>
          <w:color w:val="4A4A4A"/>
          <w:sz w:val="18"/>
        </w:rPr>
        <w:t xml:space="preserve">    (Criterio de Kelly)</w:t>
      </w:r>
    </w:p>
    <w:p>
      <w:pPr>
        <w:spacing w:before="0" w:after="60" w:line="276" w:lineRule="auto"/>
      </w:pPr>
      <w:r>
        <w:rPr>
          <w:rFonts w:ascii="Georgia" w:hAnsi="Georgia"/>
          <w:color w:val="0F172A"/>
          <w:sz w:val="19"/>
        </w:rPr>
        <w:t>Para la gestión prudencial de carteras se adopta un límite de exposición del 20,0%, acotado por el Conditional Value-at-Risk mensual al 95% (-32,80%). El Filtro de Kalman dinámico indica que el Beta de corto plazo converge a 0,764:</w:t>
      </w:r>
    </w:p>
    <w:p>
      <w:pPr>
        <w:spacing w:before="80" w:after="80"/>
        <w:jc w:val="center"/>
      </w:pPr>
      <w:r>
        <w:rPr>
          <w:rFonts w:ascii="Cambria Math" w:hAnsi="Cambria Math"/>
          <w:b/>
          <w:color w:val="0D233A"/>
          <w:sz w:val="21"/>
        </w:rPr>
        <w:t xml:space="preserve">   y_t = β_t × x_t + v_t,   β_t = β_{t-1} + w_t,   K_t = P_{t|t-1} × x_t × (x_t × P_{t|t-1} × x_t + R)^{-1}   </w:t>
      </w:r>
      <w:r>
        <w:rPr>
          <w:rFonts w:ascii="Georgia" w:hAnsi="Georgia"/>
          <w:i/>
          <w:color w:val="4A4A4A"/>
          <w:sz w:val="18"/>
        </w:rPr>
        <w:t xml:space="preserve">    (Filtro de Kalman)</w:t>
      </w:r>
    </w:p>
    <w:p>
      <w:pPr>
        <w:spacing w:before="0" w:after="60" w:line="276" w:lineRule="auto"/>
      </w:pPr>
      <w:r>
        <w:rPr>
          <w:rFonts w:ascii="Georgia" w:hAnsi="Georgia"/>
          <w:color w:val="0F172A"/>
          <w:sz w:val="19"/>
        </w:rPr>
        <w:t>Esto demuestra que el beta Hamada de 0,888 utilizado en el WACC introduce un margen de seguridad conservador.</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8097"/>
                  <wp:docPr id="23" name="Picture 23"/>
                  <wp:cNvGraphicFramePr>
                    <a:graphicFrameLocks noChangeAspect="1"/>
                  </wp:cNvGraphicFramePr>
                  <a:graphic>
                    <a:graphicData uri="http://schemas.openxmlformats.org/drawingml/2006/picture">
                      <pic:pic>
                        <pic:nvPicPr>
                          <pic:cNvPr id="0" name="figura_23.png"/>
                          <pic:cNvPicPr/>
                        </pic:nvPicPr>
                        <pic:blipFill>
                          <a:blip r:embed="rId33"/>
                          <a:stretch>
                            <a:fillRect/>
                          </a:stretch>
                        </pic:blipFill>
                        <pic:spPr>
                          <a:xfrm>
                            <a:off x="0" y="0"/>
                            <a:ext cx="3017520" cy="1748097"/>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21771"/>
                  <wp:docPr id="24" name="Picture 24"/>
                  <wp:cNvGraphicFramePr>
                    <a:graphicFrameLocks noChangeAspect="1"/>
                  </wp:cNvGraphicFramePr>
                  <a:graphic>
                    <a:graphicData uri="http://schemas.openxmlformats.org/drawingml/2006/picture">
                      <pic:pic>
                        <pic:nvPicPr>
                          <pic:cNvPr id="0" name="figura_24.png"/>
                          <pic:cNvPicPr/>
                        </pic:nvPicPr>
                        <pic:blipFill>
                          <a:blip r:embed="rId34"/>
                          <a:stretch>
                            <a:fillRect/>
                          </a:stretch>
                        </pic:blipFill>
                        <pic:spPr>
                          <a:xfrm>
                            <a:off x="0" y="0"/>
                            <a:ext cx="3017520" cy="162177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23: Criterio de Asignación de Kelly: Full-Kelly (73,5%), Half-Kelly (36,8%) y Límite de Cartera (20,0%).</w:t>
            </w:r>
          </w:p>
        </w:tc>
        <w:tc>
          <w:tcPr>
            <w:tcW w:type="dxa" w:w="4896"/>
            <w:tcMar>
              <w:top w:w="40" w:type="dxa"/>
              <w:bottom w:w="40" w:type="dxa"/>
              <w:left w:w="40" w:type="dxa"/>
              <w:right w:w="40" w:type="dxa"/>
            </w:tcMar>
          </w:tcPr>
          <w:p>
            <w:pPr>
              <w:spacing w:after="80"/>
              <w:jc w:val="left"/>
            </w:pPr>
            <w:r>
              <w:rPr>
                <w:rFonts w:ascii="Georgia" w:hAnsi="Georgia"/>
                <w:color w:val="4A4A4A"/>
                <w:sz w:val="16"/>
              </w:rPr>
              <w:t>Figura 24: Beta Dinámico por Filtro de Kalman: Convergencia a 0,764 en el régimen macroeconómico reciente.</w:t>
            </w:r>
          </w:p>
        </w:tc>
      </w:tr>
    </w:tbl>
    <w:p>
      <w:pPr>
        <w:spacing w:after="40"/>
      </w:pPr>
    </w:p>
    <w:p>
      <w:pPr>
        <w:keepNext/>
        <w:spacing w:before="200" w:after="60"/>
      </w:pPr>
      <w:r>
        <w:rPr>
          <w:rFonts w:ascii="Georgia" w:hAnsi="Georgia"/>
          <w:b/>
          <w:color w:val="1E3A8A"/>
          <w:sz w:val="22"/>
        </w:rPr>
        <w:t>15.2 Comportamiento Histórico de ALUA.BA en Períodos de Estrés</w:t>
      </w:r>
    </w:p>
    <w:p>
      <w:pPr>
        <w:keepNext/>
        <w:spacing w:before="120" w:after="40"/>
      </w:pPr>
      <w:r>
        <w:rPr>
          <w:rFonts w:ascii="Georgia" w:hAnsi="Georgia"/>
          <w:b/>
          <w:color w:val="0D233A"/>
          <w:sz w:val="18"/>
        </w:rPr>
        <w:t>Tabla: Desempeño Histórico de ALUA.BA (en USD) durante Episodios de Crisis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3168"/>
            <w:shd w:fill="F1F5F9"/>
            <w:tcMar>
              <w:top w:w="80" w:type="dxa"/>
              <w:bottom w:w="80" w:type="dxa"/>
              <w:left w:w="100" w:type="dxa"/>
              <w:right w:w="100" w:type="dxa"/>
            </w:tcMar>
          </w:tcPr>
          <w:p>
            <w:pPr>
              <w:spacing w:before="60" w:after="60"/>
              <w:jc w:val="left"/>
            </w:pPr>
            <w:r/>
            <w:r>
              <w:rPr>
                <w:rFonts w:ascii="Georgia" w:hAnsi="Georgia"/>
                <w:b/>
                <w:color w:val="0D233A"/>
                <w:sz w:val="17"/>
              </w:rPr>
              <w:t>Episodio de Estrés</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Retorno Acumulado</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Volatilidad Anualizada</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Duración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Comportamiento</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Crisis Covid-19 (Marzo 2020)</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-44,73%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112,54%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Shock de liquidez global</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Tensión Cambiaria (Julio 2022)</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+12,44%</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45,91%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103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Cobertura en activos dolarizados</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Incertidumbre Electoral 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+18,28%</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105,36%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59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Repreciación de capacidad industrial</w:t>
            </w:r>
          </w:p>
        </w:tc>
      </w:tr>
      <w:tr>
        <w:tc>
          <w:tcPr>
            <w:tcW w:type="dxa" w:w="3168"/>
            <w:tcMar>
              <w:top w:w="60" w:type="dxa"/>
              <w:bottom w:w="60" w:type="dxa"/>
              <w:left w:w="100" w:type="dxa"/>
              <w:right w:w="100" w:type="dxa"/>
            </w:tcMar>
          </w:tcPr>
          <w:p>
            <w:pPr>
              <w:spacing w:before="40" w:after="40"/>
              <w:jc w:val="left"/>
            </w:pPr>
            <w:r/>
            <w:r>
              <w:rPr>
                <w:rFonts w:ascii="Georgia" w:hAnsi="Georgia"/>
                <w:color w:val="0F172A"/>
                <w:sz w:val="17"/>
              </w:rPr>
              <w:t>Corrección LME (2022–2023)</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+13,61%</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44,40%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200 ruedas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Resiliencia por bajos costos operativos</w:t>
            </w:r>
          </w:p>
        </w:tc>
      </w:tr>
    </w:tbl>
    <w:p>
      <w:pPr>
        <w:spacing w:after="80"/>
      </w:pPr>
    </w:p>
    <w:p>
      <w:pPr>
        <w:keepNext/>
        <w:spacing w:before="200" w:after="60"/>
      </w:pPr>
      <w:r>
        <w:rPr>
          <w:rFonts w:ascii="Georgia" w:hAnsi="Georgia"/>
          <w:b/>
          <w:color w:val="1E3A8A"/>
          <w:sz w:val="22"/>
        </w:rPr>
        <w:t>15.3 Estimación de Pérdidas Extremas por Teoría de Valores Extremos (EVT-GPD)</w:t>
      </w:r>
    </w:p>
    <w:p>
      <w:pPr>
        <w:spacing w:before="0" w:after="60" w:line="276" w:lineRule="auto"/>
      </w:pPr>
      <w:r>
        <w:rPr>
          <w:rFonts w:ascii="Georgia" w:hAnsi="Georgia"/>
          <w:color w:val="0F172A"/>
          <w:sz w:val="19"/>
        </w:rPr>
        <w:t>Dado que los retornos de Aluar presentan colas pesadas (curtosis = 7,82), la aproximación normal subestima las pérdidas extremas. Se calibra un modelo Pareto Generalizado (GPD, ξ = 0,214 &gt; 0), capturando pérdidas de cola de tipo Fréchet:</w:t>
      </w:r>
    </w:p>
    <w:p>
      <w:pPr>
        <w:spacing w:before="80" w:after="80"/>
        <w:jc w:val="center"/>
      </w:pPr>
      <w:r>
        <w:rPr>
          <w:rFonts w:ascii="Cambria Math" w:hAnsi="Cambria Math"/>
          <w:b/>
          <w:color w:val="0D233A"/>
          <w:sz w:val="21"/>
        </w:rPr>
        <w:t xml:space="preserve">   G_{ξ, β}(y) = 1 - (1 + ξ × y / β)^{-1/ξ}   </w:t>
      </w:r>
      <w:r>
        <w:rPr>
          <w:rFonts w:ascii="Georgia" w:hAnsi="Georgia"/>
          <w:i/>
          <w:color w:val="4A4A4A"/>
          <w:sz w:val="18"/>
        </w:rPr>
        <w:t xml:space="preserve">    (Pareto Generalizado (GPD))</w:t>
      </w:r>
    </w:p>
    <w:p>
      <w:pPr>
        <w:keepNext/>
        <w:spacing w:before="120" w:after="40"/>
      </w:pPr>
      <w:r>
        <w:rPr>
          <w:rFonts w:ascii="Georgia" w:hAnsi="Georgia"/>
          <w:b/>
          <w:color w:val="0D233A"/>
          <w:sz w:val="18"/>
        </w:rPr>
        <w:t>Tabla: VaR y CVaR Diario por Metodología (retornos en USD, horizonte 1 día)</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Metodología de Riesgo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90%</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95%</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VaR 99%</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Histórico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-3,47%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-4,73%</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-8,20%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Normal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-5,31%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-7,54%</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t-Student (ν=4,46)</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-3,61%</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-4,99%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-8,57%</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Cornish-Fisher</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-2,70%</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-5,22%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-13,41%</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 Expected Shortfall (paramétrico)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-5,67%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-6,68%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-8,65%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CVaR Cornish-Fisher (Simulado)</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-7,12%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-10,49%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-20,35%</w:t>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9929"/>
                  <wp:docPr id="25" name="Picture 25"/>
                  <wp:cNvGraphicFramePr>
                    <a:graphicFrameLocks noChangeAspect="1"/>
                  </wp:cNvGraphicFramePr>
                  <a:graphic>
                    <a:graphicData uri="http://schemas.openxmlformats.org/drawingml/2006/picture">
                      <pic:pic>
                        <pic:nvPicPr>
                          <pic:cNvPr id="0" name="figura_25.png"/>
                          <pic:cNvPicPr/>
                        </pic:nvPicPr>
                        <pic:blipFill>
                          <a:blip r:embed="rId35"/>
                          <a:stretch>
                            <a:fillRect/>
                          </a:stretch>
                        </pic:blipFill>
                        <pic:spPr>
                          <a:xfrm>
                            <a:off x="0" y="0"/>
                            <a:ext cx="3017520" cy="17499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4532"/>
                  <wp:docPr id="26" name="Picture 26"/>
                  <wp:cNvGraphicFramePr>
                    <a:graphicFrameLocks noChangeAspect="1"/>
                  </wp:cNvGraphicFramePr>
                  <a:graphic>
                    <a:graphicData uri="http://schemas.openxmlformats.org/drawingml/2006/picture">
                      <pic:pic>
                        <pic:nvPicPr>
                          <pic:cNvPr id="0" name="figura_26.png"/>
                          <pic:cNvPicPr/>
                        </pic:nvPicPr>
                        <pic:blipFill>
                          <a:blip r:embed="rId36"/>
                          <a:stretch>
                            <a:fillRect/>
                          </a:stretch>
                        </pic:blipFill>
                        <pic:spPr>
                          <a:xfrm>
                            <a:off x="0" y="0"/>
                            <a:ext cx="3017520" cy="166453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25: Valores Extremos (EVT-GPD): Estimación de pérdidas de cola con VaR 99% (8,20%) y ES 99% (10,35%).</w:t>
            </w:r>
          </w:p>
        </w:tc>
        <w:tc>
          <w:tcPr>
            <w:tcW w:type="dxa" w:w="4896"/>
            <w:tcMar>
              <w:top w:w="40" w:type="dxa"/>
              <w:bottom w:w="40" w:type="dxa"/>
              <w:left w:w="40" w:type="dxa"/>
              <w:right w:w="40" w:type="dxa"/>
            </w:tcMar>
          </w:tcPr>
          <w:p>
            <w:pPr>
              <w:spacing w:after="80"/>
              <w:jc w:val="left"/>
            </w:pPr>
            <w:r>
              <w:rPr>
                <w:rFonts w:ascii="Georgia" w:hAnsi="Georgia"/>
                <w:color w:val="4A4A4A"/>
                <w:sz w:val="16"/>
              </w:rPr>
              <w:t>Figura 26: Simulación LME (OU vs. MBG): Reversión a la media Ornstein-Uhlenbeck (θ = USD 2.814/t).</w:t>
            </w:r>
          </w:p>
        </w:tc>
      </w:tr>
    </w:tbl>
    <w:p>
      <w:pPr>
        <w:spacing w:after="40"/>
      </w:pPr>
    </w:p>
    <w:p>
      <w:pPr>
        <w:keepNext/>
        <w:spacing w:before="200" w:after="60"/>
      </w:pPr>
      <w:r>
        <w:rPr>
          <w:rFonts w:ascii="Georgia" w:hAnsi="Georgia"/>
          <w:b/>
          <w:color w:val="1E3A8A"/>
          <w:sz w:val="22"/>
        </w:rPr>
        <w:t>15.4 Dinámica del Commodity: Proceso Ornstein-Uhlenbeck</w:t>
      </w:r>
    </w:p>
    <w:p>
      <w:pPr>
        <w:spacing w:before="80" w:after="80"/>
        <w:jc w:val="center"/>
      </w:pPr>
      <w:r>
        <w:rPr>
          <w:rFonts w:ascii="Cambria Math" w:hAnsi="Cambria Math"/>
          <w:b/>
          <w:color w:val="0D233A"/>
          <w:sz w:val="21"/>
        </w:rPr>
        <w:t xml:space="preserve">   dS_t = κ × (θ - S_t) dt + σ × S_t dW_t,   κ = 0,384,   θ = USD 2.814/t   </w:t>
      </w:r>
      <w:r>
        <w:rPr>
          <w:rFonts w:ascii="Georgia" w:hAnsi="Georgia"/>
          <w:i/>
          <w:color w:val="4A4A4A"/>
          <w:sz w:val="18"/>
        </w:rPr>
        <w:t xml:space="preserve">    (Ornstein-Uhlenbeck)</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6444"/>
                  <wp:docPr id="27" name="Picture 27"/>
                  <wp:cNvGraphicFramePr>
                    <a:graphicFrameLocks noChangeAspect="1"/>
                  </wp:cNvGraphicFramePr>
                  <a:graphic>
                    <a:graphicData uri="http://schemas.openxmlformats.org/drawingml/2006/picture">
                      <pic:pic>
                        <pic:nvPicPr>
                          <pic:cNvPr id="0" name="figura_27.png"/>
                          <pic:cNvPicPr/>
                        </pic:nvPicPr>
                        <pic:blipFill>
                          <a:blip r:embed="rId37"/>
                          <a:stretch>
                            <a:fillRect/>
                          </a:stretch>
                        </pic:blipFill>
                        <pic:spPr>
                          <a:xfrm>
                            <a:off x="0" y="0"/>
                            <a:ext cx="3017520" cy="1706444"/>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51281"/>
                  <wp:docPr id="28" name="Picture 28"/>
                  <wp:cNvGraphicFramePr>
                    <a:graphicFrameLocks noChangeAspect="1"/>
                  </wp:cNvGraphicFramePr>
                  <a:graphic>
                    <a:graphicData uri="http://schemas.openxmlformats.org/drawingml/2006/picture">
                      <pic:pic>
                        <pic:nvPicPr>
                          <pic:cNvPr id="0" name="figura_28.png"/>
                          <pic:cNvPicPr/>
                        </pic:nvPicPr>
                        <pic:blipFill>
                          <a:blip r:embed="rId38"/>
                          <a:stretch>
                            <a:fillRect/>
                          </a:stretch>
                        </pic:blipFill>
                        <pic:spPr>
                          <a:xfrm>
                            <a:off x="0" y="0"/>
                            <a:ext cx="3017520" cy="17512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27: DCF Estocástico Continuo: Densidad de probabilidad con 10.000 trayectorias simuladas.</w:t>
            </w:r>
          </w:p>
        </w:tc>
        <w:tc>
          <w:tcPr>
            <w:tcW w:type="dxa" w:w="4896"/>
            <w:tcMar>
              <w:top w:w="40" w:type="dxa"/>
              <w:bottom w:w="40" w:type="dxa"/>
              <w:left w:w="40" w:type="dxa"/>
              <w:right w:w="40" w:type="dxa"/>
            </w:tcMar>
          </w:tcPr>
          <w:p>
            <w:pPr>
              <w:spacing w:after="80"/>
              <w:jc w:val="left"/>
            </w:pPr>
            <w:r>
              <w:rPr>
                <w:rFonts w:ascii="Georgia" w:hAnsi="Georgia"/>
                <w:color w:val="4A4A4A"/>
                <w:sz w:val="16"/>
              </w:rPr>
              <w:t>Figura 28: Matriz de Riesgo: Mapeo de Probabilidad vs. Impacto según estándares de análisis financiero.</w:t>
            </w:r>
          </w:p>
        </w:tc>
      </w:tr>
    </w:tbl>
    <w:p>
      <w:pPr>
        <w:spacing w:after="40"/>
      </w:pPr>
    </w:p>
    <w:p>
      <w:pPr>
        <w:keepNext/>
        <w:spacing w:before="280" w:after="80"/>
        <w:pBrd>
          <w:bottom w:val="single" w:sz="8" w:space="2" w:color="0D233A"/>
        </w:pBrd>
      </w:pPr>
      <w:r>
        <w:rPr>
          <w:rFonts w:ascii="Georgia" w:hAnsi="Georgia"/>
          <w:b/>
          <w:color w:val="0D233A"/>
          <w:sz w:val="26"/>
        </w:rPr>
        <w:t>16. Modelización Estocástica Avanzada y Validación Econométrica</w:t>
      </w:r>
    </w:p>
    <w:p>
      <w:pPr>
        <w:keepNext/>
        <w:spacing w:before="200" w:after="60"/>
      </w:pPr>
      <w:r>
        <w:rPr>
          <w:rFonts w:ascii="Georgia" w:hAnsi="Georgia"/>
          <w:b/>
          <w:color w:val="1E3A8A"/>
          <w:sz w:val="22"/>
        </w:rPr>
        <w:t>16.1 Validación de la Tasa de Descuento: AR(1) vs. Cox-Ingersoll-Ross (CIR)</w:t>
      </w:r>
    </w:p>
    <w:p>
      <w:pPr>
        <w:spacing w:before="80" w:after="80"/>
        <w:jc w:val="center"/>
      </w:pPr>
      <w:r>
        <w:rPr>
          <w:rFonts w:ascii="Cambria Math" w:hAnsi="Cambria Math"/>
          <w:b/>
          <w:color w:val="0D233A"/>
          <w:sz w:val="21"/>
        </w:rPr>
        <w:t xml:space="preserve">   dr_t = κ × (θ - r_t) dt + σ × √r_t dW_t,   Condición de Feller: 2κθ &gt; σ²   </w:t>
      </w:r>
      <w:r>
        <w:rPr>
          <w:rFonts w:ascii="Georgia" w:hAnsi="Georgia"/>
          <w:i/>
          <w:color w:val="4A4A4A"/>
          <w:sz w:val="18"/>
        </w:rPr>
        <w:t xml:space="preserve">    (Proceso CIR)</w:t>
      </w:r>
    </w:p>
    <w:p>
      <w:pPr>
        <w:spacing w:before="0" w:after="60" w:line="276" w:lineRule="auto"/>
      </w:pPr>
      <w:r>
        <w:rPr>
          <w:rFonts w:ascii="Georgia" w:hAnsi="Georgia"/>
          <w:color w:val="0F172A"/>
          <w:sz w:val="19"/>
        </w:rPr>
        <w:t>Con κ = 0,7582, θ = 0,1614 y σ = 0,085, se verifica 2(0,7582)(0,1614) = 0,2448 &gt; 0,0072 = σ², garantizando que la tasa simulada nunca caiga por debajo de la tasa libre de riesgo de EE.UU.</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1609"/>
                  <wp:docPr id="29" name="Picture 29"/>
                  <wp:cNvGraphicFramePr>
                    <a:graphicFrameLocks noChangeAspect="1"/>
                  </wp:cNvGraphicFramePr>
                  <a:graphic>
                    <a:graphicData uri="http://schemas.openxmlformats.org/drawingml/2006/picture">
                      <pic:pic>
                        <pic:nvPicPr>
                          <pic:cNvPr id="0" name="figura_29.png"/>
                          <pic:cNvPicPr/>
                        </pic:nvPicPr>
                        <pic:blipFill>
                          <a:blip r:embed="rId39"/>
                          <a:stretch>
                            <a:fillRect/>
                          </a:stretch>
                        </pic:blipFill>
                        <pic:spPr>
                          <a:xfrm>
                            <a:off x="0" y="0"/>
                            <a:ext cx="3017520" cy="170160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1546"/>
                  <wp:docPr id="30" name="Picture 30"/>
                  <wp:cNvGraphicFramePr>
                    <a:graphicFrameLocks noChangeAspect="1"/>
                  </wp:cNvGraphicFramePr>
                  <a:graphic>
                    <a:graphicData uri="http://schemas.openxmlformats.org/drawingml/2006/picture">
                      <pic:pic>
                        <pic:nvPicPr>
                          <pic:cNvPr id="0" name="figura_30.png"/>
                          <pic:cNvPicPr/>
                        </pic:nvPicPr>
                        <pic:blipFill>
                          <a:blip r:embed="rId40"/>
                          <a:stretch>
                            <a:fillRect/>
                          </a:stretch>
                        </pic:blipFill>
                        <pic:spPr>
                          <a:xfrm>
                            <a:off x="0" y="0"/>
                            <a:ext cx="3017520" cy="166154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29: Proceso CIR Soberano: Simulación del EMBI+ respetando la no-negatividad estricta.</w:t>
            </w:r>
          </w:p>
        </w:tc>
        <w:tc>
          <w:tcPr>
            <w:tcW w:type="dxa" w:w="4896"/>
            <w:tcMar>
              <w:top w:w="40" w:type="dxa"/>
              <w:bottom w:w="40" w:type="dxa"/>
              <w:left w:w="40" w:type="dxa"/>
              <w:right w:w="40" w:type="dxa"/>
            </w:tcMar>
          </w:tcPr>
          <w:p>
            <w:pPr>
              <w:spacing w:after="80"/>
              <w:jc w:val="left"/>
            </w:pPr>
            <w:r>
              <w:rPr>
                <w:rFonts w:ascii="Georgia" w:hAnsi="Georgia"/>
                <w:color w:val="4A4A4A"/>
                <w:sz w:val="16"/>
              </w:rPr>
              <w:t>Figura 30: Beta Condicional GARCH(1,1): Variación temporal de la volatilidad y riesgo sistemático.</w:t>
            </w:r>
          </w:p>
        </w:tc>
      </w:tr>
    </w:tbl>
    <w:p>
      <w:pPr>
        <w:spacing w:after="40"/>
      </w:pPr>
    </w:p>
    <w:p>
      <w:pPr>
        <w:keepNext/>
        <w:spacing w:before="200" w:after="60"/>
      </w:pPr>
      <w:r>
        <w:rPr>
          <w:rFonts w:ascii="Georgia" w:hAnsi="Georgia"/>
          <w:b/>
          <w:color w:val="1E3A8A"/>
          <w:sz w:val="22"/>
        </w:rPr>
        <w:t>16.2 Dependencia Asimétrica en Caídas: Cópula de Clayton y Sobol</w:t>
      </w:r>
    </w:p>
    <w:p>
      <w:pPr>
        <w:spacing w:before="80" w:after="80"/>
        <w:jc w:val="center"/>
      </w:pPr>
      <w:r>
        <w:rPr>
          <w:rFonts w:ascii="Cambria Math" w:hAnsi="Cambria Math"/>
          <w:b/>
          <w:color w:val="0D233A"/>
          <w:sz w:val="21"/>
        </w:rPr>
        <w:t xml:space="preserve">   C_θ(u, v) = (u^{-θ} + v^{-θ} - 1)^{-1/θ},   λ_L = 2^{-1/θ} = 0,38   </w:t>
      </w:r>
      <w:r>
        <w:rPr>
          <w:rFonts w:ascii="Georgia" w:hAnsi="Georgia"/>
          <w:i/>
          <w:color w:val="4A4A4A"/>
          <w:sz w:val="18"/>
        </w:rPr>
        <w:t xml:space="preserve">    (Cópula de Clayton)</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0520"/>
                  <wp:docPr id="31" name="Picture 31"/>
                  <wp:cNvGraphicFramePr>
                    <a:graphicFrameLocks noChangeAspect="1"/>
                  </wp:cNvGraphicFramePr>
                  <a:graphic>
                    <a:graphicData uri="http://schemas.openxmlformats.org/drawingml/2006/picture">
                      <pic:pic>
                        <pic:nvPicPr>
                          <pic:cNvPr id="0" name="figura_31.png"/>
                          <pic:cNvPicPr/>
                        </pic:nvPicPr>
                        <pic:blipFill>
                          <a:blip r:embed="rId41"/>
                          <a:stretch>
                            <a:fillRect/>
                          </a:stretch>
                        </pic:blipFill>
                        <pic:spPr>
                          <a:xfrm>
                            <a:off x="0" y="0"/>
                            <a:ext cx="3017520" cy="17405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98185"/>
                  <wp:docPr id="32" name="Picture 32"/>
                  <wp:cNvGraphicFramePr>
                    <a:graphicFrameLocks noChangeAspect="1"/>
                  </wp:cNvGraphicFramePr>
                  <a:graphic>
                    <a:graphicData uri="http://schemas.openxmlformats.org/drawingml/2006/picture">
                      <pic:pic>
                        <pic:nvPicPr>
                          <pic:cNvPr id="0" name="figura_22.png"/>
                          <pic:cNvPicPr/>
                        </pic:nvPicPr>
                        <pic:blipFill>
                          <a:blip r:embed="rId32"/>
                          <a:stretch>
                            <a:fillRect/>
                          </a:stretch>
                        </pic:blipFill>
                        <pic:spPr>
                          <a:xfrm>
                            <a:off x="0" y="0"/>
                            <a:ext cx="3017520" cy="1598185"/>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31: Cópula de Clayton Asimétrica: Modelado de co-caídas entre el activo y el mercado (λ_L = 0,38).</w:t>
            </w:r>
          </w:p>
        </w:tc>
        <w:tc>
          <w:tcPr>
            <w:tcW w:type="dxa" w:w="4896"/>
            <w:tcMar>
              <w:top w:w="40" w:type="dxa"/>
              <w:bottom w:w="40" w:type="dxa"/>
              <w:left w:w="40" w:type="dxa"/>
              <w:right w:w="40" w:type="dxa"/>
            </w:tcMar>
          </w:tcPr>
          <w:p>
            <w:pPr>
              <w:spacing w:after="80"/>
              <w:jc w:val="left"/>
            </w:pPr>
            <w:r>
              <w:rPr>
                <w:rFonts w:ascii="Georgia" w:hAnsi="Georgia"/>
                <w:color w:val="4A4A4A"/>
                <w:sz w:val="16"/>
              </w:rPr>
              <w:t>Figura 22: Convergencia de Múltiplos: Normalización del múltiplo EV/EBITDA hacia 6,75x.</w:t>
            </w:r>
          </w:p>
        </w:tc>
      </w:tr>
    </w:tbl>
    <w:p>
      <w:pPr>
        <w:spacing w:after="40"/>
      </w:pPr>
    </w:p>
    <w:p>
      <w:pPr>
        <w:keepNext/>
        <w:spacing w:before="200" w:after="60"/>
      </w:pPr>
      <w:r>
        <w:rPr>
          <w:rFonts w:ascii="Georgia" w:hAnsi="Georgia"/>
          <w:b/>
          <w:color w:val="1E3A8A"/>
          <w:sz w:val="22"/>
        </w:rPr>
        <w:t>16.3 Diagnóstico Econométrico y Pruebas Estadísticas</w:t>
      </w:r>
    </w:p>
    <w:p>
      <w:pPr>
        <w:keepNext/>
        <w:spacing w:before="120" w:after="40"/>
      </w:pPr>
      <w:r>
        <w:rPr>
          <w:rFonts w:ascii="Georgia" w:hAnsi="Georgia"/>
          <w:b/>
          <w:color w:val="0D233A"/>
          <w:sz w:val="18"/>
        </w:rPr>
        <w:t>Tabla: Resumen de Pruebas Estadísticas y Diagnóstico Econométrico</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2592"/>
            <w:shd w:fill="F1F5F9"/>
            <w:tcMar>
              <w:top w:w="80" w:type="dxa"/>
              <w:bottom w:w="80" w:type="dxa"/>
              <w:left w:w="100" w:type="dxa"/>
              <w:right w:w="100" w:type="dxa"/>
            </w:tcMar>
          </w:tcPr>
          <w:p>
            <w:pPr>
              <w:spacing w:before="60" w:after="60"/>
              <w:jc w:val="left"/>
            </w:pPr>
            <w:r/>
            <w:r>
              <w:rPr>
                <w:rFonts w:ascii="Georgia" w:hAnsi="Georgia"/>
                <w:b/>
                <w:color w:val="0D233A"/>
                <w:sz w:val="17"/>
              </w:rPr>
              <w:t>Prueba</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Variable / Proceso</w:t>
            </w:r>
          </w:p>
        </w:tc>
        <w:tc>
          <w:tcPr>
            <w:tcW w:type="dxa" w:w="1296"/>
            <w:shd w:fill="F1F5F9"/>
            <w:tcMar>
              <w:top w:w="80" w:type="dxa"/>
              <w:bottom w:w="80" w:type="dxa"/>
              <w:left w:w="100" w:type="dxa"/>
              <w:right w:w="100" w:type="dxa"/>
            </w:tcMar>
          </w:tcPr>
          <w:p>
            <w:pPr>
              <w:spacing w:before="60" w:after="60"/>
              <w:jc w:val="right"/>
            </w:pPr>
            <w:r/>
            <w:r>
              <w:rPr>
                <w:rFonts w:ascii="Georgia" w:hAnsi="Georgia"/>
                <w:b/>
                <w:color w:val="0D233A"/>
                <w:sz w:val="17"/>
              </w:rPr>
              <w:t>Estadístico</w:t>
            </w:r>
          </w:p>
        </w:tc>
        <w:tc>
          <w:tcPr>
            <w:tcW w:type="dxa" w:w="1584"/>
            <w:shd w:fill="F1F5F9"/>
            <w:tcMar>
              <w:top w:w="80" w:type="dxa"/>
              <w:bottom w:w="80" w:type="dxa"/>
              <w:left w:w="100" w:type="dxa"/>
              <w:right w:w="100" w:type="dxa"/>
            </w:tcMar>
          </w:tcPr>
          <w:p>
            <w:pPr>
              <w:spacing w:before="60" w:after="60"/>
              <w:jc w:val="right"/>
            </w:pPr>
            <w:r/>
            <w:r>
              <w:rPr>
                <w:rFonts w:ascii="Georgia" w:hAnsi="Georgia"/>
                <w:b/>
                <w:color w:val="0D233A"/>
                <w:sz w:val="17"/>
              </w:rPr>
              <w:t>P-Valor</w:t>
            </w:r>
          </w:p>
        </w:tc>
        <w:tc>
          <w:tcPr>
            <w:tcW w:type="dxa" w:w="2016"/>
            <w:shd w:fill="F1F5F9"/>
            <w:tcMar>
              <w:top w:w="80" w:type="dxa"/>
              <w:bottom w:w="80" w:type="dxa"/>
              <w:left w:w="100" w:type="dxa"/>
              <w:right w:w="100" w:type="dxa"/>
            </w:tcMar>
          </w:tcPr>
          <w:p>
            <w:pPr>
              <w:spacing w:before="60" w:after="60"/>
              <w:jc w:val="right"/>
            </w:pPr>
            <w:r/>
            <w:r>
              <w:rPr>
                <w:rFonts w:ascii="Georgia" w:hAnsi="Georgia"/>
                <w:b/>
                <w:color w:val="0D233A"/>
                <w:sz w:val="17"/>
              </w:rPr>
              <w:t>Conclusión</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Dickey-Fuller Aumentado (ADF)</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t = -3,84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Serie estacionaria I(0)</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Phillips-Perron (PP)</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Retornos Diarios ALUA (USD)</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Z_t = -4,12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Estacionariedad robusta a heterocedasticidad</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Jarque-Bera</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Normalidad de Retornos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JB = 4.391,7</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Rechazo de normalidad (Curtosis = 7,82)</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Kolmogorov-Smirnov</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t-Student (ν=4,46) vs. Normal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D = 0,018</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0,42</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Ajuste con colas pesadas t-Student</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Cópula de Clayton</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Dependencia de Cola Inferior</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ΔAIC = -88,9</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λ_L = 0,38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Dependencia asimétrica superior a Gaussiana</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ARCH-LM (Lag 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Heterocedasticidad Condicional</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LM = 48,2</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&lt; 0,001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Presencia de volatilidad por conglomerados</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Ljung-Box Q(10)</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Autocorrelación de Residuos</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Q = 8,45</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0,58</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Ausencia de correlación serial residual</w:t>
            </w:r>
          </w:p>
        </w:tc>
      </w:tr>
      <w:tr>
        <w:tc>
          <w:tcPr>
            <w:tcW w:type="dxa" w:w="2592"/>
            <w:tcMar>
              <w:top w:w="60" w:type="dxa"/>
              <w:bottom w:w="60" w:type="dxa"/>
              <w:left w:w="100" w:type="dxa"/>
              <w:right w:w="100" w:type="dxa"/>
            </w:tcMar>
          </w:tcPr>
          <w:p>
            <w:pPr>
              <w:spacing w:before="40" w:after="40"/>
              <w:jc w:val="left"/>
            </w:pPr>
            <w:r/>
            <w:r>
              <w:rPr>
                <w:rFonts w:ascii="Georgia" w:hAnsi="Georgia"/>
                <w:color w:val="0F172A"/>
                <w:sz w:val="17"/>
              </w:rPr>
              <w:t>Quandt-Andrews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Estabilidad Paramétrica</w:t>
            </w:r>
          </w:p>
        </w:tc>
        <w:tc>
          <w:tcPr>
            <w:tcW w:type="dxa" w:w="1296"/>
            <w:tcMar>
              <w:top w:w="60" w:type="dxa"/>
              <w:bottom w:w="60" w:type="dxa"/>
              <w:left w:w="100" w:type="dxa"/>
              <w:right w:w="100" w:type="dxa"/>
            </w:tcMar>
          </w:tcPr>
          <w:p>
            <w:pPr>
              <w:spacing w:before="40" w:after="40"/>
              <w:jc w:val="right"/>
            </w:pPr>
            <w:r/>
            <w:r>
              <w:rPr>
                <w:rFonts w:ascii="Georgia" w:hAnsi="Georgia"/>
                <w:color w:val="0F172A"/>
                <w:sz w:val="17"/>
              </w:rPr>
              <w:t>F = 1,14</w:t>
            </w:r>
          </w:p>
        </w:tc>
        <w:tc>
          <w:tcPr>
            <w:tcW w:type="dxa" w:w="1584"/>
            <w:tcMar>
              <w:top w:w="60" w:type="dxa"/>
              <w:bottom w:w="60" w:type="dxa"/>
              <w:left w:w="100" w:type="dxa"/>
              <w:right w:w="100" w:type="dxa"/>
            </w:tcMar>
          </w:tcPr>
          <w:p>
            <w:pPr>
              <w:spacing w:before="40" w:after="40"/>
              <w:jc w:val="right"/>
            </w:pPr>
            <w:r/>
            <w:r>
              <w:rPr>
                <w:rFonts w:ascii="Georgia" w:hAnsi="Georgia"/>
                <w:color w:val="0F172A"/>
                <w:sz w:val="17"/>
              </w:rPr>
              <w:t>p = 0,31</w:t>
            </w:r>
          </w:p>
        </w:tc>
        <w:tc>
          <w:tcPr>
            <w:tcW w:type="dxa" w:w="2016"/>
            <w:tcMar>
              <w:top w:w="60" w:type="dxa"/>
              <w:bottom w:w="60" w:type="dxa"/>
              <w:left w:w="100" w:type="dxa"/>
              <w:right w:w="100" w:type="dxa"/>
            </w:tcMar>
          </w:tcPr>
          <w:p>
            <w:pPr>
              <w:spacing w:before="40" w:after="40"/>
              <w:jc w:val="right"/>
            </w:pPr>
            <w:r/>
            <w:r>
              <w:rPr>
                <w:rFonts w:ascii="Georgia" w:hAnsi="Georgia"/>
                <w:color w:val="0F172A"/>
                <w:sz w:val="17"/>
              </w:rPr>
              <w:t>Parámetros estables en la muestra analizada</w:t>
            </w:r>
          </w:p>
        </w:tc>
      </w:tr>
    </w:tbl>
    <w:p>
      <w:pPr>
        <w:spacing w:after="80"/>
      </w:pPr>
    </w:p>
    <w:p>
      <w:pPr>
        <w:keepNext/>
        <w:spacing w:before="280" w:after="80"/>
        <w:pBrd>
          <w:bottom w:val="single" w:sz="8" w:space="2" w:color="0D233A"/>
        </w:pBrd>
      </w:pPr>
      <w:r>
        <w:rPr>
          <w:rFonts w:ascii="Georgia" w:hAnsi="Georgia"/>
          <w:b/>
          <w:color w:val="0D233A"/>
          <w:sz w:val="26"/>
        </w:rPr>
        <w:t>17. Dictamen Final y Conclusión del Modelo</w:t>
      </w:r>
    </w:p>
    <w:p>
      <w:pPr>
        <w:spacing w:before="0" w:after="60" w:line="276" w:lineRule="auto"/>
      </w:pPr>
      <w:r>
        <w:rPr>
          <w:rFonts w:ascii="Georgia" w:hAnsi="Georgia"/>
          <w:color w:val="0F172A"/>
          <w:sz w:val="19"/>
        </w:rPr>
        <w:t>El modelo de valuación concluye una recomendación de COMPRAR, fundamentada en:</w:t>
      </w:r>
    </w:p>
    <w:p>
      <w:pPr>
        <w:spacing w:before="0" w:after="60" w:line="276" w:lineRule="auto"/>
      </w:pPr>
      <w:r>
        <w:rPr>
          <w:rFonts w:ascii="Georgia" w:hAnsi="Georgia"/>
          <w:color w:val="0F172A"/>
          <w:sz w:val="19"/>
        </w:rPr>
        <w:t>• Precio Objetivo Base (DCF Dumrauf): ARS 1.236,00 por acción (USD 0,78, upside de +25,8%).</w:t>
      </w:r>
    </w:p>
    <w:p>
      <w:pPr>
        <w:spacing w:before="0" w:after="60" w:line="276" w:lineRule="auto"/>
      </w:pPr>
      <w:r>
        <w:rPr>
          <w:rFonts w:ascii="Georgia" w:hAnsi="Georgia"/>
          <w:color w:val="0F172A"/>
          <w:sz w:val="19"/>
        </w:rPr>
        <w:t>• Precio Objetivo Integrado (Base + Opción Real PEAL V): ARS 1.255,60 por acción (USD 0,79, upside de +27,8%).</w:t>
      </w:r>
    </w:p>
    <w:p>
      <w:pPr>
        <w:spacing w:before="0" w:after="60" w:line="276" w:lineRule="auto"/>
      </w:pPr>
      <w:r>
        <w:rPr>
          <w:rFonts w:ascii="Georgia" w:hAnsi="Georgia"/>
          <w:color w:val="0F172A"/>
          <w:sz w:val="19"/>
        </w:rPr>
        <w:t>• Rango Probabilístico Monte Carlo (P5–P95): ARS 844 a ARS 1.737 por acción, con un 85,2% de probabilidad empírica de retorno positivo.</w:t>
      </w:r>
    </w:p>
    <w:p>
      <w:pPr>
        <w:spacing w:before="0" w:after="60" w:line="276" w:lineRule="auto"/>
      </w:pPr>
      <w:r>
        <w:rPr>
          <w:rFonts w:ascii="Georgia" w:hAnsi="Georgia"/>
          <w:color w:val="0F172A"/>
          <w:sz w:val="19"/>
        </w:rPr>
        <w:t>• Margen de Seguridad Fundamental: La cotización actual descuenta una tasa terminal implícita contractiva (g* = 0,69%), ofreciendo un margen de seguridad de ARS 253,50 por acción frente al valor fundamental de régimen.</w:t>
      </w:r>
    </w:p>
    <w:p>
      <w:r>
        <w:br w:type="page"/>
      </w:r>
    </w:p>
    <w:p>
      <w:pPr>
        <w:keepNext/>
        <w:spacing w:before="280" w:after="80"/>
        <w:pBrd>
          <w:bottom w:val="single" w:sz="8" w:space="2" w:color="0D233A"/>
        </w:pBrd>
      </w:pPr>
      <w:r>
        <w:rPr>
          <w:rFonts w:ascii="Georgia" w:hAnsi="Georgia"/>
          <w:b/>
          <w:color w:val="0D233A"/>
          <w:sz w:val="26"/>
        </w:rPr>
        <w:t>Apéndice: Estados Financieros Auditados y Proyecciones de Flujo de Fondos (USD MM)</w:t>
      </w:r>
    </w:p>
    <w:p>
      <w:pPr>
        <w:spacing w:before="0" w:after="60" w:line="276" w:lineRule="auto"/>
      </w:pPr>
      <w:r>
        <w:rPr>
          <w:rFonts w:ascii="Georgia" w:hAnsi="Georgia"/>
          <w:color w:val="0F172A"/>
          <w:sz w:val="19"/>
        </w:rPr>
        <w:t>Cifras históricas anuales auditadas por Price Waterhouse &amp; Co. S.R.L. convertidas al CCL de cierre de cada ejercicio. Las proyecciones aplican la alícuota estatutaria del 35% sobre el resultado operativo (Ley 20.628).</w:t>
      </w:r>
    </w:p>
    <w:p>
      <w:pPr>
        <w:keepNext/>
        <w:spacing w:before="120" w:after="40"/>
      </w:pPr>
      <w:r>
        <w:rPr>
          <w:rFonts w:ascii="Georgia" w:hAnsi="Georgia"/>
          <w:b/>
          <w:color w:val="0D233A"/>
          <w:sz w:val="18"/>
        </w:rPr>
        <w:t>Tabla: Conciliación de la Tasa Efectiva del Impuesto a las Ganancias FY2025</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56"/>
        <w:gridCol w:w="3456"/>
        <w:gridCol w:w="3456"/>
      </w:tblGrid>
      <w:tr>
        <w:tc>
          <w:tcPr>
            <w:tcW w:type="dxa" w:w="5040"/>
            <w:shd w:fill="F1F5F9"/>
            <w:tcMar>
              <w:top w:w="80" w:type="dxa"/>
              <w:bottom w:w="80" w:type="dxa"/>
              <w:left w:w="100" w:type="dxa"/>
              <w:right w:w="100" w:type="dxa"/>
            </w:tcMar>
          </w:tcPr>
          <w:p>
            <w:pPr>
              <w:spacing w:before="60" w:after="60"/>
              <w:jc w:val="left"/>
            </w:pPr>
            <w:r/>
            <w:r>
              <w:rPr>
                <w:rFonts w:ascii="Georgia" w:hAnsi="Georgia"/>
                <w:b/>
                <w:color w:val="0D233A"/>
                <w:sz w:val="17"/>
              </w:rPr>
              <w:t>Componente Tributario</w:t>
            </w:r>
          </w:p>
        </w:tc>
        <w:tc>
          <w:tcPr>
            <w:tcW w:type="dxa" w:w="2592"/>
            <w:shd w:fill="F1F5F9"/>
            <w:tcMar>
              <w:top w:w="80" w:type="dxa"/>
              <w:bottom w:w="80" w:type="dxa"/>
              <w:left w:w="100" w:type="dxa"/>
              <w:right w:w="100" w:type="dxa"/>
            </w:tcMar>
          </w:tcPr>
          <w:p>
            <w:pPr>
              <w:spacing w:before="60" w:after="60"/>
              <w:jc w:val="right"/>
            </w:pPr>
            <w:r/>
            <w:r>
              <w:rPr>
                <w:rFonts w:ascii="Georgia" w:hAnsi="Georgia"/>
                <w:b/>
                <w:color w:val="0D233A"/>
                <w:sz w:val="17"/>
              </w:rPr>
              <w:t>Monto (USD MM)</w:t>
            </w:r>
          </w:p>
        </w:tc>
        <w:tc>
          <w:tcPr>
            <w:tcW w:type="dxa" w:w="2448"/>
            <w:shd w:fill="F1F5F9"/>
            <w:tcMar>
              <w:top w:w="80" w:type="dxa"/>
              <w:bottom w:w="80" w:type="dxa"/>
              <w:left w:w="100" w:type="dxa"/>
              <w:right w:w="100" w:type="dxa"/>
            </w:tcMar>
          </w:tcPr>
          <w:p>
            <w:pPr>
              <w:spacing w:before="60" w:after="60"/>
              <w:jc w:val="right"/>
            </w:pPr>
            <w:r/>
            <w:r>
              <w:rPr>
                <w:rFonts w:ascii="Georgia" w:hAnsi="Georgia"/>
                <w:b/>
                <w:color w:val="0D233A"/>
                <w:sz w:val="17"/>
              </w:rPr>
              <w:t>% sobre EBT</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Resultado Antes de Impuestos (EBT)</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58,5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100,0%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Teórico a Tasa Estatutaria (35%)</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(20,5)</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35,0%</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Efecto del Ajuste por Inflación Impositivo (NIC 29)</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39,5%</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Diferencias de Cambio no Deducibles y Otros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(5,7)</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9,8%</w:t>
            </w:r>
          </w:p>
        </w:tc>
      </w:tr>
      <w:tr>
        <w:tc>
          <w:tcPr>
            <w:tcW w:type="dxa" w:w="5040"/>
            <w:tcMar>
              <w:top w:w="60" w:type="dxa"/>
              <w:bottom w:w="60" w:type="dxa"/>
              <w:left w:w="100" w:type="dxa"/>
              <w:right w:w="100" w:type="dxa"/>
            </w:tcMar>
          </w:tcPr>
          <w:p>
            <w:pPr>
              <w:spacing w:before="40" w:after="40"/>
              <w:jc w:val="left"/>
            </w:pPr>
            <w:r/>
            <w:r>
              <w:rPr>
                <w:rFonts w:ascii="Georgia" w:hAnsi="Georgia"/>
                <w:color w:val="0F172A"/>
                <w:sz w:val="17"/>
              </w:rPr>
              <w:t>Impuesto a las Ganancias Devengado en Estados Contables</w:t>
            </w:r>
          </w:p>
        </w:tc>
        <w:tc>
          <w:tcPr>
            <w:tcW w:type="dxa" w:w="2592"/>
            <w:tcMar>
              <w:top w:w="60" w:type="dxa"/>
              <w:bottom w:w="60" w:type="dxa"/>
              <w:left w:w="100" w:type="dxa"/>
              <w:right w:w="100" w:type="dxa"/>
            </w:tcMar>
          </w:tcPr>
          <w:p>
            <w:pPr>
              <w:spacing w:before="40" w:after="40"/>
              <w:jc w:val="right"/>
            </w:pPr>
            <w:r/>
            <w:r>
              <w:rPr>
                <w:rFonts w:ascii="Georgia" w:hAnsi="Georgia"/>
                <w:color w:val="0F172A"/>
                <w:sz w:val="17"/>
              </w:rPr>
              <w:t>(49,3)</w:t>
            </w:r>
          </w:p>
        </w:tc>
        <w:tc>
          <w:tcPr>
            <w:tcW w:type="dxa" w:w="2448"/>
            <w:tcMar>
              <w:top w:w="60" w:type="dxa"/>
              <w:bottom w:w="60" w:type="dxa"/>
              <w:left w:w="100" w:type="dxa"/>
              <w:right w:w="100" w:type="dxa"/>
            </w:tcMar>
          </w:tcPr>
          <w:p>
            <w:pPr>
              <w:spacing w:before="40" w:after="40"/>
              <w:jc w:val="right"/>
            </w:pPr>
            <w:r/>
            <w:r>
              <w:rPr>
                <w:rFonts w:ascii="Georgia" w:hAnsi="Georgia"/>
                <w:color w:val="0F172A"/>
                <w:sz w:val="17"/>
              </w:rPr>
              <w:t>84,3%</w:t>
            </w:r>
          </w:p>
        </w:tc>
      </w:tr>
    </w:tbl>
    <w:p>
      <w:pPr>
        <w:spacing w:after="80"/>
      </w:pPr>
    </w:p>
    <w:p>
      <w:pPr>
        <w:keepNext/>
        <w:spacing w:before="120" w:after="40"/>
      </w:pPr>
      <w:r>
        <w:rPr>
          <w:rFonts w:ascii="Georgia" w:hAnsi="Georgia"/>
          <w:b/>
          <w:color w:val="0D233A"/>
          <w:sz w:val="18"/>
        </w:rPr>
        <w:t>Tabla: Estado de Resultados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Línea Contable</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Costo de Ventas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(930,5)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Bruta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Gastos de Administración y Comercialización</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(100,8)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Otros Ingresos / Operativos Netos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208,8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Depreciación y Amortización (D&amp;A)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(41,5)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(71,0)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 (Resultado Operativo)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62,0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152,6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Financiero y Asociadas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(33,8)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Ganancia Antes de Impuestos (EBT)</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(36,4)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198,3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58,5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Impuesto a las Ganancias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(82,8)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 del Ejercicio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115,5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(Resultado Operativo Neto de Impuestos)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60,0</w:t>
            </w:r>
          </w:p>
        </w:tc>
      </w:tr>
    </w:tbl>
    <w:p>
      <w:pPr>
        <w:spacing w:after="80"/>
      </w:pPr>
    </w:p>
    <w:p>
      <w:pPr>
        <w:keepNext/>
        <w:spacing w:before="120" w:after="40"/>
      </w:pPr>
      <w:r>
        <w:rPr>
          <w:rFonts w:ascii="Georgia" w:hAnsi="Georgia"/>
          <w:b/>
          <w:color w:val="0D233A"/>
          <w:sz w:val="18"/>
        </w:rPr>
        <w:t>Tabla: Estado de Situación Patrimonial / Balance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Rubro Patrimonial</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454,6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318,1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490,1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902,9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1.028,1</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Activo No Corriente (inc. Bienes de Uso)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379,9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422,3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556,6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940,9</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Activo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1.052,0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698,0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832,6</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912,4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1.459,5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1.969,0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240,1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183,2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420,5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Pasivo No Corriente</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348,7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263,9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212,2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201,9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439,2</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Total Pasivo</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588,8</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348,1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376,0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369,7</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619,1</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859,7</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Deuda Financiera Total</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375,2</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181,4</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134,0</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228,9</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408,5</w:t>
            </w:r>
          </w:p>
        </w:tc>
        <w:tc>
          <w:tcPr>
            <w:tcW w:type="dxa" w:w="1080"/>
            <w:tcMar>
              <w:top w:w="60" w:type="dxa"/>
              <w:bottom w:w="60" w:type="dxa"/>
              <w:left w:w="100" w:type="dxa"/>
              <w:right w:w="100" w:type="dxa"/>
            </w:tcMar>
          </w:tcPr>
          <w:p>
            <w:pPr>
              <w:spacing w:before="40" w:after="40"/>
              <w:jc w:val="right"/>
            </w:pPr>
            <w:r/>
            <w:r>
              <w:rPr>
                <w:rFonts w:ascii="Georgia" w:hAnsi="Georgia"/>
                <w:b/>
                <w:color w:val="0D233A"/>
                <w:sz w:val="17"/>
              </w:rPr>
              <w:t>594,9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Caja, Bancos e Inversiones</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44,0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76,7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Financiera Neta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Patrimonio Neto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463,2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349,9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456,5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840,4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1.109,3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1.704,3</w:t>
            </w:r>
          </w:p>
        </w:tc>
      </w:tr>
    </w:tbl>
    <w:p>
      <w:pPr>
        <w:spacing w:after="80"/>
      </w:pPr>
    </w:p>
    <w:p>
      <w:pPr>
        <w:keepNext/>
        <w:spacing w:before="120" w:after="40"/>
      </w:pPr>
      <w:r>
        <w:rPr>
          <w:rFonts w:ascii="Georgia" w:hAnsi="Georgia"/>
          <w:b/>
          <w:color w:val="0D233A"/>
          <w:sz w:val="18"/>
        </w:rPr>
        <w:t>Tabla: Estado de Flujos de Efectivo Consolidado Auditado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Flujo de Caja</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080"/>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Operativo (FCO)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245,7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89,2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113,6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79,2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30,7</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Inversiones en Bienes de Uso (CAPEX)</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(103,0)</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(243,9)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Inversión (FCI)</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(102,1)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(244,0)</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Flujo de Caja de Financiación (FCF)</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(45,1)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(34,4)</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(70,8)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91,1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20,3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Variación Neta de Efectivo</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(54,2)</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47,8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43,8</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(23,1)</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144,7</w:t>
            </w:r>
          </w:p>
        </w:tc>
        <w:tc>
          <w:tcPr>
            <w:tcW w:type="dxa" w:w="1080"/>
            <w:tcMar>
              <w:top w:w="60" w:type="dxa"/>
              <w:bottom w:w="60" w:type="dxa"/>
              <w:left w:w="100" w:type="dxa"/>
              <w:right w:w="100" w:type="dxa"/>
            </w:tcMar>
          </w:tcPr>
          <w:p>
            <w:pPr>
              <w:spacing w:before="40" w:after="40"/>
              <w:jc w:val="right"/>
            </w:pPr>
            <w:r/>
            <w:r>
              <w:rPr>
                <w:rFonts w:ascii="Georgia" w:hAnsi="Georgia"/>
                <w:color w:val="0F172A"/>
                <w:sz w:val="17"/>
              </w:rPr>
              <w:t>(193,0)</w:t>
            </w:r>
          </w:p>
        </w:tc>
      </w:tr>
    </w:tbl>
    <w:p>
      <w:pPr>
        <w:spacing w:after="80"/>
      </w:pPr>
    </w:p>
    <w:p>
      <w:pPr>
        <w:keepNext/>
        <w:spacing w:before="120" w:after="40"/>
      </w:pPr>
      <w:r>
        <w:rPr>
          <w:rFonts w:ascii="Georgia" w:hAnsi="Georgia"/>
          <w:b/>
          <w:color w:val="0D233A"/>
          <w:sz w:val="18"/>
        </w:rPr>
        <w:t>Tabla: Proyecciones del Free Cash Flow to the Firm (FCFF, FY2026E–FY2030E,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4032"/>
            <w:shd w:fill="F1F5F9"/>
            <w:tcMar>
              <w:top w:w="80" w:type="dxa"/>
              <w:bottom w:w="80" w:type="dxa"/>
              <w:left w:w="100" w:type="dxa"/>
              <w:right w:w="100" w:type="dxa"/>
            </w:tcMar>
          </w:tcPr>
          <w:p>
            <w:pPr>
              <w:spacing w:before="60" w:after="60"/>
              <w:jc w:val="left"/>
            </w:pPr>
            <w:r/>
            <w:r>
              <w:rPr>
                <w:rFonts w:ascii="Georgia" w:hAnsi="Georgia"/>
                <w:b/>
                <w:color w:val="0D233A"/>
                <w:sz w:val="17"/>
              </w:rPr>
              <w:t>Cuenta / Ejercicio</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2026E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2027E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2028E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2029E</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2030E</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1.591,4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1.543,0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1.494,6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1.446,3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1.397,9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391,2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369,3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347,4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325,5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303,6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Depreciación y Amortización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EBIT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282,8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264,2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245,6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227,0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208,4</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Impuestos Operativos (35% Estatutaria)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(99,0)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(92,5)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(86,0)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(79,4)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(72,9)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NOPAT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171,7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159,6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147,6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D&amp;A (Reversión)</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CAPEX de Mantenimiento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(100,0)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(96,9)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(93,8)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(90,6)</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 Variación Capital de Trabajo (ΔNWC)</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23,9</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FCFF Explícito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200,7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176,2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164,0</w:t>
            </w:r>
          </w:p>
        </w:tc>
      </w:tr>
    </w:tbl>
    <w:p>
      <w:pPr>
        <w:spacing w:after="80"/>
      </w:pPr>
    </w:p>
    <w:p>
      <w:pPr>
        <w:spacing w:before="0" w:after="60" w:line="276" w:lineRule="auto"/>
      </w:pPr>
      <w:r>
        <w:rPr>
          <w:rFonts w:ascii="Georgia" w:hAnsi="Georgia"/>
          <w:color w:val="0F172A"/>
          <w:sz w:val="19"/>
        </w:rPr>
        <w:t>Reconciliación FCFF Explícito 2030E vs. Terminal Normalizado: FCFF Explícito 2030E: USD 164,0 MM (con CAPEX de mantenimiento de USD 90,6 MM y liberación de NWC de USD 23,9 MM). FCFF Terminal Normalizado (g = 2,0%): USD 135,5 MM (asume estado estacionario donde CAPEX = D&amp;A y ΔNWC = $0, coincidiendo con el NOPAT de 2030E según la formulación canónica de Dumrauf Cap. 14).</w:t>
      </w:r>
    </w:p>
    <w:p>
      <w:pPr>
        <w:keepNext/>
        <w:spacing w:before="280" w:after="80"/>
        <w:pBrd>
          <w:bottom w:val="single" w:sz="8" w:space="2" w:color="0D233A"/>
        </w:pBrd>
      </w:pPr>
      <w:r>
        <w:rPr>
          <w:rFonts w:ascii="Georgia" w:hAnsi="Georgia"/>
          <w:b/>
          <w:color w:val="0D233A"/>
          <w:sz w:val="26"/>
        </w:rPr>
        <w:t>Referencias Bibliográficas y Fuentes de Información</w:t>
      </w:r>
    </w:p>
    <w:p>
      <w:pPr>
        <w:spacing w:before="0" w:after="40" w:line="276" w:lineRule="auto"/>
      </w:pPr>
      <w:r>
        <w:rPr>
          <w:rFonts w:ascii="Georgia" w:hAnsi="Georgia"/>
          <w:color w:val="0F172A"/>
          <w:sz w:val="19"/>
        </w:rPr>
        <w:t>1. Damodaran, Aswath (2012). Investment Valuation: Tools and Techniques for Determining the Value of Any Asset, 3rd Ed., John Wiley &amp; Sons.</w:t>
      </w:r>
    </w:p>
    <w:p>
      <w:pPr>
        <w:spacing w:before="0" w:after="40" w:line="276" w:lineRule="auto"/>
      </w:pPr>
      <w:r>
        <w:rPr>
          <w:rFonts w:ascii="Georgia" w:hAnsi="Georgia"/>
          <w:color w:val="0F172A"/>
          <w:sz w:val="19"/>
        </w:rPr>
        <w:t>2. Dumrauf, Guillermo L. (2013). Finanzas Corporativas: Un Enfoque Latinoamericano, 3ª Ed., Alfaomega Grupo Editor.</w:t>
      </w:r>
    </w:p>
    <w:p>
      <w:pPr>
        <w:spacing w:before="0" w:after="40" w:line="276" w:lineRule="auto"/>
      </w:pPr>
      <w:r>
        <w:rPr>
          <w:rFonts w:ascii="Georgia" w:hAnsi="Georgia"/>
          <w:color w:val="0F172A"/>
          <w:sz w:val="19"/>
        </w:rPr>
        <w:t>3. Ross, Stephen A., Westerfield, Randolph W., Jaffe, Jeffrey (2019). Corporate Finance, 12th Ed., McGraw-Hill Education.</w:t>
      </w:r>
    </w:p>
    <w:p>
      <w:pPr>
        <w:spacing w:before="0" w:after="40" w:line="276" w:lineRule="auto"/>
      </w:pPr>
      <w:r>
        <w:rPr>
          <w:rFonts w:ascii="Georgia" w:hAnsi="Georgia"/>
          <w:color w:val="0F172A"/>
          <w:sz w:val="19"/>
        </w:rPr>
        <w:t>4. Alexander, Gordon J., Sharpe, William F., Bailey, Jeffery V. (2001). Fundamentos de Inversiones, Pearson Educación / Prentice Hall.</w:t>
      </w:r>
    </w:p>
    <w:p>
      <w:pPr>
        <w:spacing w:before="0" w:after="40" w:line="276" w:lineRule="auto"/>
      </w:pPr>
      <w:r>
        <w:rPr>
          <w:rFonts w:ascii="Georgia" w:hAnsi="Georgia"/>
          <w:color w:val="0F172A"/>
          <w:sz w:val="19"/>
        </w:rPr>
        <w:t>5. Black, Fischer, Scholes, Myron (1973). 'The Pricing of Options and Corporate Liabilities', Journal of Political Economy, 81(3), pp. 637–654.</w:t>
      </w:r>
    </w:p>
    <w:p>
      <w:pPr>
        <w:spacing w:before="0" w:after="40" w:line="276" w:lineRule="auto"/>
      </w:pPr>
      <w:r>
        <w:rPr>
          <w:rFonts w:ascii="Georgia" w:hAnsi="Georgia"/>
          <w:color w:val="0F172A"/>
          <w:sz w:val="19"/>
        </w:rPr>
        <w:t>6. Longstaff, Francis A., Schwartz, Eduardo S. (2001). 'Valuing American Options by Simulation: A Simple Least-Squares Approach', Review of Financial Studies, 14(1), pp. 113–147.</w:t>
      </w:r>
    </w:p>
    <w:p>
      <w:pPr>
        <w:spacing w:before="0" w:after="40" w:line="276" w:lineRule="auto"/>
      </w:pPr>
      <w:r>
        <w:rPr>
          <w:rFonts w:ascii="Georgia" w:hAnsi="Georgia"/>
          <w:color w:val="0F172A"/>
          <w:sz w:val="19"/>
        </w:rPr>
        <w:t>7. Blume, Marshall E. (1975). 'Betas and Their Regression Tendencies', Journal of Finance, 30(3), pp. 785–795.</w:t>
      </w:r>
    </w:p>
    <w:p>
      <w:pPr>
        <w:spacing w:before="0" w:after="40" w:line="276" w:lineRule="auto"/>
      </w:pPr>
      <w:r>
        <w:rPr>
          <w:rFonts w:ascii="Georgia" w:hAnsi="Georgia"/>
          <w:color w:val="0F172A"/>
          <w:sz w:val="19"/>
        </w:rPr>
        <w:t>8. Hamada, Robert S. (1972). 'The Effect of the Firm's Capital Structure on the Systematic Risk of Common Stocks', Journal of Finance, 27(2), pp. 435–452.</w:t>
      </w:r>
    </w:p>
    <w:p>
      <w:pPr>
        <w:spacing w:before="0" w:after="40" w:line="276" w:lineRule="auto"/>
      </w:pPr>
      <w:r>
        <w:rPr>
          <w:rFonts w:ascii="Georgia" w:hAnsi="Georgia"/>
          <w:color w:val="0F172A"/>
          <w:sz w:val="19"/>
        </w:rPr>
        <w:t>9. Sklar, Abe (1959). 'Fonctions de Répartition à n Dimensions et Leurs Marges', Publications de l'Institut de Statistique de l'Université de Paris, 8, pp. 229–231.</w:t>
      </w:r>
    </w:p>
    <w:p>
      <w:pPr>
        <w:spacing w:before="0" w:after="40" w:line="276" w:lineRule="auto"/>
      </w:pPr>
      <w:r>
        <w:rPr>
          <w:rFonts w:ascii="Georgia" w:hAnsi="Georgia"/>
          <w:color w:val="0F172A"/>
          <w:sz w:val="19"/>
        </w:rPr>
        <w:t>10. Rockafellar, R. Tyrrell, Uryasev, Stanislav (2000). 'Optimization of Conditional Value-at-Risk', Journal of Risk, 2(3), pp. 21–42.</w:t>
      </w:r>
    </w:p>
    <w:p>
      <w:pPr>
        <w:spacing w:before="0" w:after="40" w:line="276" w:lineRule="auto"/>
      </w:pPr>
      <w:r>
        <w:rPr>
          <w:rFonts w:ascii="Georgia" w:hAnsi="Georgia"/>
          <w:color w:val="0F172A"/>
          <w:sz w:val="19"/>
        </w:rPr>
        <w:t>11. Jaschke, Stefan R. (2001). 'The Cornish-Fisher-Expansion in the Context of Delta-Gamma-Normal Approximations', Journal of Risk, 4(4), pp. 33–52.</w:t>
      </w:r>
    </w:p>
    <w:p>
      <w:pPr>
        <w:spacing w:before="0" w:after="40" w:line="276" w:lineRule="auto"/>
      </w:pPr>
      <w:r>
        <w:rPr>
          <w:rFonts w:ascii="Georgia" w:hAnsi="Georgia"/>
          <w:color w:val="0F172A"/>
          <w:sz w:val="19"/>
        </w:rPr>
        <w:t>12. Engle, Robert F., Granger, Clive W.J. (1987). 'Co-integration and Error Correction: Representation, Estimation and Testing', Econometrica, 55(2), pp. 251–276.</w:t>
      </w:r>
    </w:p>
    <w:p>
      <w:pPr>
        <w:spacing w:before="0" w:after="40" w:line="276" w:lineRule="auto"/>
      </w:pPr>
      <w:r>
        <w:rPr>
          <w:rFonts w:ascii="Georgia" w:hAnsi="Georgia"/>
          <w:color w:val="0F172A"/>
          <w:sz w:val="19"/>
        </w:rPr>
        <w:t>13. Aluar Aluminio Argentino S.A.I.C. (2020–2025). Estados Financieros Consolidados Auditados y Memorias Anuales, Comisión Nacional de Valores (CNV) &amp; Bolsas y Mercados Argentinos (BYMA).</w:t>
      </w:r>
    </w:p>
    <w:p>
      <w:pPr>
        <w:spacing w:after="80"/>
      </w:pPr>
    </w:p>
    <w:tbl>
      <w:tblPr>
        <w:tblW w:type="auto" w:w="0"/>
        <w:jc w:val="center"/>
        <w:tblLayout w:type="fixed"/>
        <w:tblLook w:firstColumn="1" w:firstRow="1" w:lastColumn="0" w:lastRow="0" w:noHBand="0" w:noVBand="1" w:val="04A0"/>
      </w:tblPr>
      <w:tblGrid>
        <w:gridCol w:w="10368"/>
      </w:tblGrid>
      <w:tr>
        <w:tc>
          <w:tcPr>
            <w:tcW w:type="dxa" w:w="10080"/>
            <w:shd w:fill="F8FAFC"/>
            <w:tcMar>
              <w:top w:w="120" w:type="dxa"/>
              <w:bottom w:w="120" w:type="dxa"/>
              <w:left w:w="160" w:type="dxa"/>
              <w:right w:w="16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Certificación del Analista (Ley 26.831)</w:t>
              <w:br/>
            </w:r>
            <w:r>
              <w:rPr>
                <w:rFonts w:ascii="Georgia" w:hAnsi="Georgia"/>
                <w:color w:val="0F172A"/>
                <w:sz w:val="18"/>
              </w:rPr>
              <w:t>Este documento fue elaborado con fines exclusivamente de investigación académica y análisis financiero por Federico Agustín Chillón (FCE, Universidad Nacional de Cuyo). El presente reporte no constituye oferta pública, asesoramiento financiero personalizado, recomendación vinculante de compra o venta, ni intermediación bursátil en los términos de la Ley de Mercado de Capitales N.° 26.831 y normas concordantes de la Comisión Nacional de Valores (CNV). El autor certifica que las estimaciones y modelizaciones reflejan un análisis técnico independiente fundamentado en estados contables públicos auditados por Price Waterhouse &amp; Co. S.R.L., series de mercado de BYMA, CBOE, S&amp;P Dow Jones y el London Metal Exchange (LME). Cualquier decisión de inversión que un tercero adopte en base a este informe es de su exclusiva responsabilidad.</w:t>
              <w:br/>
            </w:r>
          </w:p>
        </w:tc>
      </w:tr>
    </w:tbl>
    <w:p>
      <w:pPr>
        <w:spacing w:after="8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Georgia" w:hAnsi="Georgia"/>
        <w:color w:val="4A4A4A"/>
        <w:sz w:val="16"/>
      </w:rPr>
      <w:t>Analista Principal: Federico Agustín Chillón | federico.chillon@fce.uncu.edu.ar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b/>
        <w:color w:val="0D233A"/>
        <w:sz w:val="17"/>
      </w:rPr>
      <w:t xml:space="preserve">ALUAR S.A.I.C. (ALUA.BA) · Equity Research                                                 </w:t>
    </w:r>
    <w:r>
      <w:rPr>
        <w:rFonts w:ascii="Georgia" w:hAnsi="Georgia"/>
        <w:color w:val="4A4A4A"/>
        <w:sz w:val="17"/>
      </w:rPr>
      <w:t>FCE · UNCuyo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