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/>
      </w:pPr>
      <w:r>
        <w:rPr>
          <w:rFonts w:ascii="Georgia" w:hAnsi="Georgia"/>
          <w:b/>
          <w:color w:val="0C2340"/>
          <w:sz w:val="27"/>
        </w:rPr>
        <w:t>Monitor Diario de Mercados &amp; Coyuntura Financiera</w:t>
      </w:r>
    </w:p>
    <w:p>
      <w:pPr>
        <w:spacing w:after="70"/>
      </w:pPr>
      <w:r>
        <w:rPr>
          <w:rFonts w:ascii="Georgia" w:hAnsi="Georgia"/>
          <w:i/>
          <w:color w:val="64748B"/>
          <w:sz w:val="16"/>
        </w:rPr>
        <w:t>Cierre de Operaciones: 25 de Agosto de 2026 | Estrategia Cuantitativa &amp; Trading Desk | FCE UNCUYO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8FAFC"/>
            <w:tcMar>
              <w:top w:w="12" w:type="dxa"/>
              <w:bottom w:w="12" w:type="dxa"/>
              <w:left w:w="16" w:type="dxa"/>
              <w:right w:w="16" w:type="dxa"/>
            </w:tcMar>
            <w:tcBorders>
              <w:top w:val="single" w:sz="6" w:space="0" w:color="0C2340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Georgia" w:hAnsi="Georgia"/>
                <w:b/>
                <w:color w:val="0C2340"/>
                <w:sz w:val="13"/>
              </w:rPr>
              <w:t>DÓLAR CCL (CABLE)</w:t>
              <w:br/>
            </w:r>
            <w:r>
              <w:rPr>
                <w:rFonts w:ascii="Georgia" w:hAnsi="Georgia"/>
                <w:b/>
                <w:color w:val="0F172A"/>
                <w:sz w:val="19"/>
              </w:rPr>
              <w:t>$1.600,20</w:t>
              <w:br/>
            </w:r>
            <w:r>
              <w:rPr>
                <w:rFonts w:ascii="Georgia" w:hAnsi="Georgia"/>
                <w:color w:val="64748B"/>
                <w:sz w:val="13"/>
              </w:rPr>
              <w:t>Var. diaria s/d · Brecha oficial +4,52%</w:t>
            </w:r>
          </w:p>
        </w:tc>
        <w:tc>
          <w:tcPr>
            <w:tcW w:type="dxa" w:w="2592"/>
            <w:shd w:fill="F8FAFC"/>
            <w:tcMar>
              <w:top w:w="12" w:type="dxa"/>
              <w:bottom w:w="12" w:type="dxa"/>
              <w:left w:w="16" w:type="dxa"/>
              <w:right w:w="16" w:type="dxa"/>
            </w:tcMar>
            <w:tcBorders>
              <w:top w:val="single" w:sz="6" w:space="0" w:color="0C2340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Georgia" w:hAnsi="Georgia"/>
                <w:b/>
                <w:color w:val="0C2340"/>
                <w:sz w:val="13"/>
              </w:rPr>
              <w:t>RIESGO PAÍS EMBI+</w:t>
              <w:br/>
            </w:r>
            <w:r>
              <w:rPr>
                <w:rFonts w:ascii="Georgia" w:hAnsi="Georgia"/>
                <w:b/>
                <w:color w:val="0F172A"/>
                <w:sz w:val="19"/>
              </w:rPr>
              <w:t>506 pb</w:t>
              <w:br/>
            </w:r>
            <w:r>
              <w:rPr>
                <w:rFonts w:ascii="Georgia" w:hAnsi="Georgia"/>
                <w:color w:val="64748B"/>
                <w:sz w:val="13"/>
              </w:rPr>
              <w:t>Var. 1D +4 pb (ArgentinaDatos)</w:t>
            </w:r>
          </w:p>
        </w:tc>
        <w:tc>
          <w:tcPr>
            <w:tcW w:type="dxa" w:w="2592"/>
            <w:shd w:fill="F8FAFC"/>
            <w:tcMar>
              <w:top w:w="12" w:type="dxa"/>
              <w:bottom w:w="12" w:type="dxa"/>
              <w:left w:w="16" w:type="dxa"/>
              <w:right w:w="16" w:type="dxa"/>
            </w:tcMar>
            <w:tcBorders>
              <w:top w:val="single" w:sz="6" w:space="0" w:color="0C2340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Georgia" w:hAnsi="Georgia"/>
                <w:b/>
                <w:color w:val="0C2340"/>
                <w:sz w:val="13"/>
              </w:rPr>
              <w:t>TCR BILATERAL ARS/USD</w:t>
              <w:br/>
            </w:r>
            <w:r>
              <w:rPr>
                <w:rFonts w:ascii="Georgia" w:hAnsi="Georgia"/>
                <w:b/>
                <w:color w:val="0F172A"/>
                <w:sz w:val="19"/>
              </w:rPr>
              <w:t>107,6</w:t>
              <w:br/>
            </w:r>
            <w:r>
              <w:rPr>
                <w:rFonts w:ascii="Georgia" w:hAnsi="Georgia"/>
                <w:color w:val="64748B"/>
                <w:sz w:val="13"/>
              </w:rPr>
              <w:t>Base 2016-12=100 · 2026-07</w:t>
            </w:r>
          </w:p>
        </w:tc>
        <w:tc>
          <w:tcPr>
            <w:tcW w:type="dxa" w:w="2592"/>
            <w:shd w:fill="F8FAFC"/>
            <w:tcMar>
              <w:top w:w="12" w:type="dxa"/>
              <w:bottom w:w="12" w:type="dxa"/>
              <w:left w:w="16" w:type="dxa"/>
              <w:right w:w="16" w:type="dxa"/>
            </w:tcMar>
            <w:tcBorders>
              <w:top w:val="single" w:sz="6" w:space="0" w:color="0C2340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Georgia" w:hAnsi="Georgia"/>
                <w:b/>
                <w:color w:val="0C2340"/>
                <w:sz w:val="13"/>
              </w:rPr>
              <w:t>S&amp;P MERVAL</w:t>
              <w:br/>
            </w:r>
            <w:r>
              <w:rPr>
                <w:rFonts w:ascii="Georgia" w:hAnsi="Georgia"/>
                <w:b/>
                <w:color w:val="0F172A"/>
                <w:sz w:val="19"/>
              </w:rPr>
              <w:t>3.009.029 pts</w:t>
              <w:br/>
            </w:r>
            <w:r>
              <w:rPr>
                <w:rFonts w:ascii="Georgia" w:hAnsi="Georgia"/>
                <w:color w:val="64748B"/>
                <w:sz w:val="13"/>
              </w:rPr>
              <w:t>Var. semanal +1,30% · USD CCL 1.976,92</w:t>
            </w:r>
          </w:p>
        </w:tc>
      </w:tr>
    </w:tbl>
    <w:p>
      <w:pPr>
        <w:pStyle w:val="Heading2"/>
        <w:spacing w:before="100" w:after="40"/>
      </w:pPr>
      <w:r>
        <w:rPr>
          <w:rFonts w:ascii="Georgia" w:hAnsi="Georgia"/>
          <w:b/>
          <w:color w:val="0C2340"/>
          <w:sz w:val="19"/>
        </w:rPr>
        <w:t>1. Microestructura Cambiaria, Flujos en el MULC y Futuros Matba-Rofex</w:t>
      </w:r>
    </w:p>
    <w:p>
      <w:pPr>
        <w:spacing w:before="0" w:after="50" w:line="276" w:lineRule="auto"/>
        <w:jc w:val="both"/>
      </w:pPr>
      <w:r>
        <w:rPr>
          <w:rFonts w:ascii="Georgia" w:hAnsi="Georgia"/>
          <w:color w:val="0F172A"/>
          <w:sz w:val="16"/>
        </w:rPr>
        <w:t>La rueda cambiaria cerró sin volumen operado del Mercado Único y Libre de Cambios (MULC) disponible de forma automatizada en este pipeline (s/d, sin fuente automatizable). El tipo de cambio mayorista de referencia (Com. "A" 3500) se ubicó en $1.511,53, con variación diaria s/d, sin fuente automatizable. Las reservas brutas del Banco Central se ubicaron en USD 50.660 M (registro interno, 2026-08-25); no hay conector automatizado a compras/ventas netas diarias del BCRA en el MULC ni a saldo comprador acumulado en el mes (s/d, sin fuente automatizable).</w:t>
      </w:r>
    </w:p>
    <w:p>
      <w:pPr>
        <w:spacing w:before="0" w:after="50" w:line="276" w:lineRule="auto"/>
        <w:jc w:val="both"/>
      </w:pPr>
      <w:r>
        <w:rPr>
          <w:rFonts w:ascii="Georgia" w:hAnsi="Georgia"/>
          <w:color w:val="0F172A"/>
          <w:sz w:val="16"/>
        </w:rPr>
        <w:t>En el segmento financiero, el Dólar MEP cerró en $1.532,33 y el Dólar Contado con Liquidación (CCL) en $1.600,20 (variación diaria s/d, sin fuente automatizable en ambos casos), con una brecha de +4,52% del CCL frente al dólar oficial minorista ($1.531,07). El dólar blue (paralelo informal) cotizó en $1.615,00, cotización de referencia sin mercado formal ni volumen verificable.</w:t>
      </w:r>
    </w:p>
    <w:p>
      <w:pPr>
        <w:spacing w:before="0" w:after="60" w:line="276" w:lineRule="auto"/>
        <w:jc w:val="both"/>
      </w:pPr>
      <w:r>
        <w:rPr>
          <w:rFonts w:ascii="Georgia" w:hAnsi="Georgia"/>
          <w:color w:val="0F172A"/>
          <w:sz w:val="16"/>
        </w:rPr>
        <w:t>En el mercado de futuros de Matba-Rofex, este pipeline no cuenta con un conector automatizado (feed pago, sin API pública integrada al repositorio): interés abierto, concentración por vencimiento y tasas nominales anuales implícitas quedan como s/d, sin fuente automatizable en esta corrida.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12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Segmento / Activo</w:t>
            </w:r>
          </w:p>
        </w:tc>
        <w:tc>
          <w:tcPr>
            <w:tcW w:type="dxa" w:w="2304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Cierre Spot ($)</w:t>
            </w:r>
          </w:p>
        </w:tc>
        <w:tc>
          <w:tcPr>
            <w:tcW w:type="dxa" w:w="2736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Brecha vs. Oficial (%)</w:t>
            </w:r>
          </w:p>
        </w:tc>
      </w:tr>
      <w:tr>
        <w:tc>
          <w:tcPr>
            <w:tcW w:type="dxa" w:w="331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Dólar Oficial Minorista (BNA)</w:t>
            </w:r>
          </w:p>
        </w:tc>
        <w:tc>
          <w:tcPr>
            <w:tcW w:type="dxa" w:w="230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$1.531,07</w:t>
            </w:r>
          </w:p>
        </w:tc>
        <w:tc>
          <w:tcPr>
            <w:tcW w:type="dxa" w:w="273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0,00% (Base)</w:t>
            </w:r>
          </w:p>
        </w:tc>
      </w:tr>
      <w:tr>
        <w:tc>
          <w:tcPr>
            <w:tcW w:type="dxa" w:w="331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Dólar Mayorista (A3500)</w:t>
            </w:r>
          </w:p>
        </w:tc>
        <w:tc>
          <w:tcPr>
            <w:tcW w:type="dxa" w:w="230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$1.511,53</w:t>
            </w:r>
          </w:p>
        </w:tc>
        <w:tc>
          <w:tcPr>
            <w:tcW w:type="dxa" w:w="2736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722F37"/>
                <w:sz w:val="14"/>
              </w:rPr>
              <w:t>-1,28%</w:t>
            </w:r>
          </w:p>
        </w:tc>
      </w:tr>
      <w:tr>
        <w:tc>
          <w:tcPr>
            <w:tcW w:type="dxa" w:w="331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Dólar MEP (Bolsa)</w:t>
            </w:r>
          </w:p>
        </w:tc>
        <w:tc>
          <w:tcPr>
            <w:tcW w:type="dxa" w:w="230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$1.532,33</w:t>
            </w:r>
          </w:p>
        </w:tc>
        <w:tc>
          <w:tcPr>
            <w:tcW w:type="dxa" w:w="273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0D5C46"/>
                <w:sz w:val="14"/>
              </w:rPr>
              <w:t>+0,08%</w:t>
            </w:r>
          </w:p>
        </w:tc>
      </w:tr>
      <w:tr>
        <w:tc>
          <w:tcPr>
            <w:tcW w:type="dxa" w:w="331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Dólar CCL (Cable)</w:t>
            </w:r>
          </w:p>
        </w:tc>
        <w:tc>
          <w:tcPr>
            <w:tcW w:type="dxa" w:w="230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$1.600,20</w:t>
            </w:r>
          </w:p>
        </w:tc>
        <w:tc>
          <w:tcPr>
            <w:tcW w:type="dxa" w:w="2736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0D5C46"/>
                <w:sz w:val="14"/>
              </w:rPr>
              <w:t>+4,52%</w:t>
            </w:r>
          </w:p>
        </w:tc>
      </w:tr>
      <w:tr>
        <w:tc>
          <w:tcPr>
            <w:tcW w:type="dxa" w:w="331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Dólar Blue (Informal)</w:t>
            </w:r>
          </w:p>
        </w:tc>
        <w:tc>
          <w:tcPr>
            <w:tcW w:type="dxa" w:w="230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$1.615,00</w:t>
            </w:r>
          </w:p>
        </w:tc>
        <w:tc>
          <w:tcPr>
            <w:tcW w:type="dxa" w:w="273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0D5C46"/>
                <w:sz w:val="14"/>
              </w:rPr>
              <w:t>+5,48%</w:t>
            </w:r>
          </w:p>
        </w:tc>
      </w:tr>
    </w:tbl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3712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ndec_6_f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12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0" w:after="40"/>
      </w:pPr>
      <w:r>
        <w:rPr>
          <w:rFonts w:ascii="Georgia" w:hAnsi="Georgia"/>
          <w:b/>
          <w:color w:val="0C2340"/>
          <w:sz w:val="19"/>
        </w:rPr>
        <w:t>2. Renta Fija en ARS (LECAPS/BONCER) y Curva Soberana en Hard Dollar</w:t>
      </w:r>
    </w:p>
    <w:p>
      <w:pPr>
        <w:spacing w:before="0" w:after="50" w:line="276" w:lineRule="auto"/>
        <w:jc w:val="both"/>
      </w:pPr>
      <w:r>
        <w:rPr>
          <w:rFonts w:ascii="Georgia" w:hAnsi="Georgia"/>
          <w:color w:val="0F172A"/>
          <w:sz w:val="16"/>
        </w:rPr>
        <w:t>En el mercado en moneda local, las Letras del Tesoro (Lecap) operaron con tasas efectivas mensuales (TEM) de 2,95% en el tramo corto y 3,40% en el tramo largo -- el contrato no especifica tickers ni vencimientos puntuales (ej. "S31O6"), por lo que no se identifica una letra específica -- ofreciendo una prima de 95 pb mensuales sobre la inflación esperada REM (2,00% TEM). El título ajustable por CER Boncer TZX27 rindió CER + 1,10% TIR Real (el contrato no releva otros tramos de la curva CER), convalidando un breakeven inflacionario implícito de 2,86% mensual.</w:t>
      </w:r>
    </w:p>
    <w:p>
      <w:pPr>
        <w:spacing w:before="0" w:after="50" w:line="276" w:lineRule="auto"/>
        <w:jc w:val="both"/>
      </w:pPr>
      <w:r>
        <w:rPr>
          <w:rFonts w:ascii="Georgia" w:hAnsi="Georgia"/>
          <w:color w:val="0F172A"/>
          <w:sz w:val="16"/>
        </w:rPr>
        <w:t>En deuda hard dollar, el riesgo país (EMBI+) se ubicó en 506 pb (variación 1D: +4 pb, fuente secundaria ArgentinaDatos). Los títulos Globales bajo ley extranjera cotizaron con TIR de 9,80% en el GD30, 9,65% en el GD35 y 9,70% en el GD38 (precios en pesos/USD y duration modificada: s/d, sin fuente automatizable). El spread de legislación frente al Bonar bajo ley local AL30 (11,20% TIR) se ubicó en 140 pb, calculado como diferencia directa de TIR entre ambas especies.</w:t>
      </w:r>
    </w:p>
    <w:p>
      <w:pPr>
        <w:spacing w:before="0" w:after="50" w:line="276" w:lineRule="auto"/>
        <w:jc w:val="both"/>
      </w:pPr>
      <w:r>
        <w:rPr>
          <w:rFonts w:ascii="Georgia" w:hAnsi="Georgia"/>
          <w:color w:val="0F172A"/>
          <w:sz w:val="16"/>
        </w:rPr>
        <w:t>En el segmento monetario, la tasa de caución bursátil a 1 día en ByMA cotiza s/d, sin fuente automatizable; como referencia de tasa corta del sistema, la tasa de pases pasivos del BCRA a 1 día se ubicó en 23,12% TNA y la tasa BADLAR de bancos privados en 23,62% TNA (ambas de registro interno, 2026-08-25).</w:t>
      </w:r>
    </w:p>
    <w:p>
      <w:pPr>
        <w:spacing w:before="0" w:after="50" w:line="276" w:lineRule="auto"/>
        <w:jc w:val="both"/>
      </w:pPr>
      <w:r>
        <w:rPr>
          <w:rFonts w:ascii="Georgia" w:hAnsi="Georgia"/>
          <w:color w:val="0F172A"/>
          <w:sz w:val="16"/>
        </w:rPr>
        <w:t>En el crédito corporativo privado, este pipeline no cuenta con un conector a Obligaciones Negociables (ONs) hard dollar de emisores energéticos de primera línea: los rendimientos por tramo de vencimiento quedan como s/d, sin fuente automatizable.</w:t>
      </w:r>
    </w:p>
    <w:p>
      <w:pPr>
        <w:spacing w:before="0" w:after="60" w:line="276" w:lineRule="auto"/>
        <w:jc w:val="both"/>
      </w:pPr>
      <w:r>
        <w:rPr>
          <w:rFonts w:ascii="Georgia" w:hAnsi="Georgia"/>
          <w:color w:val="0F172A"/>
          <w:sz w:val="16"/>
        </w:rPr>
        <w:t>La curva forward soberana de tasas terminales cotiza s/d, sin fuente automatizable en este pipeline; el modelo Nelson-Siegel calibrado sobre la curva vigente (β0, β1, β2, τ, R²) está disponible en soberano_usd.nelson_siegel del contrato y se referencia en la infografía de curva soberana correspondiente.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736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Ticker / Especie</w:t>
            </w:r>
          </w:p>
        </w:tc>
        <w:tc>
          <w:tcPr>
            <w:tcW w:type="dxa" w:w="2304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TIR / TNA (%)</w:t>
            </w:r>
          </w:p>
        </w:tc>
        <w:tc>
          <w:tcPr>
            <w:tcW w:type="dxa" w:w="3888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Tesis Desk</w:t>
            </w:r>
          </w:p>
        </w:tc>
      </w:tr>
      <w:tr>
        <w:tc>
          <w:tcPr>
            <w:tcW w:type="dxa" w:w="273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Lecap tramo corto</w:t>
            </w:r>
          </w:p>
        </w:tc>
        <w:tc>
          <w:tcPr>
            <w:tcW w:type="dxa" w:w="230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35,40% TNA (2,95% TEM)</w:t>
            </w:r>
          </w:p>
        </w:tc>
        <w:tc>
          <w:tcPr>
            <w:tcW w:type="dxa" w:w="388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B45309"/>
                <w:sz w:val="14"/>
              </w:rPr>
              <w:t>Neutral (sin view táctico cargado)</w:t>
            </w:r>
          </w:p>
        </w:tc>
      </w:tr>
      <w:tr>
        <w:tc>
          <w:tcPr>
            <w:tcW w:type="dxa" w:w="2736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Lecap tramo largo</w:t>
            </w:r>
          </w:p>
        </w:tc>
        <w:tc>
          <w:tcPr>
            <w:tcW w:type="dxa" w:w="230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40,80% TNA (3,40% TEM)</w:t>
            </w:r>
          </w:p>
        </w:tc>
        <w:tc>
          <w:tcPr>
            <w:tcW w:type="dxa" w:w="388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B45309"/>
                <w:sz w:val="14"/>
              </w:rPr>
              <w:t>Neutral (sin view táctico cargado)</w:t>
            </w:r>
          </w:p>
        </w:tc>
      </w:tr>
      <w:tr>
        <w:tc>
          <w:tcPr>
            <w:tcW w:type="dxa" w:w="273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Boncer TZX27</w:t>
            </w:r>
          </w:p>
        </w:tc>
        <w:tc>
          <w:tcPr>
            <w:tcW w:type="dxa" w:w="230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CER + 1,10% TIR Real</w:t>
            </w:r>
          </w:p>
        </w:tc>
        <w:tc>
          <w:tcPr>
            <w:tcW w:type="dxa" w:w="388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B45309"/>
                <w:sz w:val="14"/>
              </w:rPr>
              <w:t>Neutral (sin view táctico cargado)</w:t>
            </w:r>
          </w:p>
        </w:tc>
      </w:tr>
      <w:tr>
        <w:tc>
          <w:tcPr>
            <w:tcW w:type="dxa" w:w="2736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Bonar 2030 (AL30)</w:t>
            </w:r>
          </w:p>
        </w:tc>
        <w:tc>
          <w:tcPr>
            <w:tcW w:type="dxa" w:w="230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11,20% TIR</w:t>
            </w:r>
          </w:p>
        </w:tc>
        <w:tc>
          <w:tcPr>
            <w:tcW w:type="dxa" w:w="388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B45309"/>
                <w:sz w:val="14"/>
              </w:rPr>
              <w:t>Neutral (sin view táctico cargado)</w:t>
            </w:r>
          </w:p>
        </w:tc>
      </w:tr>
      <w:tr>
        <w:tc>
          <w:tcPr>
            <w:tcW w:type="dxa" w:w="273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Global 2030 (GD30)</w:t>
            </w:r>
          </w:p>
        </w:tc>
        <w:tc>
          <w:tcPr>
            <w:tcW w:type="dxa" w:w="230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9,80% TIR</w:t>
            </w:r>
          </w:p>
        </w:tc>
        <w:tc>
          <w:tcPr>
            <w:tcW w:type="dxa" w:w="388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0D5C46"/>
                <w:sz w:val="14"/>
              </w:rPr>
              <w:t>Sobreponderar · Compresión de curva soberana por ancla fiscal (superávit primario) y pago de cupones.</w:t>
            </w:r>
          </w:p>
        </w:tc>
      </w:tr>
      <w:tr>
        <w:tc>
          <w:tcPr>
            <w:tcW w:type="dxa" w:w="2736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Global 2035 (GD35)</w:t>
            </w:r>
          </w:p>
        </w:tc>
        <w:tc>
          <w:tcPr>
            <w:tcW w:type="dxa" w:w="230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9,65% TIR</w:t>
            </w:r>
          </w:p>
        </w:tc>
        <w:tc>
          <w:tcPr>
            <w:tcW w:type="dxa" w:w="388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B45309"/>
                <w:sz w:val="14"/>
              </w:rPr>
              <w:t>Neutral (sin view táctico cargado)</w:t>
            </w:r>
          </w:p>
        </w:tc>
      </w:tr>
      <w:tr>
        <w:tc>
          <w:tcPr>
            <w:tcW w:type="dxa" w:w="273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Global 2038 (GD38)</w:t>
            </w:r>
          </w:p>
        </w:tc>
        <w:tc>
          <w:tcPr>
            <w:tcW w:type="dxa" w:w="230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9,70% TIR</w:t>
            </w:r>
          </w:p>
        </w:tc>
        <w:tc>
          <w:tcPr>
            <w:tcW w:type="dxa" w:w="388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B45309"/>
                <w:sz w:val="14"/>
              </w:rPr>
              <w:t>Neutral (sin view táctico cargado)</w:t>
            </w:r>
          </w:p>
        </w:tc>
      </w:tr>
    </w:tbl>
    <w:p>
      <w:pPr>
        <w:spacing w:before="0" w:after="60" w:line="276" w:lineRule="auto"/>
        <w:jc w:val="both"/>
      </w:pPr>
      <w:r>
        <w:rPr>
          <w:rFonts w:ascii="Georgia" w:hAnsi="Georgia"/>
          <w:color w:val="0F172A"/>
          <w:sz w:val="14"/>
        </w:rPr>
        <w:t>Precio, variación diaria y duration modificada de estas especies no tienen fuente automatizable en este pipeline (no hay motor de pricing de bonos en pesos conectado) -- se omiten en vez de mostrarse sin dato.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18" w:type="dxa"/>
              <w:bottom w:w="18" w:type="dxa"/>
              <w:left w:w="24" w:type="dxa"/>
              <w:right w:w="24" w:type="dxa"/>
            </w:tcMar>
            <w:tcBorders>
              <w:top w:val="single" w:sz="8" w:space="0" w:color="0C2340"/>
              <w:bottom w:val="single" w:sz="8" w:space="0" w:color="0C2340"/>
              <w:left w:val="single" w:sz="8" w:space="0" w:color="0C2340"/>
              <w:right w:val="single" w:sz="8" w:space="0" w:color="0C2340"/>
            </w:tcBorders>
          </w:tcPr>
          <w:p>
            <w:pPr>
              <w:spacing w:before="0" w:after="40"/>
            </w:pPr>
            <w:r>
              <w:rPr>
                <w:rFonts w:ascii="Georgia" w:hAnsi="Georgia"/>
                <w:b/>
                <w:color w:val="0C2340"/>
                <w:sz w:val="16"/>
              </w:rPr>
              <w:t>TRADE CALL CUANTITATIVO DE MESA &amp; ARBITRAJE DE SPREADS</w:t>
              <w:br/>
            </w:r>
            <w:r>
              <w:rPr>
                <w:rFonts w:ascii="Georgia" w:hAnsi="Georgia"/>
                <w:b/>
                <w:color w:val="722F37"/>
                <w:sz w:val="16"/>
              </w:rPr>
              <w:t>Estrategia 1: Carry en Lecap tramo corto (TEM 2,95%) | Estrategia 2: Arbitraje AL30 vs. GD30 por legislación</w:t>
              <w:br/>
            </w:r>
            <w:r>
              <w:rPr>
                <w:rFonts w:ascii="Georgia" w:hAnsi="Georgia"/>
                <w:color w:val="0F172A"/>
                <w:sz w:val="15"/>
              </w:rPr>
              <w:t>• Carry en Pesos: La TEM de 2,95% del tramo corto de Lecap implica una prima de 95 pb mensuales sobre la inflación esperada REM (2,00% TEM). El fondeo con caución a 1 día no tiene tasa disponible en este pipeline: cotiza s/d, sin fuente automatizable; el spread de fondeo neto no puede calcularse de forma automatizada en esta corrida.</w:t>
              <w:br/>
              <w:t>• Arbitraje de Legislación: El diferencial de 140 pb entre AL30 (11,20%) y GD30 (9,80%) presenta una oportunidad de rotación táctica hacia el título de mayor TIR, sujeta a riesgo de legislación y liquidez relativa.</w:t>
              <w:br/>
              <w:t>• View Táctico Cargado en el Contrato: Sobreponderar · Compresión de curva soberana por ancla fiscal (superávit primario) y pago de cupones.</w:t>
            </w:r>
          </w:p>
        </w:tc>
      </w:tr>
    </w:tbl>
    <w:p>
      <w:pPr>
        <w:pStyle w:val="Heading2"/>
        <w:spacing w:before="60" w:after="40"/>
      </w:pPr>
      <w:r>
        <w:rPr>
          <w:rFonts w:ascii="Georgia" w:hAnsi="Georgia"/>
          <w:b/>
          <w:color w:val="0C2340"/>
          <w:sz w:val="19"/>
        </w:rPr>
        <w:t>3. Monitor de Renta Variable Energética y Múltiplos Corporativos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592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Compañía / Ticker</w:t>
            </w:r>
          </w:p>
        </w:tc>
        <w:tc>
          <w:tcPr>
            <w:tcW w:type="dxa" w:w="1728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Precio Cierre ($)</w:t>
            </w:r>
          </w:p>
        </w:tc>
        <w:tc>
          <w:tcPr>
            <w:tcW w:type="dxa" w:w="1728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Var. Semanal (%)</w:t>
            </w:r>
          </w:p>
        </w:tc>
        <w:tc>
          <w:tcPr>
            <w:tcW w:type="dxa" w:w="1872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EV/EBITDA</w:t>
            </w:r>
          </w:p>
        </w:tc>
        <w:tc>
          <w:tcPr>
            <w:tcW w:type="dxa" w:w="2448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Tesis Fundamental</w:t>
            </w:r>
          </w:p>
        </w:tc>
      </w:tr>
      <w:tr>
        <w:tc>
          <w:tcPr>
            <w:tcW w:type="dxa" w:w="259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YPF S.A. (YPFD)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$8.105,00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+2,53%</w:t>
            </w:r>
          </w:p>
        </w:tc>
        <w:tc>
          <w:tcPr>
            <w:tcW w:type="dxa" w:w="187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3,8x</w:t>
            </w:r>
          </w:p>
        </w:tc>
        <w:tc>
          <w:tcPr>
            <w:tcW w:type="dxa" w:w="244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0D5C46"/>
                <w:sz w:val="14"/>
              </w:rPr>
              <w:t>Sobreponderar</w:t>
            </w:r>
          </w:p>
        </w:tc>
      </w:tr>
      <w:tr>
        <w:tc>
          <w:tcPr>
            <w:tcW w:type="dxa" w:w="259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Pampa Energía (PAMP)</w:t>
            </w:r>
          </w:p>
        </w:tc>
        <w:tc>
          <w:tcPr>
            <w:tcW w:type="dxa" w:w="172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$5.135,00</w:t>
            </w:r>
          </w:p>
        </w:tc>
        <w:tc>
          <w:tcPr>
            <w:tcW w:type="dxa" w:w="172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+2,60%</w:t>
            </w:r>
          </w:p>
        </w:tc>
        <w:tc>
          <w:tcPr>
            <w:tcW w:type="dxa" w:w="187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4,1x</w:t>
            </w:r>
          </w:p>
        </w:tc>
        <w:tc>
          <w:tcPr>
            <w:tcW w:type="dxa" w:w="244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0D5C46"/>
                <w:sz w:val="14"/>
              </w:rPr>
              <w:t>Sobreponderar</w:t>
            </w:r>
          </w:p>
        </w:tc>
      </w:tr>
      <w:tr>
        <w:tc>
          <w:tcPr>
            <w:tcW w:type="dxa" w:w="259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Transportadora Gas Sur (TGSU2)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$9.055,00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+3,31%</w:t>
            </w:r>
          </w:p>
        </w:tc>
        <w:tc>
          <w:tcPr>
            <w:tcW w:type="dxa" w:w="187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s/d</w:t>
            </w:r>
          </w:p>
        </w:tc>
        <w:tc>
          <w:tcPr>
            <w:tcW w:type="dxa" w:w="244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s/d (sin múltiplo/view cargado en el contrato)</w:t>
            </w:r>
          </w:p>
        </w:tc>
      </w:tr>
      <w:tr>
        <w:tc>
          <w:tcPr>
            <w:tcW w:type="dxa" w:w="259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Grupo Financiero Galicia (GGAL)</w:t>
            </w:r>
          </w:p>
        </w:tc>
        <w:tc>
          <w:tcPr>
            <w:tcW w:type="dxa" w:w="172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$7.010,00</w:t>
            </w:r>
          </w:p>
        </w:tc>
        <w:tc>
          <w:tcPr>
            <w:tcW w:type="dxa" w:w="172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+7,02%</w:t>
            </w:r>
          </w:p>
        </w:tc>
        <w:tc>
          <w:tcPr>
            <w:tcW w:type="dxa" w:w="187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6,2x</w:t>
            </w:r>
          </w:p>
        </w:tc>
        <w:tc>
          <w:tcPr>
            <w:tcW w:type="dxa" w:w="244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0D5C46"/>
                <w:sz w:val="14"/>
              </w:rPr>
              <w:t>Sobreponderar · Crecimiento de crédito privado real desplazando exposición a títulos públicos.</w:t>
            </w:r>
          </w:p>
        </w:tc>
      </w:tr>
      <w:tr>
        <w:tc>
          <w:tcPr>
            <w:tcW w:type="dxa" w:w="259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Banco Macro (BMA)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$12.470,00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+5,68%</w:t>
            </w:r>
          </w:p>
        </w:tc>
        <w:tc>
          <w:tcPr>
            <w:tcW w:type="dxa" w:w="187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s/d</w:t>
            </w:r>
          </w:p>
        </w:tc>
        <w:tc>
          <w:tcPr>
            <w:tcW w:type="dxa" w:w="244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s/d (sin múltiplo/view cargado en el contrato)</w:t>
            </w:r>
          </w:p>
        </w:tc>
      </w:tr>
    </w:tbl>
    <w:p>
      <w:pPr>
        <w:pStyle w:val="Heading2"/>
        <w:spacing w:before="60" w:after="40"/>
      </w:pPr>
      <w:r>
        <w:rPr>
          <w:rFonts w:ascii="Georgia" w:hAnsi="Georgia"/>
          <w:b/>
          <w:color w:val="0C2340"/>
          <w:sz w:val="19"/>
        </w:rPr>
        <w:t>4. Licitaciones del Tesoro, Absorción Monetaria y Drivers de la Próxima Rueda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024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Instrumento / Operación</w:t>
            </w:r>
          </w:p>
        </w:tc>
        <w:tc>
          <w:tcPr>
            <w:tcW w:type="dxa" w:w="2160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Monto Adjudicado / Stock</w:t>
            </w:r>
          </w:p>
        </w:tc>
        <w:tc>
          <w:tcPr>
            <w:tcW w:type="dxa" w:w="2160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Tasa de Referencia (2rio.)</w:t>
            </w:r>
          </w:p>
        </w:tc>
        <w:tc>
          <w:tcPr>
            <w:tcW w:type="dxa" w:w="3024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Destino / Efecto Monetario</w:t>
            </w:r>
          </w:p>
        </w:tc>
      </w:tr>
      <w:tr>
        <w:tc>
          <w:tcPr>
            <w:tcW w:type="dxa" w:w="302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Lecap tramo corto (mercado 2rio.)</w:t>
            </w:r>
          </w:p>
        </w:tc>
        <w:tc>
          <w:tcPr>
            <w:tcW w:type="dxa" w:w="216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s/d (sin licitación primaria)</w:t>
            </w:r>
          </w:p>
        </w:tc>
        <w:tc>
          <w:tcPr>
            <w:tcW w:type="dxa" w:w="216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35,40% TNA (2,95% TEM)</w:t>
            </w:r>
          </w:p>
        </w:tc>
        <w:tc>
          <w:tcPr>
            <w:tcW w:type="dxa" w:w="302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Referencia de tasa fija corta; sin dato de licitación.</w:t>
            </w:r>
          </w:p>
        </w:tc>
      </w:tr>
      <w:tr>
        <w:tc>
          <w:tcPr>
            <w:tcW w:type="dxa" w:w="302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Lecap tramo largo (mercado 2rio.)</w:t>
            </w:r>
          </w:p>
        </w:tc>
        <w:tc>
          <w:tcPr>
            <w:tcW w:type="dxa" w:w="2160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s/d (sin licitación primaria)</w:t>
            </w:r>
          </w:p>
        </w:tc>
        <w:tc>
          <w:tcPr>
            <w:tcW w:type="dxa" w:w="2160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40,80% TNA (3,40% TEM)</w:t>
            </w:r>
          </w:p>
        </w:tc>
        <w:tc>
          <w:tcPr>
            <w:tcW w:type="dxa" w:w="302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Referencia de tasa fija larga; sin dato de licitación.</w:t>
            </w:r>
          </w:p>
        </w:tc>
      </w:tr>
      <w:tr>
        <w:tc>
          <w:tcPr>
            <w:tcW w:type="dxa" w:w="302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Letras Fiscales de Liquidez (LEFI)</w:t>
            </w:r>
          </w:p>
        </w:tc>
        <w:tc>
          <w:tcPr>
            <w:tcW w:type="dxa" w:w="216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Mecanismo discontinuado (stock $0 desde jul-2025, BCRA id=196)</w:t>
            </w:r>
          </w:p>
        </w:tc>
        <w:tc>
          <w:tcPr>
            <w:tcW w:type="dxa" w:w="216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-</w:t>
            </w:r>
          </w:p>
        </w:tc>
        <w:tc>
          <w:tcPr>
            <w:tcW w:type="dxa" w:w="302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Sin efecto monetario vigente.</w:t>
            </w:r>
          </w:p>
        </w:tc>
      </w:tr>
      <w:tr>
        <w:tc>
          <w:tcPr>
            <w:tcW w:type="dxa" w:w="302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Base Monetaria (promedio mensual)</w:t>
            </w:r>
          </w:p>
        </w:tc>
        <w:tc>
          <w:tcPr>
            <w:tcW w:type="dxa" w:w="2160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$46,5 B</w:t>
            </w:r>
          </w:p>
        </w:tc>
        <w:tc>
          <w:tcPr>
            <w:tcW w:type="dxa" w:w="2160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-</w:t>
            </w:r>
          </w:p>
        </w:tc>
        <w:tc>
          <w:tcPr>
            <w:tcW w:type="dxa" w:w="302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BCRA v4.0, id=15; promedio mensual, no stock puntual a la fecha.</w:t>
            </w:r>
          </w:p>
        </w:tc>
      </w:tr>
      <w:tr>
        <w:tc>
          <w:tcPr>
            <w:tcW w:type="dxa" w:w="302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Pases Pasivos BCRA (1D)</w:t>
            </w:r>
          </w:p>
        </w:tc>
        <w:tc>
          <w:tcPr>
            <w:tcW w:type="dxa" w:w="216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$0,0 B</w:t>
            </w:r>
          </w:p>
        </w:tc>
        <w:tc>
          <w:tcPr>
            <w:tcW w:type="dxa" w:w="216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23,12% TNA</w:t>
            </w:r>
          </w:p>
        </w:tc>
        <w:tc>
          <w:tcPr>
            <w:tcW w:type="dxa" w:w="302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Absorción monetaria de corto plazo (registro interno, 2026-08-25).</w:t>
            </w:r>
          </w:p>
        </w:tc>
      </w:tr>
    </w:tbl>
    <w:p>
      <w:pPr>
        <w:spacing w:before="0" w:after="0" w:line="276" w:lineRule="auto"/>
        <w:jc w:val="both"/>
      </w:pPr>
      <w:r>
        <w:rPr>
          <w:rFonts w:ascii="Georgia" w:hAnsi="Georgia"/>
          <w:color w:val="0F172A"/>
          <w:sz w:val="16"/>
        </w:rPr>
        <w:t>• Drivers para la Rueda Siguiente: (1) Licitación quincenal de títulos en pesos de la Secretaría de Finanzas; (2) Publicación de balances corporativos del sector energético (YPF, PAMP); (3) Evolución del saldo comprador en el MULC; (4) Vencimiento de futuros Rofex y volumen en el tramo corto.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20" w:left="936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Georgia" w:hAnsi="Georgia"/>
        <w:color w:val="64748B"/>
        <w:sz w:val="15"/>
      </w:rPr>
      <w:t>Federico Agustín Chillón · Investigador · Cs. Económicas UNCUYO · FCE UNCUYO</w:t>
      <w:tab/>
      <w:tab/>
      <w:t>Monitor Flash Diario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/>
        <w:color w:val="64748B"/>
        <w:sz w:val="15"/>
      </w:rPr>
      <w:t>MONITOR DIARIO DE MERCADOS &amp; COYUNTURA · 25 DE AGOSTO DE 2026</w:t>
      <w:tab/>
      <w:tab/>
      <w:t>FEDERICO AGUSTÍN CHILLÓN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