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"/>
      </w:pPr>
      <w:r>
        <w:rPr>
          <w:rFonts w:ascii="Georgia" w:hAnsi="Georgia"/>
          <w:b/>
          <w:color w:val="0C2340"/>
          <w:sz w:val="27"/>
        </w:rPr>
        <w:t>Monitor Diario de Mercados &amp; Coyuntura Financiera</w:t>
      </w:r>
    </w:p>
    <w:p>
      <w:pPr>
        <w:spacing w:after="70"/>
      </w:pPr>
      <w:r>
        <w:rPr>
          <w:rFonts w:ascii="Georgia" w:hAnsi="Georgia"/>
          <w:i/>
          <w:color w:val="64748B"/>
          <w:sz w:val="16"/>
        </w:rPr>
        <w:t>Cierre de Operaciones: 21 de Agosto de 2026 | Estrategia Cuantitativa &amp; Trading Desk | FCE UNCUYO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8FAFC"/>
            <w:tcMar>
              <w:top w:w="12" w:type="dxa"/>
              <w:bottom w:w="12" w:type="dxa"/>
              <w:left w:w="16" w:type="dxa"/>
              <w:right w:w="16" w:type="dxa"/>
            </w:tcMar>
            <w:tcBorders>
              <w:top w:val="single" w:sz="6" w:space="0" w:color="0C2340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rFonts w:ascii="Georgia" w:hAnsi="Georgia"/>
                <w:b/>
                <w:color w:val="0C2340"/>
                <w:sz w:val="13"/>
              </w:rPr>
              <w:t>DÓLAR CCL (CABLE)</w:t>
              <w:br/>
            </w:r>
            <w:r>
              <w:rPr>
                <w:rFonts w:ascii="Georgia" w:hAnsi="Georgia"/>
                <w:b/>
                <w:color w:val="0F172A"/>
                <w:sz w:val="19"/>
              </w:rPr>
              <w:t>$1.596,59</w:t>
              <w:br/>
            </w:r>
            <w:r>
              <w:rPr>
                <w:rFonts w:ascii="Georgia" w:hAnsi="Georgia"/>
                <w:color w:val="64748B"/>
                <w:sz w:val="13"/>
              </w:rPr>
              <w:t>+0,42% 1D · Brecha 5,39%</w:t>
            </w:r>
          </w:p>
        </w:tc>
        <w:tc>
          <w:tcPr>
            <w:tcW w:type="dxa" w:w="2592"/>
            <w:shd w:fill="F8FAFC"/>
            <w:tcMar>
              <w:top w:w="12" w:type="dxa"/>
              <w:bottom w:w="12" w:type="dxa"/>
              <w:left w:w="16" w:type="dxa"/>
              <w:right w:w="16" w:type="dxa"/>
            </w:tcMar>
            <w:tcBorders>
              <w:top w:val="single" w:sz="6" w:space="0" w:color="0C2340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rFonts w:ascii="Georgia" w:hAnsi="Georgia"/>
                <w:b/>
                <w:color w:val="0C2340"/>
                <w:sz w:val="13"/>
              </w:rPr>
              <w:t>RIESGO PAÍS EMBI+</w:t>
              <w:br/>
            </w:r>
            <w:r>
              <w:rPr>
                <w:rFonts w:ascii="Georgia" w:hAnsi="Georgia"/>
                <w:b/>
                <w:color w:val="0F172A"/>
                <w:sz w:val="19"/>
              </w:rPr>
              <w:t>506 pb</w:t>
              <w:br/>
            </w:r>
            <w:r>
              <w:rPr>
                <w:rFonts w:ascii="Georgia" w:hAnsi="Georgia"/>
                <w:color w:val="64748B"/>
                <w:sz w:val="13"/>
              </w:rPr>
              <w:t>-4 pb 1D · Compresión</w:t>
            </w:r>
          </w:p>
        </w:tc>
        <w:tc>
          <w:tcPr>
            <w:tcW w:type="dxa" w:w="2592"/>
            <w:shd w:fill="F8FAFC"/>
            <w:tcMar>
              <w:top w:w="12" w:type="dxa"/>
              <w:bottom w:w="12" w:type="dxa"/>
              <w:left w:w="16" w:type="dxa"/>
              <w:right w:w="16" w:type="dxa"/>
            </w:tcMar>
            <w:tcBorders>
              <w:top w:val="single" w:sz="6" w:space="0" w:color="0C2340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rFonts w:ascii="Georgia" w:hAnsi="Georgia"/>
                <w:b/>
                <w:color w:val="0C2340"/>
                <w:sz w:val="13"/>
              </w:rPr>
              <w:t>CAUCIÓN 1D (BYMA)</w:t>
              <w:br/>
            </w:r>
            <w:r>
              <w:rPr>
                <w:rFonts w:ascii="Georgia" w:hAnsi="Georgia"/>
                <w:b/>
                <w:color w:val="0F172A"/>
                <w:sz w:val="19"/>
              </w:rPr>
              <w:t>32,50% TNA</w:t>
              <w:br/>
            </w:r>
            <w:r>
              <w:rPr>
                <w:rFonts w:ascii="Georgia" w:hAnsi="Georgia"/>
                <w:color w:val="64748B"/>
                <w:sz w:val="13"/>
              </w:rPr>
              <w:t>2,71% TEM · Liquidez</w:t>
            </w:r>
          </w:p>
        </w:tc>
        <w:tc>
          <w:tcPr>
            <w:tcW w:type="dxa" w:w="2592"/>
            <w:shd w:fill="F8FAFC"/>
            <w:tcMar>
              <w:top w:w="12" w:type="dxa"/>
              <w:bottom w:w="12" w:type="dxa"/>
              <w:left w:w="16" w:type="dxa"/>
              <w:right w:w="16" w:type="dxa"/>
            </w:tcMar>
            <w:tcBorders>
              <w:top w:val="single" w:sz="6" w:space="0" w:color="0C2340"/>
              <w:bottom w:val="single" w:sz="6" w:space="0" w:color="CBD5E1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</w:pPr>
            <w:r>
              <w:rPr>
                <w:rFonts w:ascii="Georgia" w:hAnsi="Georgia"/>
                <w:b/>
                <w:color w:val="0C2340"/>
                <w:sz w:val="13"/>
              </w:rPr>
              <w:t>S&amp;P MERVAL (USD)</w:t>
              <w:br/>
            </w:r>
            <w:r>
              <w:rPr>
                <w:rFonts w:ascii="Georgia" w:hAnsi="Georgia"/>
                <w:b/>
                <w:color w:val="0F172A"/>
                <w:sz w:val="19"/>
              </w:rPr>
              <w:t>3.156.332 pts</w:t>
              <w:br/>
            </w:r>
            <w:r>
              <w:rPr>
                <w:rFonts w:ascii="Georgia" w:hAnsi="Georgia"/>
                <w:color w:val="64748B"/>
                <w:sz w:val="13"/>
              </w:rPr>
              <w:t>+1,30% 1D · USD 1.976</w:t>
            </w:r>
          </w:p>
        </w:tc>
      </w:tr>
    </w:tbl>
    <w:p>
      <w:pPr>
        <w:pStyle w:val="Heading2"/>
        <w:spacing w:before="100" w:after="40"/>
      </w:pPr>
      <w:r>
        <w:rPr>
          <w:rFonts w:ascii="Georgia" w:hAnsi="Georgia"/>
          <w:b/>
          <w:color w:val="0C2340"/>
          <w:sz w:val="19"/>
        </w:rPr>
        <w:t>1. Microestructura Cambiaria, Flujos en el MULC y Futuros Matba-Rofex</w:t>
      </w:r>
    </w:p>
    <w:p>
      <w:pPr>
        <w:spacing w:before="0" w:after="50" w:line="276" w:lineRule="auto"/>
        <w:jc w:val="both"/>
      </w:pPr>
      <w:r>
        <w:rPr>
          <w:rFonts w:ascii="Georgia" w:hAnsi="Georgia"/>
          <w:color w:val="0F172A"/>
          <w:sz w:val="16"/>
        </w:rPr>
        <w:t>La rueda cambiaria operó con fluidez en el Mercado Único y Libre de Cambios (MULC), registrando un volumen negociado de USD 380M en el segmento spot. El tipo de cambio mayorista de referencia (Com. 'A' 3500) cerró en $1.485,00 (+0,07% diario), convalidando la trayectoria del crawling peg administrado al 2% mensual. El Banco Central concluyó la sesión con compras netas por USD 85M, acumulando un saldo favorable de USD 950M en lo que va del mes.</w:t>
      </w:r>
    </w:p>
    <w:p>
      <w:pPr>
        <w:spacing w:before="0" w:after="50" w:line="276" w:lineRule="auto"/>
        <w:jc w:val="both"/>
      </w:pPr>
      <w:r>
        <w:rPr>
          <w:rFonts w:ascii="Georgia" w:hAnsi="Georgia"/>
          <w:color w:val="0F172A"/>
          <w:sz w:val="16"/>
        </w:rPr>
        <w:t>En el segmento financiero, las cotizaciones bursátiles operaron con estabilidad: el Dólar MEP cerró en $1.532,33 (-0,15%), mientras que el Dólar Contado con Liquidación (CCL) finalizó en $1.596,59 (+0,42%), comprimiendo la brecha cambiaria al 5,39% frente a la cotización minorista del Banco Nación ($1.515,00) y al 7,51% sobre el mayorista.</w:t>
      </w:r>
    </w:p>
    <w:p>
      <w:pPr>
        <w:spacing w:before="0" w:after="60" w:line="276" w:lineRule="auto"/>
        <w:jc w:val="both"/>
      </w:pPr>
      <w:r>
        <w:rPr>
          <w:rFonts w:ascii="Georgia" w:hAnsi="Georgia"/>
          <w:color w:val="0F172A"/>
          <w:sz w:val="16"/>
        </w:rPr>
        <w:t>En el mercado de futuros de Matba-Rofex, el interés abierto totalizó 1,25M contratos con una concentración del 72% en los vencimientos de agosto y septiembre. Las tasas nominales anuales implícitas oscilaron entre 35,20% (Sep-26) y 37,10% (Nov-26), reflejando una base de Paridad Cubierta (CIP Basis) neutral que descarta primas por salto cambiario discreto.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736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Segmento / Activo</w:t>
            </w:r>
          </w:p>
        </w:tc>
        <w:tc>
          <w:tcPr>
            <w:tcW w:type="dxa" w:w="1728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Cierre Spot ($)</w:t>
            </w:r>
          </w:p>
        </w:tc>
        <w:tc>
          <w:tcPr>
            <w:tcW w:type="dxa" w:w="1584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Var. Diaria (%)</w:t>
            </w:r>
          </w:p>
        </w:tc>
        <w:tc>
          <w:tcPr>
            <w:tcW w:type="dxa" w:w="1872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Brecha Oficial (%)</w:t>
            </w:r>
          </w:p>
        </w:tc>
        <w:tc>
          <w:tcPr>
            <w:tcW w:type="dxa" w:w="2448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Volumen / TNA Impl.</w:t>
            </w:r>
          </w:p>
        </w:tc>
      </w:tr>
      <w:tr>
        <w:tc>
          <w:tcPr>
            <w:tcW w:type="dxa" w:w="2736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Dólar Mayorista (A 3500)</w:t>
            </w:r>
          </w:p>
        </w:tc>
        <w:tc>
          <w:tcPr>
            <w:tcW w:type="dxa" w:w="1728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$1.485,00</w:t>
            </w:r>
          </w:p>
        </w:tc>
        <w:tc>
          <w:tcPr>
            <w:tcW w:type="dxa" w:w="1584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b/>
                <w:color w:val="0D5C46"/>
                <w:sz w:val="14"/>
              </w:rPr>
              <w:t>+0,07%</w:t>
            </w:r>
          </w:p>
        </w:tc>
        <w:tc>
          <w:tcPr>
            <w:tcW w:type="dxa" w:w="1872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color w:val="0F172A"/>
                <w:sz w:val="14"/>
              </w:rPr>
              <w:t>0,00% (Base)</w:t>
            </w:r>
          </w:p>
        </w:tc>
        <w:tc>
          <w:tcPr>
            <w:tcW w:type="dxa" w:w="2448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USD 380M operado</w:t>
            </w:r>
          </w:p>
        </w:tc>
      </w:tr>
      <w:tr>
        <w:tc>
          <w:tcPr>
            <w:tcW w:type="dxa" w:w="2736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Dólar Oficial Minorista (BNA)</w:t>
            </w:r>
          </w:p>
        </w:tc>
        <w:tc>
          <w:tcPr>
            <w:tcW w:type="dxa" w:w="1728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$1.515,00</w:t>
            </w:r>
          </w:p>
        </w:tc>
        <w:tc>
          <w:tcPr>
            <w:tcW w:type="dxa" w:w="1584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0,00%</w:t>
            </w:r>
          </w:p>
        </w:tc>
        <w:tc>
          <w:tcPr>
            <w:tcW w:type="dxa" w:w="1872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0D5C46"/>
                <w:sz w:val="14"/>
              </w:rPr>
              <w:t>+2,02%</w:t>
            </w:r>
          </w:p>
        </w:tc>
        <w:tc>
          <w:tcPr>
            <w:tcW w:type="dxa" w:w="2448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Referencia minorista</w:t>
            </w:r>
          </w:p>
        </w:tc>
      </w:tr>
      <w:tr>
        <w:tc>
          <w:tcPr>
            <w:tcW w:type="dxa" w:w="2736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Dólar MEP (Bolsa AL30)</w:t>
            </w:r>
          </w:p>
        </w:tc>
        <w:tc>
          <w:tcPr>
            <w:tcW w:type="dxa" w:w="1728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$1.532,33</w:t>
            </w:r>
          </w:p>
        </w:tc>
        <w:tc>
          <w:tcPr>
            <w:tcW w:type="dxa" w:w="1584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b/>
                <w:color w:val="722F37"/>
                <w:sz w:val="14"/>
              </w:rPr>
              <w:t>-0,15%</w:t>
            </w:r>
          </w:p>
        </w:tc>
        <w:tc>
          <w:tcPr>
            <w:tcW w:type="dxa" w:w="1872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0D5C46"/>
                <w:sz w:val="14"/>
              </w:rPr>
              <w:t>+3,19%</w:t>
            </w:r>
          </w:p>
        </w:tc>
        <w:tc>
          <w:tcPr>
            <w:tcW w:type="dxa" w:w="2448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USD 120M operado</w:t>
            </w:r>
          </w:p>
        </w:tc>
      </w:tr>
      <w:tr>
        <w:tc>
          <w:tcPr>
            <w:tcW w:type="dxa" w:w="2736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Dólar CCL (Cable GD30)</w:t>
            </w:r>
          </w:p>
        </w:tc>
        <w:tc>
          <w:tcPr>
            <w:tcW w:type="dxa" w:w="1728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$1.596,59</w:t>
            </w:r>
          </w:p>
        </w:tc>
        <w:tc>
          <w:tcPr>
            <w:tcW w:type="dxa" w:w="1584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b/>
                <w:color w:val="0D5C46"/>
                <w:sz w:val="14"/>
              </w:rPr>
              <w:t>+0,42%</w:t>
            </w:r>
          </w:p>
        </w:tc>
        <w:tc>
          <w:tcPr>
            <w:tcW w:type="dxa" w:w="1872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0D5C46"/>
                <w:sz w:val="14"/>
              </w:rPr>
              <w:t>+7,51%</w:t>
            </w:r>
          </w:p>
        </w:tc>
        <w:tc>
          <w:tcPr>
            <w:tcW w:type="dxa" w:w="2448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USD 95M operado</w:t>
            </w:r>
          </w:p>
        </w:tc>
      </w:tr>
      <w:tr>
        <w:tc>
          <w:tcPr>
            <w:tcW w:type="dxa" w:w="2736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Rofex Posición Sep-26</w:t>
            </w:r>
          </w:p>
        </w:tc>
        <w:tc>
          <w:tcPr>
            <w:tcW w:type="dxa" w:w="1728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$1.530,00</w:t>
            </w:r>
          </w:p>
        </w:tc>
        <w:tc>
          <w:tcPr>
            <w:tcW w:type="dxa" w:w="1584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b/>
                <w:color w:val="722F37"/>
                <w:sz w:val="14"/>
              </w:rPr>
              <w:t>-0,10%</w:t>
            </w:r>
          </w:p>
        </w:tc>
        <w:tc>
          <w:tcPr>
            <w:tcW w:type="dxa" w:w="1872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0D5C46"/>
                <w:sz w:val="14"/>
              </w:rPr>
              <w:t>+3,03%</w:t>
            </w:r>
          </w:p>
        </w:tc>
        <w:tc>
          <w:tcPr>
            <w:tcW w:type="dxa" w:w="2448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35,20% TNA (620k contratos)</w:t>
            </w:r>
          </w:p>
        </w:tc>
      </w:tr>
      <w:tr>
        <w:tc>
          <w:tcPr>
            <w:tcW w:type="dxa" w:w="2736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Rofex Posición Nov-26</w:t>
            </w:r>
          </w:p>
        </w:tc>
        <w:tc>
          <w:tcPr>
            <w:tcW w:type="dxa" w:w="1728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$1.635,00</w:t>
            </w:r>
          </w:p>
        </w:tc>
        <w:tc>
          <w:tcPr>
            <w:tcW w:type="dxa" w:w="1584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b/>
                <w:color w:val="722F37"/>
                <w:sz w:val="14"/>
              </w:rPr>
              <w:t>-0,05%</w:t>
            </w:r>
          </w:p>
        </w:tc>
        <w:tc>
          <w:tcPr>
            <w:tcW w:type="dxa" w:w="1872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0D5C46"/>
                <w:sz w:val="14"/>
              </w:rPr>
              <w:t>+10,10%</w:t>
            </w:r>
          </w:p>
        </w:tc>
        <w:tc>
          <w:tcPr>
            <w:tcW w:type="dxa" w:w="2448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37,10% TNA (410k contratos)</w:t>
            </w:r>
          </w:p>
        </w:tc>
      </w:tr>
    </w:tbl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3680" cy="3670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p11_1_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670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before="0" w:after="40"/>
      </w:pPr>
      <w:r>
        <w:rPr>
          <w:rFonts w:ascii="Georgia" w:hAnsi="Georgia"/>
          <w:b/>
          <w:color w:val="0C2340"/>
          <w:sz w:val="19"/>
        </w:rPr>
        <w:t>2. Renta Fija en ARS (LECAPS/BONCER) y Curva Soberana en Hard Dollar</w:t>
      </w:r>
    </w:p>
    <w:p>
      <w:pPr>
        <w:spacing w:before="0" w:after="50" w:line="276" w:lineRule="auto"/>
        <w:jc w:val="both"/>
      </w:pPr>
      <w:r>
        <w:rPr>
          <w:rFonts w:ascii="Georgia" w:hAnsi="Georgia"/>
          <w:color w:val="0F172A"/>
          <w:sz w:val="16"/>
        </w:rPr>
        <w:t>En el mercado en moneda local, las Letras del Tesoro (LECAPs) operaron con alto volumen y tasas efectivas mensuales (TEM) de 2,95% en la letra S31O6 (Oct-26) y 3,05% en la S28N6 (Nov-26), ofreciendo una prima real de +93 pb mensuales sobre las expectativas del REM. Los títulos ajustables por CER (BONCER) operaron estables con rendimientos reales de CER + 1,10% (TZX27) y CER + 2,30% (TZX28), convalidando un breakeven inflacionario implícito de 2,65% mensual.</w:t>
      </w:r>
    </w:p>
    <w:p>
      <w:pPr>
        <w:spacing w:before="0" w:after="50" w:line="276" w:lineRule="auto"/>
        <w:jc w:val="both"/>
      </w:pPr>
      <w:r>
        <w:rPr>
          <w:rFonts w:ascii="Georgia" w:hAnsi="Georgia"/>
          <w:color w:val="0F172A"/>
          <w:sz w:val="16"/>
        </w:rPr>
        <w:t>En deuda hard dollar, los bonos soberanos extendieron su tendencia compradora: el riesgo país (EMBI+) retrocedió 4 pb hasta los 506 puntos básicos. Los títulos Globales bajo ley extranjera cotizaron al alza, con el GD30 cerrando en USD 69,80 (10,70% TIR) y el GD38 en USD 60,90 (9,70% TIR). El spread de legislación frente a los Bonares locales (AL30 en 11,20% TIR) se ubicó en 50 pb, abriendo ventanas de arbitraje táctico.</w:t>
      </w:r>
    </w:p>
    <w:p>
      <w:pPr>
        <w:spacing w:before="0" w:after="50" w:line="276" w:lineRule="auto"/>
        <w:jc w:val="both"/>
      </w:pPr>
      <w:r>
        <w:rPr>
          <w:rFonts w:ascii="Georgia" w:hAnsi="Georgia"/>
          <w:color w:val="0F172A"/>
          <w:sz w:val="16"/>
        </w:rPr>
        <w:t>En el segmento monetario, la tasa de caución bursátil a 1 día en ByMA se ubicó en 32,50% TNA (2,71% TEM), permitiendo a las tesorerías estructurar operaciones de apalancamiento sintético sobre la curva de letras cortas capturando un carry neto superior a 24 pb mensuales libre de riesgo cambiario.</w:t>
      </w:r>
    </w:p>
    <w:p>
      <w:pPr>
        <w:spacing w:before="0" w:after="50" w:line="276" w:lineRule="auto"/>
        <w:jc w:val="both"/>
      </w:pPr>
      <w:r>
        <w:rPr>
          <w:rFonts w:ascii="Georgia" w:hAnsi="Georgia"/>
          <w:color w:val="0F172A"/>
          <w:sz w:val="16"/>
        </w:rPr>
        <w:t>En el crédito corporativo privado, las Obligaciones Negociables (ONs) en hard dollar de emisores energéticos de primera línea (YPF, Pampa Energía, TGS) comprimieron sus rendimientos hacia la zona de 7,20% a 7,80% anual en el tramo 2028-2031, reflejando una sólida demanda de cobertura sin riesgo de crédito soberano.</w:t>
      </w:r>
    </w:p>
    <w:p>
      <w:pPr>
        <w:spacing w:before="0" w:after="60" w:line="276" w:lineRule="auto"/>
        <w:jc w:val="both"/>
      </w:pPr>
      <w:r>
        <w:rPr>
          <w:rFonts w:ascii="Georgia" w:hAnsi="Georgia"/>
          <w:color w:val="0F172A"/>
          <w:sz w:val="16"/>
        </w:rPr>
        <w:t>La curva forward soberana proyecta tasas terminales en torno al 8,80% para vencimientos superiores a 10 años, convalidando el atractivo de los títulos con cupones step-up crecientes como el GD38 frente a los tramos cortos.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Ticker / Especie</w:t>
            </w:r>
          </w:p>
        </w:tc>
        <w:tc>
          <w:tcPr>
            <w:tcW w:type="dxa" w:w="1584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Precio ($ / USD)</w:t>
            </w:r>
          </w:p>
        </w:tc>
        <w:tc>
          <w:tcPr>
            <w:tcW w:type="dxa" w:w="1440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Var. 1D (%)</w:t>
            </w:r>
          </w:p>
        </w:tc>
        <w:tc>
          <w:tcPr>
            <w:tcW w:type="dxa" w:w="2016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TIR / TNA (%)</w:t>
            </w:r>
          </w:p>
        </w:tc>
        <w:tc>
          <w:tcPr>
            <w:tcW w:type="dxa" w:w="1440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Duration</w:t>
            </w:r>
          </w:p>
        </w:tc>
        <w:tc>
          <w:tcPr>
            <w:tcW w:type="dxa" w:w="1872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Tesis Desk</w:t>
            </w:r>
          </w:p>
        </w:tc>
      </w:tr>
      <w:tr>
        <w:tc>
          <w:tcPr>
            <w:tcW w:type="dxa" w:w="2016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Lecap S31O6</w:t>
            </w:r>
          </w:p>
        </w:tc>
        <w:tc>
          <w:tcPr>
            <w:tcW w:type="dxa" w:w="1584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$108,40</w:t>
            </w:r>
          </w:p>
        </w:tc>
        <w:tc>
          <w:tcPr>
            <w:tcW w:type="dxa" w:w="1440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b/>
                <w:color w:val="0D5C46"/>
                <w:sz w:val="14"/>
              </w:rPr>
              <w:t>+0,12%</w:t>
            </w:r>
          </w:p>
        </w:tc>
        <w:tc>
          <w:tcPr>
            <w:tcW w:type="dxa" w:w="2016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35,40% TNA (2,95% TEM)</w:t>
            </w:r>
          </w:p>
        </w:tc>
        <w:tc>
          <w:tcPr>
            <w:tcW w:type="dxa" w:w="1440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color w:val="0F172A"/>
                <w:sz w:val="14"/>
              </w:rPr>
              <w:t>0,18 a.</w:t>
            </w:r>
          </w:p>
        </w:tc>
        <w:tc>
          <w:tcPr>
            <w:tcW w:type="dxa" w:w="1872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b/>
                <w:color w:val="0D5C46"/>
                <w:sz w:val="14"/>
              </w:rPr>
              <w:t>Sobreponderar</w:t>
            </w:r>
          </w:p>
        </w:tc>
      </w:tr>
      <w:tr>
        <w:tc>
          <w:tcPr>
            <w:tcW w:type="dxa" w:w="2016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Lecap S28N6</w:t>
            </w:r>
          </w:p>
        </w:tc>
        <w:tc>
          <w:tcPr>
            <w:tcW w:type="dxa" w:w="1584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$111,20</w:t>
            </w:r>
          </w:p>
        </w:tc>
        <w:tc>
          <w:tcPr>
            <w:tcW w:type="dxa" w:w="1440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b/>
                <w:color w:val="0D5C46"/>
                <w:sz w:val="14"/>
              </w:rPr>
              <w:t>+0,10%</w:t>
            </w:r>
          </w:p>
        </w:tc>
        <w:tc>
          <w:tcPr>
            <w:tcW w:type="dxa" w:w="2016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36,60% TNA (3,05% TEM)</w:t>
            </w:r>
          </w:p>
        </w:tc>
        <w:tc>
          <w:tcPr>
            <w:tcW w:type="dxa" w:w="1440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color w:val="0F172A"/>
                <w:sz w:val="14"/>
              </w:rPr>
              <w:t>0,26 a.</w:t>
            </w:r>
          </w:p>
        </w:tc>
        <w:tc>
          <w:tcPr>
            <w:tcW w:type="dxa" w:w="1872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b/>
                <w:color w:val="0D5C46"/>
                <w:sz w:val="14"/>
              </w:rPr>
              <w:t>Sobreponderar</w:t>
            </w:r>
          </w:p>
        </w:tc>
      </w:tr>
      <w:tr>
        <w:tc>
          <w:tcPr>
            <w:tcW w:type="dxa" w:w="2016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Boncer TZX27</w:t>
            </w:r>
          </w:p>
        </w:tc>
        <w:tc>
          <w:tcPr>
            <w:tcW w:type="dxa" w:w="1584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$124,50</w:t>
            </w:r>
          </w:p>
        </w:tc>
        <w:tc>
          <w:tcPr>
            <w:tcW w:type="dxa" w:w="1440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b/>
                <w:color w:val="0D5C46"/>
                <w:sz w:val="14"/>
              </w:rPr>
              <w:t>+0,05%</w:t>
            </w:r>
          </w:p>
        </w:tc>
        <w:tc>
          <w:tcPr>
            <w:tcW w:type="dxa" w:w="2016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b/>
                <w:color w:val="0D5C46"/>
                <w:sz w:val="14"/>
              </w:rPr>
              <w:t>CER + 1,10% TIR Real</w:t>
            </w:r>
          </w:p>
        </w:tc>
        <w:tc>
          <w:tcPr>
            <w:tcW w:type="dxa" w:w="1440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color w:val="0F172A"/>
                <w:sz w:val="14"/>
              </w:rPr>
              <w:t>1,35 a.</w:t>
            </w:r>
          </w:p>
        </w:tc>
        <w:tc>
          <w:tcPr>
            <w:tcW w:type="dxa" w:w="1872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b/>
                <w:color w:val="B45309"/>
                <w:sz w:val="14"/>
              </w:rPr>
              <w:t>Neutral</w:t>
            </w:r>
          </w:p>
        </w:tc>
      </w:tr>
      <w:tr>
        <w:tc>
          <w:tcPr>
            <w:tcW w:type="dxa" w:w="2016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Bonar 2030 (AL30)</w:t>
            </w:r>
          </w:p>
        </w:tc>
        <w:tc>
          <w:tcPr>
            <w:tcW w:type="dxa" w:w="1584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USD 67,50</w:t>
            </w:r>
          </w:p>
        </w:tc>
        <w:tc>
          <w:tcPr>
            <w:tcW w:type="dxa" w:w="1440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b/>
                <w:color w:val="0D5C46"/>
                <w:sz w:val="14"/>
              </w:rPr>
              <w:t>+0,45%</w:t>
            </w:r>
          </w:p>
        </w:tc>
        <w:tc>
          <w:tcPr>
            <w:tcW w:type="dxa" w:w="2016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11,20% TIR</w:t>
            </w:r>
          </w:p>
        </w:tc>
        <w:tc>
          <w:tcPr>
            <w:tcW w:type="dxa" w:w="1440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color w:val="0F172A"/>
                <w:sz w:val="14"/>
              </w:rPr>
              <w:t>2,78 a.</w:t>
            </w:r>
          </w:p>
        </w:tc>
        <w:tc>
          <w:tcPr>
            <w:tcW w:type="dxa" w:w="1872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b/>
                <w:color w:val="0D5C46"/>
                <w:sz w:val="14"/>
              </w:rPr>
              <w:t>Sobreponderar</w:t>
            </w:r>
          </w:p>
        </w:tc>
      </w:tr>
      <w:tr>
        <w:tc>
          <w:tcPr>
            <w:tcW w:type="dxa" w:w="2016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Global 2030 (GD30)</w:t>
            </w:r>
          </w:p>
        </w:tc>
        <w:tc>
          <w:tcPr>
            <w:tcW w:type="dxa" w:w="1584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USD 69,80</w:t>
            </w:r>
          </w:p>
        </w:tc>
        <w:tc>
          <w:tcPr>
            <w:tcW w:type="dxa" w:w="1440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b/>
                <w:color w:val="0D5C46"/>
                <w:sz w:val="14"/>
              </w:rPr>
              <w:t>+0,50%</w:t>
            </w:r>
          </w:p>
        </w:tc>
        <w:tc>
          <w:tcPr>
            <w:tcW w:type="dxa" w:w="2016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10,70% TIR</w:t>
            </w:r>
          </w:p>
        </w:tc>
        <w:tc>
          <w:tcPr>
            <w:tcW w:type="dxa" w:w="1440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color w:val="0F172A"/>
                <w:sz w:val="14"/>
              </w:rPr>
              <w:t>2,78 a.</w:t>
            </w:r>
          </w:p>
        </w:tc>
        <w:tc>
          <w:tcPr>
            <w:tcW w:type="dxa" w:w="1872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b/>
                <w:color w:val="0D5C46"/>
                <w:sz w:val="14"/>
              </w:rPr>
              <w:t>Sobreponderar</w:t>
            </w:r>
          </w:p>
        </w:tc>
      </w:tr>
      <w:tr>
        <w:tc>
          <w:tcPr>
            <w:tcW w:type="dxa" w:w="2016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Global 2038 (GD38)</w:t>
            </w:r>
          </w:p>
        </w:tc>
        <w:tc>
          <w:tcPr>
            <w:tcW w:type="dxa" w:w="1584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USD 60,90</w:t>
            </w:r>
          </w:p>
        </w:tc>
        <w:tc>
          <w:tcPr>
            <w:tcW w:type="dxa" w:w="1440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b/>
                <w:color w:val="0D5C46"/>
                <w:sz w:val="14"/>
              </w:rPr>
              <w:t>+0,65%</w:t>
            </w:r>
          </w:p>
        </w:tc>
        <w:tc>
          <w:tcPr>
            <w:tcW w:type="dxa" w:w="2016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9,70% TIR</w:t>
            </w:r>
          </w:p>
        </w:tc>
        <w:tc>
          <w:tcPr>
            <w:tcW w:type="dxa" w:w="1440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color w:val="0F172A"/>
                <w:sz w:val="14"/>
              </w:rPr>
              <w:t>5,81 a.</w:t>
            </w:r>
          </w:p>
        </w:tc>
        <w:tc>
          <w:tcPr>
            <w:tcW w:type="dxa" w:w="1872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b/>
                <w:color w:val="0D5C46"/>
                <w:sz w:val="14"/>
              </w:rPr>
              <w:t>Sobreponderar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18" w:type="dxa"/>
              <w:bottom w:w="18" w:type="dxa"/>
              <w:left w:w="24" w:type="dxa"/>
              <w:right w:w="24" w:type="dxa"/>
            </w:tcMar>
            <w:tcBorders>
              <w:top w:val="single" w:sz="8" w:space="0" w:color="0C2340"/>
              <w:bottom w:val="single" w:sz="8" w:space="0" w:color="0C2340"/>
              <w:left w:val="single" w:sz="8" w:space="0" w:color="0C2340"/>
              <w:right w:val="single" w:sz="8" w:space="0" w:color="0C2340"/>
            </w:tcBorders>
          </w:tcPr>
          <w:p>
            <w:pPr>
              <w:spacing w:before="0" w:after="40"/>
            </w:pPr>
            <w:r>
              <w:rPr>
                <w:rFonts w:ascii="Georgia" w:hAnsi="Georgia"/>
                <w:b/>
                <w:color w:val="0C2340"/>
                <w:sz w:val="16"/>
              </w:rPr>
              <w:t>TRADE CALL CUANTITATIVO DE MESA &amp; ARBITRAJE DE SPREADS</w:t>
              <w:br/>
            </w:r>
            <w:r>
              <w:rPr>
                <w:rFonts w:ascii="Georgia" w:hAnsi="Georgia"/>
                <w:b/>
                <w:color w:val="722F37"/>
                <w:sz w:val="16"/>
              </w:rPr>
              <w:t>Estrategia 1: Carry en Lecap S31O6 (TNA 35,4% / TEM 2,95%) con Stop-Loss de Brecha al 8,5% | Estrategia 2: Arbitraje GD30 vs AL30</w:t>
              <w:br/>
            </w:r>
            <w:r>
              <w:rPr>
                <w:rFonts w:ascii="Georgia" w:hAnsi="Georgia"/>
                <w:color w:val="0F172A"/>
                <w:sz w:val="15"/>
              </w:rPr>
              <w:t>• Carry Neto en ARS: La TEM de 2,95% frente al crawl del 2,00% genera un retorno esperado en USD de +0,93% mensual (+11,76% anualizado). Se recomienda fondear con caución a 1D (32,50% TNA) capturando un spread positivo de +290 bps.</w:t>
              <w:br/>
              <w:t>• Arbitraje de Legislación: El diferencial de 50 pb entre AL30 (11,20%) y GD30 (10,70%) presenta oportunidad de rotación táctica hacia AL30 con objetivo de compresión hacia 30 pb.</w:t>
              <w:br/>
              <w:t>• Convexidad Hard Dollar: Sobreponderar GD38 por su ratio de convexidad (37,2x) frente a caídas adicionales de tasa libre de riesgo global (UST10Y).</w:t>
            </w:r>
          </w:p>
        </w:tc>
      </w:tr>
    </w:tbl>
    <w:p>
      <w:pPr>
        <w:pStyle w:val="Heading2"/>
        <w:spacing w:before="60" w:after="40"/>
      </w:pPr>
      <w:r>
        <w:rPr>
          <w:rFonts w:ascii="Georgia" w:hAnsi="Georgia"/>
          <w:b/>
          <w:color w:val="0C2340"/>
          <w:sz w:val="19"/>
        </w:rPr>
        <w:t>3. Monitor de Renta Variable Energética y Múltiplos Corporativos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592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Compañía / Ticker</w:t>
            </w:r>
          </w:p>
        </w:tc>
        <w:tc>
          <w:tcPr>
            <w:tcW w:type="dxa" w:w="1728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Precio Cierre ($)</w:t>
            </w:r>
          </w:p>
        </w:tc>
        <w:tc>
          <w:tcPr>
            <w:tcW w:type="dxa" w:w="1728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Var. Diaria (%)</w:t>
            </w:r>
          </w:p>
        </w:tc>
        <w:tc>
          <w:tcPr>
            <w:tcW w:type="dxa" w:w="1872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EV/EBITDA</w:t>
            </w:r>
          </w:p>
        </w:tc>
        <w:tc>
          <w:tcPr>
            <w:tcW w:type="dxa" w:w="2448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Tesis Fundamental</w:t>
            </w:r>
          </w:p>
        </w:tc>
      </w:tr>
      <w:tr>
        <w:tc>
          <w:tcPr>
            <w:tcW w:type="dxa" w:w="2592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YPF S.A. (YPFD)</w:t>
            </w:r>
          </w:p>
        </w:tc>
        <w:tc>
          <w:tcPr>
            <w:tcW w:type="dxa" w:w="1728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$42.500</w:t>
            </w:r>
          </w:p>
        </w:tc>
        <w:tc>
          <w:tcPr>
            <w:tcW w:type="dxa" w:w="1728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b/>
                <w:color w:val="0D5C46"/>
                <w:sz w:val="14"/>
              </w:rPr>
              <w:t>+2,10%</w:t>
            </w:r>
          </w:p>
        </w:tc>
        <w:tc>
          <w:tcPr>
            <w:tcW w:type="dxa" w:w="1872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color w:val="0F172A"/>
                <w:sz w:val="14"/>
              </w:rPr>
              <w:t>3,8x</w:t>
            </w:r>
          </w:p>
        </w:tc>
        <w:tc>
          <w:tcPr>
            <w:tcW w:type="dxa" w:w="2448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b/>
                <w:color w:val="0D5C46"/>
                <w:sz w:val="14"/>
              </w:rPr>
              <w:t>Sobreponderar · Vaca Muerta.</w:t>
            </w:r>
          </w:p>
        </w:tc>
      </w:tr>
      <w:tr>
        <w:tc>
          <w:tcPr>
            <w:tcW w:type="dxa" w:w="2592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Pampa Energía (PAMP)</w:t>
            </w:r>
          </w:p>
        </w:tc>
        <w:tc>
          <w:tcPr>
            <w:tcW w:type="dxa" w:w="1728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$3.850</w:t>
            </w:r>
          </w:p>
        </w:tc>
        <w:tc>
          <w:tcPr>
            <w:tcW w:type="dxa" w:w="1728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b/>
                <w:color w:val="0D5C46"/>
                <w:sz w:val="14"/>
              </w:rPr>
              <w:t>+1,80%</w:t>
            </w:r>
          </w:p>
        </w:tc>
        <w:tc>
          <w:tcPr>
            <w:tcW w:type="dxa" w:w="1872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color w:val="0F172A"/>
                <w:sz w:val="14"/>
              </w:rPr>
              <w:t>4,1x</w:t>
            </w:r>
          </w:p>
        </w:tc>
        <w:tc>
          <w:tcPr>
            <w:tcW w:type="dxa" w:w="2448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b/>
                <w:color w:val="0D5C46"/>
                <w:sz w:val="14"/>
              </w:rPr>
              <w:t>Sobreponderar · Generación.</w:t>
            </w:r>
          </w:p>
        </w:tc>
      </w:tr>
      <w:tr>
        <w:tc>
          <w:tcPr>
            <w:tcW w:type="dxa" w:w="2592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Transportadora Gas Sur (TGSU2)</w:t>
            </w:r>
          </w:p>
        </w:tc>
        <w:tc>
          <w:tcPr>
            <w:tcW w:type="dxa" w:w="1728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$6.920</w:t>
            </w:r>
          </w:p>
        </w:tc>
        <w:tc>
          <w:tcPr>
            <w:tcW w:type="dxa" w:w="1728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b/>
                <w:color w:val="0D5C46"/>
                <w:sz w:val="14"/>
              </w:rPr>
              <w:t>+1,45%</w:t>
            </w:r>
          </w:p>
        </w:tc>
        <w:tc>
          <w:tcPr>
            <w:tcW w:type="dxa" w:w="1872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color w:val="0F172A"/>
                <w:sz w:val="14"/>
              </w:rPr>
              <w:t>4,4x</w:t>
            </w:r>
          </w:p>
        </w:tc>
        <w:tc>
          <w:tcPr>
            <w:tcW w:type="dxa" w:w="2448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b/>
                <w:color w:val="0D5C46"/>
                <w:sz w:val="14"/>
              </w:rPr>
              <w:t>Sobreponderar · Infraestructura.</w:t>
            </w:r>
          </w:p>
        </w:tc>
      </w:tr>
      <w:tr>
        <w:tc>
          <w:tcPr>
            <w:tcW w:type="dxa" w:w="2592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Grupo Financiero Galicia (GGAL)</w:t>
            </w:r>
          </w:p>
        </w:tc>
        <w:tc>
          <w:tcPr>
            <w:tcW w:type="dxa" w:w="1728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$6.450</w:t>
            </w:r>
          </w:p>
        </w:tc>
        <w:tc>
          <w:tcPr>
            <w:tcW w:type="dxa" w:w="1728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b/>
                <w:color w:val="0D5C46"/>
                <w:sz w:val="14"/>
              </w:rPr>
              <w:t>+0,85%</w:t>
            </w:r>
          </w:p>
        </w:tc>
        <w:tc>
          <w:tcPr>
            <w:tcW w:type="dxa" w:w="1872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color w:val="0F172A"/>
                <w:sz w:val="14"/>
              </w:rPr>
              <w:t>1,4x P/BV</w:t>
            </w:r>
          </w:p>
        </w:tc>
        <w:tc>
          <w:tcPr>
            <w:tcW w:type="dxa" w:w="2448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b/>
                <w:color w:val="B45309"/>
                <w:sz w:val="14"/>
              </w:rPr>
              <w:t>Neutral · Crédito privado.</w:t>
            </w:r>
          </w:p>
        </w:tc>
      </w:tr>
      <w:tr>
        <w:tc>
          <w:tcPr>
            <w:tcW w:type="dxa" w:w="2592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Banco Macro (BMA)</w:t>
            </w:r>
          </w:p>
        </w:tc>
        <w:tc>
          <w:tcPr>
            <w:tcW w:type="dxa" w:w="1728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$9.800</w:t>
            </w:r>
          </w:p>
        </w:tc>
        <w:tc>
          <w:tcPr>
            <w:tcW w:type="dxa" w:w="1728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b/>
                <w:color w:val="0D5C46"/>
                <w:sz w:val="14"/>
              </w:rPr>
              <w:t>+1,15%</w:t>
            </w:r>
          </w:p>
        </w:tc>
        <w:tc>
          <w:tcPr>
            <w:tcW w:type="dxa" w:w="1872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color w:val="0F172A"/>
                <w:sz w:val="14"/>
              </w:rPr>
              <w:t>1,3x P/BV</w:t>
            </w:r>
          </w:p>
        </w:tc>
        <w:tc>
          <w:tcPr>
            <w:tcW w:type="dxa" w:w="2448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b/>
                <w:color w:val="0D5C46"/>
                <w:sz w:val="14"/>
              </w:rPr>
              <w:t>Sobreponderar · Solvencia.</w:t>
            </w:r>
          </w:p>
        </w:tc>
      </w:tr>
    </w:tbl>
    <w:p>
      <w:pPr>
        <w:pStyle w:val="Heading2"/>
        <w:spacing w:before="60" w:after="40"/>
      </w:pPr>
      <w:r>
        <w:rPr>
          <w:rFonts w:ascii="Georgia" w:hAnsi="Georgia"/>
          <w:b/>
          <w:color w:val="0C2340"/>
          <w:sz w:val="19"/>
        </w:rPr>
        <w:t>4. Licitaciones del Tesoro, Absorción Monetaria y Drivers de la Próxima Rueda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024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Instrumento / Operación</w:t>
            </w:r>
          </w:p>
        </w:tc>
        <w:tc>
          <w:tcPr>
            <w:tcW w:type="dxa" w:w="2160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Monto Adjudicado / Stock</w:t>
            </w:r>
          </w:p>
        </w:tc>
        <w:tc>
          <w:tcPr>
            <w:tcW w:type="dxa" w:w="2160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Tasa de Corte / TNA</w:t>
            </w:r>
          </w:p>
        </w:tc>
        <w:tc>
          <w:tcPr>
            <w:tcW w:type="dxa" w:w="3024"/>
            <w:shd w:fill="0C2340"/>
            <w:tcMar>
              <w:top w:w="16" w:type="dxa"/>
              <w:bottom w:w="16" w:type="dxa"/>
              <w:left w:w="18" w:type="dxa"/>
              <w:right w:w="18" w:type="dxa"/>
            </w:tcMar>
            <w:tcBorders>
              <w:top w:val="single" w:sz="6" w:space="0" w:color="0C2340"/>
              <w:bottom w:val="single" w:sz="6" w:space="0" w:color="0C234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FFFFFF"/>
                <w:sz w:val="14"/>
              </w:rPr>
              <w:t>Destino / Efecto Monetario</w:t>
            </w:r>
          </w:p>
        </w:tc>
      </w:tr>
      <w:tr>
        <w:tc>
          <w:tcPr>
            <w:tcW w:type="dxa" w:w="3024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Lecap S31O6 (Reapertura)</w:t>
            </w:r>
          </w:p>
        </w:tc>
        <w:tc>
          <w:tcPr>
            <w:tcW w:type="dxa" w:w="2160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$1,12 Billones</w:t>
            </w:r>
          </w:p>
        </w:tc>
        <w:tc>
          <w:tcPr>
            <w:tcW w:type="dxa" w:w="2160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color w:val="0F172A"/>
                <w:sz w:val="14"/>
              </w:rPr>
              <w:t>35,40% TNA (2,95% TEM)</w:t>
            </w:r>
          </w:p>
        </w:tc>
        <w:tc>
          <w:tcPr>
            <w:tcW w:type="dxa" w:w="3024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Rollover y fijación de tasa.</w:t>
            </w:r>
          </w:p>
        </w:tc>
      </w:tr>
      <w:tr>
        <w:tc>
          <w:tcPr>
            <w:tcW w:type="dxa" w:w="3024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Lecap S28N6 (Tramo Largo)</w:t>
            </w:r>
          </w:p>
        </w:tc>
        <w:tc>
          <w:tcPr>
            <w:tcW w:type="dxa" w:w="2160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$0,68 Billones</w:t>
            </w:r>
          </w:p>
        </w:tc>
        <w:tc>
          <w:tcPr>
            <w:tcW w:type="dxa" w:w="2160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color w:val="0F172A"/>
                <w:sz w:val="14"/>
              </w:rPr>
              <w:t>36,60% TNA (3,05% TEM)</w:t>
            </w:r>
          </w:p>
        </w:tc>
        <w:tc>
          <w:tcPr>
            <w:tcW w:type="dxa" w:w="3024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Extensión de duration en pesos.</w:t>
            </w:r>
          </w:p>
        </w:tc>
      </w:tr>
      <w:tr>
        <w:tc>
          <w:tcPr>
            <w:tcW w:type="dxa" w:w="3024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Letras Fiscales Lefi (BCRA)</w:t>
            </w:r>
          </w:p>
        </w:tc>
        <w:tc>
          <w:tcPr>
            <w:tcW w:type="dxa" w:w="2160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$29,30 Billones (Stock)</w:t>
            </w:r>
          </w:p>
        </w:tc>
        <w:tc>
          <w:tcPr>
            <w:tcW w:type="dxa" w:w="2160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color w:val="0F172A"/>
                <w:sz w:val="14"/>
              </w:rPr>
              <w:t>35,00% TNA (2,91% TEM)</w:t>
            </w:r>
          </w:p>
        </w:tc>
        <w:tc>
          <w:tcPr>
            <w:tcW w:type="dxa" w:w="3024"/>
            <w:shd w:fill="FFFFFF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Absorción sin emisión cuasifiscal ($0 B pases).</w:t>
            </w:r>
          </w:p>
        </w:tc>
      </w:tr>
      <w:tr>
        <w:tc>
          <w:tcPr>
            <w:tcW w:type="dxa" w:w="3024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Base Monetaria Ampliada</w:t>
            </w:r>
          </w:p>
        </w:tc>
        <w:tc>
          <w:tcPr>
            <w:tcW w:type="dxa" w:w="2160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rPr>
                <w:rFonts w:ascii="Georgia" w:hAnsi="Georgia"/>
                <w:color w:val="0F172A"/>
                <w:sz w:val="14"/>
              </w:rPr>
              <w:t>$27,40 Billones (Stock)</w:t>
            </w:r>
          </w:p>
        </w:tc>
        <w:tc>
          <w:tcPr>
            <w:tcW w:type="dxa" w:w="2160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color w:val="0F172A"/>
                <w:sz w:val="14"/>
              </w:rPr>
              <w:t>-</w:t>
            </w:r>
          </w:p>
        </w:tc>
        <w:tc>
          <w:tcPr>
            <w:tcW w:type="dxa" w:w="3024"/>
            <w:shd w:fill="F8FAFC"/>
            <w:tcMar>
              <w:top w:w="12" w:type="dxa"/>
              <w:bottom w:w="12" w:type="dxa"/>
              <w:left w:w="18" w:type="dxa"/>
              <w:right w:w="18" w:type="dxa"/>
            </w:tcMar>
            <w:tcBorders>
              <w:top w:val="single" w:sz="6" w:space="0" w:color="E2E8F0"/>
              <w:bottom w:val="single" w:sz="6" w:space="0" w:color="E2E8F0"/>
              <w:left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rPr>
                <w:rFonts w:ascii="Georgia" w:hAnsi="Georgia"/>
                <w:color w:val="0F172A"/>
                <w:sz w:val="14"/>
              </w:rPr>
              <w:t>Crecimiento acotado por demanda real.</w:t>
            </w:r>
          </w:p>
        </w:tc>
      </w:tr>
    </w:tbl>
    <w:p>
      <w:pPr>
        <w:spacing w:before="0" w:after="0" w:line="276" w:lineRule="auto"/>
        <w:jc w:val="both"/>
      </w:pPr>
      <w:r>
        <w:rPr>
          <w:rFonts w:ascii="Georgia" w:hAnsi="Georgia"/>
          <w:color w:val="0F172A"/>
          <w:sz w:val="16"/>
        </w:rPr>
        <w:t>• Drivers para la Rueda Siguiente: (1) Licitación quincenal de títulos en pesos de la Secretaría de Finanzas; (2) Publicación de balances corporativos del sector energético (YPF, PAMP); (3) Evolución del saldo comprador en el MULC; (4) Vencimiento de futuros Rofex y volumen en el tramo corto.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20" w:left="936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Georgia" w:hAnsi="Georgia"/>
        <w:color w:val="64748B"/>
        <w:sz w:val="15"/>
      </w:rPr>
      <w:t>Federico Agustín Chillón · Lead Macro &amp; Financial Strategist · FCE UNCUYO</w:t>
      <w:tab/>
      <w:tab/>
      <w:t>Monitor Flash Diario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Georgia" w:hAnsi="Georgia"/>
        <w:color w:val="64748B"/>
        <w:sz w:val="15"/>
      </w:rPr>
      <w:t>MONITOR DIARIO DE MERCADOS &amp; COYUNTURA · 21 DE AGOSTO DE 2026</w:t>
      <w:tab/>
      <w:tab/>
      <w:t>FEDERICO AGUSTÍN CHILLÓN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