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6DB"/>
          <w:sz w:val="64"/>
          <w:szCs w:val="64"/>
        </w:rPr>
        <w:t xml:space="preserve">NODESTRIKE</w:t>
      </w:r>
    </w:p>
    <w:p>
      <w:pPr>
        <w:spacing w:after="200" w:before="0"/>
        <w:jc w:val="center"/>
      </w:pPr>
      <w:r>
        <w:rPr>
          <w:rFonts w:ascii="Arial" w:cs="Arial" w:eastAsia="Arial" w:hAnsi="Arial"/>
          <w:color w:val="6B7280"/>
          <w:sz w:val="36"/>
          <w:szCs w:val="36"/>
        </w:rPr>
        <w:t xml:space="preserve">Tokenomic Whitepaper</w:t>
      </w:r>
    </w:p>
    <w:p>
      <w:pPr>
        <w:spacing w:after="400" w:before="0"/>
        <w:jc w:val="center"/>
      </w:pPr>
      <w:r>
        <w:rPr>
          <w:rFonts w:ascii="Arial" w:cs="Arial" w:eastAsia="Arial" w:hAnsi="Arial"/>
          <w:color w:val="6B7280"/>
          <w:sz w:val="22"/>
          <w:szCs w:val="22"/>
        </w:rPr>
        <w:t xml:space="preserve">Version 1.0  —  Confidential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DBEAFE" w:val="clear"/>
            <w:tcMar>
              <w:top w:type="dxa" w:w="200"/>
              <w:left w:type="dxa" w:w="300"/>
              <w:bottom w:type="dxa" w:w="200"/>
              <w:right w:type="dxa" w:w="300"/>
            </w:tcMar>
          </w:tcPr>
          <w:p>
            <w:pPr>
              <w:jc w:val="center"/>
            </w:pPr>
            <w:r>
              <w:rPr>
                <w:rFonts w:ascii="Arial" w:cs="Arial" w:eastAsia="Arial" w:hAnsi="Arial"/>
                <w:b/>
                <w:bCs/>
                <w:color w:val="111827"/>
                <w:sz w:val="22"/>
                <w:szCs w:val="22"/>
              </w:rPr>
              <w:t xml:space="preserve">Play · Earn · Own — A freemium GameFi ecosystem built on zero-fee blockchain, with dual token, pre-IPO mining mechanism and stablecoin conversion.</w:t>
            </w:r>
          </w:p>
        </w:tc>
      </w:tr>
    </w:tbl>
    <w:p>
      <w:pPr>
        <w:spacing w:after="80" w:before="80"/>
      </w:pPr>
      <w:r>
        <w:t xml:space="preserve"/>
      </w:r>
    </w:p>
    <w:p>
      <w:pPr>
        <w:jc w:val="center"/>
      </w:pPr>
      <w:r>
        <w:rPr>
          <w:rFonts w:ascii="Arial" w:cs="Arial" w:eastAsia="Arial" w:hAnsi="Arial"/>
          <w:color w:val="6B7280"/>
          <w:sz w:val="20"/>
          <w:szCs w:val="20"/>
        </w:rPr>
        <w:t xml:space="preserve">Year: 2026–2028  |  Blockchain: Polygon Mainnet  |  Model: Freemium + Dual Token</w:t>
      </w:r>
    </w:p>
    <w:p>
      <w:pPr>
        <w:spacing w:after="80" w:before="80"/>
      </w:pPr>
      <w:r>
        <w:t xml:space="preserve"/>
      </w:r>
    </w:p>
    <w:p>
      <w:r>
        <w:br w:type="page"/>
      </w:r>
    </w:p>
    <w:p>
      <w:pPr>
        <w:pStyle w:val="Heading1"/>
        <w:spacing w:after="200" w:before="400"/>
      </w:pPr>
      <w:r>
        <w:rPr>
          <w:rFonts w:ascii="Arial" w:cs="Arial" w:eastAsia="Arial" w:hAnsi="Arial"/>
          <w:b/>
          <w:bCs/>
          <w:color w:val="111827"/>
          <w:sz w:val="32"/>
          <w:szCs w:val="32"/>
        </w:rPr>
        <w:t xml:space="preserve">1. Executive Summary</w:t>
      </w:r>
    </w:p>
    <w:p>
      <w:pPr>
        <w:spacing w:after="80" w:before="80"/>
      </w:pPr>
      <w:r>
        <w:rPr>
          <w:rFonts w:ascii="Arial" w:cs="Arial" w:eastAsia="Arial" w:hAnsi="Arial"/>
          <w:color w:val="111827"/>
          <w:sz w:val="22"/>
          <w:szCs w:val="22"/>
        </w:rPr>
        <w:t xml:space="preserve">NodeStrike is a freemium GameFi ecosystem that allows anyone to play for free, earn tokens through gameplay, and convert their earnings into stablecoin. Users who want to accelerate their progression can purchase optional boosts. The project is based on a dual-token model, a low-cost blockchain, and a pre-IPO mining mechanism to reward early adopters.</w:t>
      </w:r>
    </w:p>
    <w:p>
      <w:pPr>
        <w:spacing w:after="80" w:before="80"/>
      </w:pPr>
      <w:r>
        <w:t xml:space="preserve"/>
      </w:r>
    </w:p>
    <w:p>
      <w:pPr>
        <w:spacing w:after="80" w:before="80"/>
      </w:pPr>
      <w:r>
        <w:rPr>
          <w:rFonts w:ascii="Arial" w:cs="Arial" w:eastAsia="Arial" w:hAnsi="Arial"/>
          <w:color w:val="111827"/>
          <w:sz w:val="22"/>
          <w:szCs w:val="22"/>
        </w:rPr>
        <w:t xml:space="preserve">The blockchain gaming market currently counts over 4.6 million active daily wallets (DappRadar, 2025) and continues to grow. NodeStrike positions itself in the hybrid casual-competitive gaming segment, with zero entry barrier for new users and deep strategic layers for crypto-native players.</w:t>
      </w:r>
    </w:p>
    <w:p>
      <w:pPr>
        <w:spacing w:after="80" w:before="80"/>
      </w:pPr>
      <w:r>
        <w:t xml:space="preserve"/>
      </w:r>
    </w:p>
    <w:p>
      <w:pPr>
        <w:pStyle w:val="Heading1"/>
        <w:spacing w:after="200" w:before="400"/>
      </w:pPr>
      <w:r>
        <w:rPr>
          <w:rFonts w:ascii="Arial" w:cs="Arial" w:eastAsia="Arial" w:hAnsi="Arial"/>
          <w:b/>
          <w:bCs/>
          <w:color w:val="111827"/>
          <w:sz w:val="32"/>
          <w:szCs w:val="32"/>
        </w:rPr>
        <w:t xml:space="preserve">2. Vision and Mission</w:t>
      </w:r>
    </w:p>
    <w:p>
      <w:pPr>
        <w:pStyle w:val="Heading2"/>
        <w:spacing w:after="160" w:before="300"/>
      </w:pPr>
      <w:r>
        <w:rPr>
          <w:rFonts w:ascii="Arial" w:cs="Arial" w:eastAsia="Arial" w:hAnsi="Arial"/>
          <w:b/>
          <w:bCs/>
          <w:color w:val="1A56DB"/>
          <w:sz w:val="26"/>
          <w:szCs w:val="26"/>
        </w:rPr>
        <w:t xml:space="preserve">2.1 The Problem</w:t>
      </w:r>
    </w:p>
    <w:p>
      <w:pPr>
        <w:spacing w:after="80" w:before="80"/>
      </w:pPr>
      <w:r>
        <w:rPr>
          <w:rFonts w:ascii="Arial" w:cs="Arial" w:eastAsia="Arial" w:hAnsi="Arial"/>
          <w:color w:val="111827"/>
          <w:sz w:val="22"/>
          <w:szCs w:val="22"/>
        </w:rPr>
        <w:t xml:space="preserve">First-generation play-to-earn games (Axie Infinity, StepN) failed for a fundamental reason: their tokenomics were inflationary and dependent on a continuous influx of new players. When growth stopped, the token collapsed and the in-game economy became unsustainable.</w:t>
      </w:r>
    </w:p>
    <w:p>
      <w:pPr>
        <w:spacing w:after="8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Unlimited token supply without robust sink mechanisms</w:t>
      </w:r>
    </w:p>
    <w:p>
      <w:pPr>
        <w:pStyle w:val="ListParagraph"/>
        <w:numPr>
          <w:ilvl w:val="0"/>
          <w:numId w:val="2"/>
        </w:numPr>
        <w:spacing w:after="60" w:before="60"/>
      </w:pPr>
      <w:r>
        <w:rPr>
          <w:rFonts w:ascii="Arial" w:cs="Arial" w:eastAsia="Arial" w:hAnsi="Arial"/>
          <w:color w:val="111827"/>
          <w:sz w:val="22"/>
          <w:szCs w:val="22"/>
        </w:rPr>
        <w:t xml:space="preserve">Gameplay experience sacrificed in the name of monetization</w:t>
      </w:r>
    </w:p>
    <w:p>
      <w:pPr>
        <w:pStyle w:val="ListParagraph"/>
        <w:numPr>
          <w:ilvl w:val="0"/>
          <w:numId w:val="2"/>
        </w:numPr>
        <w:spacing w:after="60" w:before="60"/>
      </w:pPr>
      <w:r>
        <w:rPr>
          <w:rFonts w:ascii="Arial" w:cs="Arial" w:eastAsia="Arial" w:hAnsi="Arial"/>
          <w:color w:val="111827"/>
          <w:sz w:val="22"/>
          <w:szCs w:val="22"/>
        </w:rPr>
        <w:t xml:space="preserve">High entry barrier (mandatory NFTs, initial stakes) that excluded casual gamers</w:t>
      </w:r>
    </w:p>
    <w:p>
      <w:pPr>
        <w:spacing w:after="80" w:before="80"/>
      </w:pPr>
      <w:r>
        <w:t xml:space="preserve"/>
      </w:r>
    </w:p>
    <w:p>
      <w:pPr>
        <w:pStyle w:val="Heading2"/>
        <w:spacing w:after="160" w:before="300"/>
      </w:pPr>
      <w:r>
        <w:rPr>
          <w:rFonts w:ascii="Arial" w:cs="Arial" w:eastAsia="Arial" w:hAnsi="Arial"/>
          <w:b/>
          <w:bCs/>
          <w:color w:val="1A56DB"/>
          <w:sz w:val="26"/>
          <w:szCs w:val="26"/>
        </w:rPr>
        <w:t xml:space="preserve">2.2 NodeStrike Solution</w:t>
      </w:r>
    </w:p>
    <w:p>
      <w:pPr>
        <w:spacing w:after="80" w:before="80"/>
      </w:pPr>
      <w:r>
        <w:rPr>
          <w:rFonts w:ascii="Arial" w:cs="Arial" w:eastAsia="Arial" w:hAnsi="Arial"/>
          <w:color w:val="111827"/>
          <w:sz w:val="22"/>
          <w:szCs w:val="22"/>
        </w:rPr>
        <w:t xml:space="preserve">NodeStrike resolves these issues with three core principles:</w:t>
      </w:r>
    </w:p>
    <w:p>
      <w:pPr>
        <w:spacing w:after="8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True free-to-play: no mandatory purchase to start earning</w:t>
      </w:r>
    </w:p>
    <w:p>
      <w:pPr>
        <w:pStyle w:val="ListParagraph"/>
        <w:numPr>
          <w:ilvl w:val="0"/>
          <w:numId w:val="2"/>
        </w:numPr>
        <w:spacing w:after="60" w:before="60"/>
      </w:pPr>
      <w:r>
        <w:rPr>
          <w:rFonts w:ascii="Arial" w:cs="Arial" w:eastAsia="Arial" w:hAnsi="Arial"/>
          <w:color w:val="111827"/>
          <w:sz w:val="22"/>
          <w:szCs w:val="22"/>
        </w:rPr>
        <w:t xml:space="preserve">Deflationary tokenomics: every upgrade burns tokens, balancing emission</w:t>
      </w:r>
    </w:p>
    <w:p>
      <w:pPr>
        <w:pStyle w:val="ListParagraph"/>
        <w:numPr>
          <w:ilvl w:val="0"/>
          <w:numId w:val="2"/>
        </w:numPr>
        <w:spacing w:after="60" w:before="60"/>
      </w:pPr>
      <w:r>
        <w:rPr>
          <w:rFonts w:ascii="Arial" w:cs="Arial" w:eastAsia="Arial" w:hAnsi="Arial"/>
          <w:color w:val="111827"/>
          <w:sz w:val="22"/>
          <w:szCs w:val="22"/>
        </w:rPr>
        <w:t xml:space="preserve">Dual-token: clear separation between utility (high liquidity) and governance (low emission)</w:t>
      </w:r>
    </w:p>
    <w:p>
      <w:pPr>
        <w:spacing w:after="80" w:before="80"/>
      </w:pPr>
      <w:r>
        <w:t xml:space="preserve"/>
      </w:r>
    </w:p>
    <w:p>
      <w:pPr>
        <w:pStyle w:val="Heading1"/>
        <w:spacing w:after="200" w:before="400"/>
      </w:pPr>
      <w:r>
        <w:rPr>
          <w:rFonts w:ascii="Arial" w:cs="Arial" w:eastAsia="Arial" w:hAnsi="Arial"/>
          <w:b/>
          <w:bCs/>
          <w:color w:val="111827"/>
          <w:sz w:val="32"/>
          <w:szCs w:val="32"/>
        </w:rPr>
        <w:t xml:space="preserve">3. Tokenomics — Dual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4"/>
              <w:right w:val="single" w:color="1A56DB" w:sz="4"/>
            </w:tcBorders>
            <w:shd w:fill="DBEAFE" w:val="clear"/>
            <w:tcMar>
              <w:top w:type="dxa" w:w="120"/>
              <w:left w:type="dxa" w:w="200"/>
              <w:bottom w:type="dxa" w:w="120"/>
              <w:right w:type="dxa" w:w="120"/>
            </w:tcMar>
          </w:tcPr>
          <w:p>
            <w:r>
              <w:rPr>
                <w:rFonts w:ascii="Arial" w:cs="Arial" w:eastAsia="Arial" w:hAnsi="Arial"/>
                <w:i/>
                <w:iCs/>
                <w:color w:val="111827"/>
                <w:sz w:val="22"/>
                <w:szCs w:val="22"/>
              </w:rPr>
              <w:t xml:space="preserve">The two-token model is the most robust standard in modern GameFi. It separates the game economy from protocol governance, preventing a massive sell-off of one token from destroying the entire ecosystem.</w:t>
            </w:r>
          </w:p>
        </w:tc>
      </w:tr>
    </w:tbl>
    <w:p>
      <w:pPr>
        <w:spacing w:after="80" w:before="80"/>
      </w:pPr>
      <w:r>
        <w:t xml:space="preserve"/>
      </w:r>
    </w:p>
    <w:p>
      <w:pPr>
        <w:pStyle w:val="Heading2"/>
        <w:spacing w:after="160" w:before="300"/>
      </w:pPr>
      <w:r>
        <w:rPr>
          <w:rFonts w:ascii="Arial" w:cs="Arial" w:eastAsia="Arial" w:hAnsi="Arial"/>
          <w:b/>
          <w:bCs/>
          <w:color w:val="1A56DB"/>
          <w:sz w:val="26"/>
          <w:szCs w:val="26"/>
        </w:rPr>
        <w:t xml:space="preserve">3.1 $NODE — Utility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Standard</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ERC-20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Maximum Supply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500,000,000 (500 million)</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Emission</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Progressive — deflationary schedule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Gameplay, missions, tournaments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Usage</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Upgrades, boosts, marketplace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Main Sink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Every upgrade burns 40% of tokens spent</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Conversion</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10,000 $NODE = 1 USDC (on-chain bridge)</w:t>
            </w:r>
          </w:p>
        </w:tc>
      </w:tr>
    </w:tbl>
    <w:p>
      <w:pPr>
        <w:spacing w:after="80" w:before="80"/>
      </w:pPr>
      <w:r>
        <w:t xml:space="preserve"/>
      </w:r>
    </w:p>
    <w:p>
      <w:pPr>
        <w:spacing w:after="100" w:before="200"/>
      </w:pPr>
      <w:r>
        <w:rPr>
          <w:rFonts w:ascii="Arial" w:cs="Arial" w:eastAsia="Arial" w:hAnsi="Arial"/>
          <w:b/>
          <w:bCs/>
          <w:color w:val="111827"/>
          <w:sz w:val="24"/>
          <w:szCs w:val="24"/>
        </w:rPr>
        <w:t xml:space="preserve">$NODE Earning Mechanism</w:t>
      </w:r>
    </w:p>
    <w:p>
      <w:pPr>
        <w:pStyle w:val="ListParagraph"/>
        <w:numPr>
          <w:ilvl w:val="0"/>
          <w:numId w:val="2"/>
        </w:numPr>
        <w:spacing w:after="60" w:before="60"/>
      </w:pPr>
      <w:r>
        <w:rPr>
          <w:rFonts w:ascii="Arial" w:cs="Arial" w:eastAsia="Arial" w:hAnsi="Arial"/>
          <w:color w:val="111827"/>
          <w:sz w:val="22"/>
          <w:szCs w:val="22"/>
        </w:rPr>
        <w:t xml:space="preserve">Completed match (base): +10–50 $NODE</w:t>
      </w:r>
    </w:p>
    <w:p>
      <w:pPr>
        <w:pStyle w:val="ListParagraph"/>
        <w:numPr>
          <w:ilvl w:val="0"/>
          <w:numId w:val="2"/>
        </w:numPr>
        <w:spacing w:after="60" w:before="60"/>
      </w:pPr>
      <w:r>
        <w:rPr>
          <w:rFonts w:ascii="Arial" w:cs="Arial" w:eastAsia="Arial" w:hAnsi="Arial"/>
          <w:color w:val="111827"/>
          <w:sz w:val="22"/>
          <w:szCs w:val="22"/>
        </w:rPr>
        <w:t xml:space="preserve">Tournament victory: +200–2,000 $NODE</w:t>
      </w:r>
    </w:p>
    <w:p>
      <w:pPr>
        <w:pStyle w:val="ListParagraph"/>
        <w:numPr>
          <w:ilvl w:val="0"/>
          <w:numId w:val="2"/>
        </w:numPr>
        <w:spacing w:after="60" w:before="60"/>
      </w:pPr>
      <w:r>
        <w:rPr>
          <w:rFonts w:ascii="Arial" w:cs="Arial" w:eastAsia="Arial" w:hAnsi="Arial"/>
          <w:color w:val="111827"/>
          <w:sz w:val="22"/>
          <w:szCs w:val="22"/>
        </w:rPr>
        <w:t xml:space="preserve">Daily streak (7 days): x1.5 multiplier</w:t>
      </w:r>
    </w:p>
    <w:p>
      <w:pPr>
        <w:pStyle w:val="ListParagraph"/>
        <w:numPr>
          <w:ilvl w:val="0"/>
          <w:numId w:val="2"/>
        </w:numPr>
        <w:spacing w:after="60" w:before="60"/>
      </w:pPr>
      <w:r>
        <w:rPr>
          <w:rFonts w:ascii="Arial" w:cs="Arial" w:eastAsia="Arial" w:hAnsi="Arial"/>
          <w:color w:val="111827"/>
          <w:sz w:val="22"/>
          <w:szCs w:val="22"/>
        </w:rPr>
        <w:t xml:space="preserve">Active referral: +5% on referred player earnings</w:t>
      </w:r>
    </w:p>
    <w:p>
      <w:pPr>
        <w:pStyle w:val="ListParagraph"/>
        <w:numPr>
          <w:ilvl w:val="0"/>
          <w:numId w:val="2"/>
        </w:numPr>
        <w:spacing w:after="60" w:before="60"/>
      </w:pPr>
      <w:r>
        <w:rPr>
          <w:rFonts w:ascii="Arial" w:cs="Arial" w:eastAsia="Arial" w:hAnsi="Arial"/>
          <w:color w:val="111827"/>
          <w:sz w:val="22"/>
          <w:szCs w:val="22"/>
        </w:rPr>
        <w:t xml:space="preserve">$STRIKE staking: multiplier up to x2.0</w:t>
      </w:r>
    </w:p>
    <w:p>
      <w:pPr>
        <w:spacing w:after="80" w:before="80"/>
      </w:pPr>
      <w:r>
        <w:t xml:space="preserve"/>
      </w:r>
    </w:p>
    <w:p>
      <w:pPr>
        <w:spacing w:after="100" w:before="200"/>
      </w:pPr>
      <w:r>
        <w:rPr>
          <w:rFonts w:ascii="Arial" w:cs="Arial" w:eastAsia="Arial" w:hAnsi="Arial"/>
          <w:b/>
          <w:bCs/>
          <w:color w:val="111827"/>
          <w:sz w:val="24"/>
          <w:szCs w:val="24"/>
        </w:rPr>
        <w:t xml:space="preserve">Sink Mechanism (Deflationary)</w:t>
      </w:r>
    </w:p>
    <w:p>
      <w:pPr>
        <w:spacing w:after="80" w:before="80"/>
      </w:pPr>
      <w:r>
        <w:rPr>
          <w:rFonts w:ascii="Arial" w:cs="Arial" w:eastAsia="Arial" w:hAnsi="Arial"/>
          <w:color w:val="111827"/>
          <w:sz w:val="22"/>
          <w:szCs w:val="22"/>
        </w:rPr>
        <w:t xml:space="preserve">Sinks are essential to a healthy economy. Every time a player uses $NODE, a portion is permanently burned from the supply: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$NODE Cost</w:t>
            </w:r>
          </w:p>
        </w:tc>
        <w:tc>
          <w:tcPr>
            <w:tcW w:type="dxa" w:w="2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 Burned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Building/character upgrade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500–5,000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Premium zone access</w:t>
            </w:r>
          </w:p>
        </w:tc>
        <w:tc>
          <w:tcPr>
            <w:tcW w:type="dxa" w:w="2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2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Ranked tournament entry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Rare item crafting</w:t>
            </w:r>
          </w:p>
        </w:tc>
        <w:tc>
          <w:tcPr>
            <w:tcW w:type="dxa" w:w="2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1,000–10,000</w:t>
            </w:r>
          </w:p>
        </w:tc>
        <w:tc>
          <w:tcPr>
            <w:tcW w:type="dxa" w:w="2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Temporary x2 boost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70%</w:t>
            </w:r>
          </w:p>
        </w:tc>
      </w:tr>
    </w:tbl>
    <w:p>
      <w:pPr>
        <w:spacing w:after="80" w:before="80"/>
      </w:pPr>
      <w:r>
        <w:t xml:space="preserve"/>
      </w:r>
    </w:p>
    <w:p>
      <w:pPr>
        <w:pStyle w:val="Heading2"/>
        <w:spacing w:after="160" w:before="300"/>
      </w:pPr>
      <w:r>
        <w:rPr>
          <w:rFonts w:ascii="Arial" w:cs="Arial" w:eastAsia="Arial" w:hAnsi="Arial"/>
          <w:b/>
          <w:bCs/>
          <w:color w:val="1A56DB"/>
          <w:sz w:val="26"/>
          <w:szCs w:val="26"/>
        </w:rPr>
        <w:t xml:space="preserve">3.2 $STRIKE — Governance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$STRIKE</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Standard</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ERC-20Votes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Supply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100,000,000 (100 million) — FIXED</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Distribution</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See allocation table below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Staking 20,000 $NODE, special milestones, pre-IPO</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Usage</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DAO governance, staking for multipliers, pre-IPO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Team: 24 months — Advisors: 18 months — Investors: 12 months</w:t>
            </w:r>
          </w:p>
        </w:tc>
      </w:tr>
    </w:tbl>
    <w:p>
      <w:pPr>
        <w:spacing w:after="80" w:before="80"/>
      </w:pPr>
      <w:r>
        <w:t xml:space="preserve"/>
      </w:r>
    </w:p>
    <w:p>
      <w:pPr>
        <w:spacing w:after="100" w:before="200"/>
      </w:pPr>
      <w:r>
        <w:rPr>
          <w:rFonts w:ascii="Arial" w:cs="Arial" w:eastAsia="Arial" w:hAnsi="Arial"/>
          <w:b/>
          <w:bCs/>
          <w:color w:val="111827"/>
          <w:sz w:val="24"/>
          <w:szCs w:val="24"/>
        </w:rPr>
        <w:t xml:space="preserve">$STRIKE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21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Community / Play-to-Earn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35,000,000</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Team and Founders</w:t>
            </w:r>
          </w:p>
        </w:tc>
        <w:tc>
          <w:tcPr>
            <w:tcW w:type="dxa" w:w="2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2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15,000,000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Pre-IPO Mining (Early Adopters)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20,000,000</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Treasury / Ecosystem</w:t>
            </w:r>
          </w:p>
        </w:tc>
        <w:tc>
          <w:tcPr>
            <w:tcW w:type="dxa" w:w="2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2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15,000,000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Investors (seed round)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10,000,000</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Advisors and Partners</w:t>
            </w:r>
          </w:p>
        </w:tc>
        <w:tc>
          <w:tcPr>
            <w:tcW w:type="dxa" w:w="2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5,000,000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100,000,000</w:t>
            </w:r>
          </w:p>
        </w:tc>
      </w:tr>
    </w:tbl>
    <w:p>
      <w:pPr>
        <w:spacing w:after="80" w:before="80"/>
      </w:pPr>
      <w:r>
        <w:t xml:space="preserve"/>
      </w:r>
    </w:p>
    <w:p>
      <w:r>
        <w:br w:type="page"/>
      </w:r>
    </w:p>
    <w:p>
      <w:pPr>
        <w:pStyle w:val="Heading1"/>
        <w:spacing w:after="200" w:before="400"/>
      </w:pPr>
      <w:r>
        <w:rPr>
          <w:rFonts w:ascii="Arial" w:cs="Arial" w:eastAsia="Arial" w:hAnsi="Arial"/>
          <w:b/>
          <w:bCs/>
          <w:color w:val="111827"/>
          <w:sz w:val="32"/>
          <w:szCs w:val="32"/>
        </w:rPr>
        <w:t xml:space="preserve">4. Pre-IPO Mining — Early Adopter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2"/>
              <w:bottom w:val="single" w:color="D97706" w:sz="4"/>
              <w:right w:val="single" w:color="D97706" w:sz="4"/>
            </w:tcBorders>
            <w:shd w:fill="FFFBEB" w:val="clear"/>
            <w:tcMar>
              <w:top w:type="dxa" w:w="120"/>
              <w:left w:type="dxa" w:w="200"/>
              <w:bottom w:type="dxa" w:w="120"/>
              <w:right w:type="dxa" w:w="120"/>
            </w:tcMar>
          </w:tcPr>
          <w:p>
            <w:r>
              <w:rPr>
                <w:rFonts w:ascii="Arial" w:cs="Arial" w:eastAsia="Arial" w:hAnsi="Arial"/>
                <w:i/>
                <w:iCs/>
                <w:color w:val="111827"/>
                <w:sz w:val="22"/>
                <w:szCs w:val="22"/>
              </w:rPr>
              <w:t xml:space="preserve">LEGAL NOTE: The pre-IPO mining mechanism must be structured as a reward for protocol utility, NOT as a promise of profit. A legal opinion specializing in MiCA (EU) is mandatory before launch.</w:t>
            </w:r>
          </w:p>
        </w:tc>
      </w:tr>
    </w:tbl>
    <w:p>
      <w:pPr>
        <w:spacing w:after="80" w:before="80"/>
      </w:pPr>
      <w:r>
        <w:t xml:space="preserve"/>
      </w:r>
    </w:p>
    <w:p>
      <w:pPr>
        <w:spacing w:after="80" w:before="80"/>
      </w:pPr>
      <w:r>
        <w:rPr>
          <w:rFonts w:ascii="Arial" w:cs="Arial" w:eastAsia="Arial" w:hAnsi="Arial"/>
          <w:color w:val="111827"/>
          <w:sz w:val="22"/>
          <w:szCs w:val="22"/>
        </w:rPr>
        <w:t xml:space="preserve">Pre-IPO mining rewards players who actively contribute to ecosystem growth before the public listing of $STRIKE. The mechanism operates on three levels:</w:t>
      </w:r>
    </w:p>
    <w:p>
      <w:pPr>
        <w:spacing w:after="80" w:before="80"/>
      </w:pPr>
      <w:r>
        <w:t xml:space="preserve"/>
      </w:r>
    </w:p>
    <w:p>
      <w:pPr>
        <w:pStyle w:val="Heading2"/>
        <w:spacing w:after="160" w:before="300"/>
      </w:pPr>
      <w:r>
        <w:rPr>
          <w:rFonts w:ascii="Arial" w:cs="Arial" w:eastAsia="Arial" w:hAnsi="Arial"/>
          <w:b/>
          <w:bCs/>
          <w:color w:val="1A56DB"/>
          <w:sz w:val="26"/>
          <w:szCs w:val="26"/>
        </w:rPr>
        <w:t xml:space="preserve">4.1 How It Works</w:t>
      </w:r>
    </w:p>
    <w:p>
      <w:pPr>
        <w:spacing w:after="100" w:before="200"/>
      </w:pPr>
      <w:r>
        <w:rPr>
          <w:rFonts w:ascii="Arial" w:cs="Arial" w:eastAsia="Arial" w:hAnsi="Arial"/>
          <w:b/>
          <w:bCs/>
          <w:color w:val="111827"/>
          <w:sz w:val="24"/>
          <w:szCs w:val="24"/>
        </w:rPr>
        <w:t xml:space="preserve">Phase 1 — Staking (months 1–12)</w:t>
      </w:r>
    </w:p>
    <w:p>
      <w:pPr>
        <w:pStyle w:val="ListParagraph"/>
        <w:numPr>
          <w:ilvl w:val="0"/>
          <w:numId w:val="2"/>
        </w:numPr>
        <w:spacing w:after="60" w:before="60"/>
      </w:pPr>
      <w:r>
        <w:rPr>
          <w:rFonts w:ascii="Arial" w:cs="Arial" w:eastAsia="Arial" w:hAnsi="Arial"/>
          <w:color w:val="111827"/>
          <w:sz w:val="22"/>
          <w:szCs w:val="22"/>
        </w:rPr>
        <w:t xml:space="preserve">Players stake $NODE to receive $STRIKE at a fixed rate</w:t>
      </w:r>
    </w:p>
    <w:p>
      <w:pPr>
        <w:pStyle w:val="ListParagraph"/>
        <w:numPr>
          <w:ilvl w:val="0"/>
          <w:numId w:val="2"/>
        </w:numPr>
        <w:spacing w:after="60" w:before="60"/>
      </w:pPr>
      <w:r>
        <w:rPr>
          <w:rFonts w:ascii="Arial" w:cs="Arial" w:eastAsia="Arial" w:hAnsi="Arial"/>
          <w:color w:val="111827"/>
          <w:sz w:val="22"/>
          <w:szCs w:val="22"/>
        </w:rPr>
        <w:t xml:space="preserve">Base rate: 20,000 $NODE staked for 30 days = 1 $STRIKE</w:t>
      </w:r>
    </w:p>
    <w:p>
      <w:pPr>
        <w:pStyle w:val="ListParagraph"/>
        <w:numPr>
          <w:ilvl w:val="0"/>
          <w:numId w:val="2"/>
        </w:numPr>
        <w:spacing w:after="60" w:before="60"/>
      </w:pPr>
      <w:r>
        <w:rPr>
          <w:rFonts w:ascii="Arial" w:cs="Arial" w:eastAsia="Arial" w:hAnsi="Arial"/>
          <w:color w:val="111827"/>
          <w:sz w:val="22"/>
          <w:szCs w:val="22"/>
        </w:rPr>
        <w:t xml:space="preserve">Activity bonus: +20% $STRIKE if the player is active at least 5 days/week</w:t>
      </w:r>
    </w:p>
    <w:p>
      <w:pPr>
        <w:pStyle w:val="ListParagraph"/>
        <w:numPr>
          <w:ilvl w:val="0"/>
          <w:numId w:val="2"/>
        </w:numPr>
        <w:spacing w:after="60" w:before="60"/>
      </w:pPr>
      <w:r>
        <w:rPr>
          <w:rFonts w:ascii="Arial" w:cs="Arial" w:eastAsia="Arial" w:hAnsi="Arial"/>
          <w:color w:val="111827"/>
          <w:sz w:val="22"/>
          <w:szCs w:val="22"/>
        </w:rPr>
        <w:t xml:space="preserve">Lock period: free staking — no lock required</w:t>
      </w:r>
    </w:p>
    <w:p>
      <w:pPr>
        <w:spacing w:after="80" w:before="80"/>
      </w:pPr>
      <w:r>
        <w:t xml:space="preserve"/>
      </w:r>
    </w:p>
    <w:p>
      <w:pPr>
        <w:spacing w:after="100" w:before="200"/>
      </w:pPr>
      <w:r>
        <w:rPr>
          <w:rFonts w:ascii="Arial" w:cs="Arial" w:eastAsia="Arial" w:hAnsi="Arial"/>
          <w:b/>
          <w:bCs/>
          <w:color w:val="111827"/>
          <w:sz w:val="24"/>
          <w:szCs w:val="24"/>
        </w:rPr>
        <w:t xml:space="preserve">Phase 2 — Competitive Mining (months 6–18)</w:t>
      </w:r>
    </w:p>
    <w:p>
      <w:pPr>
        <w:pStyle w:val="ListParagraph"/>
        <w:numPr>
          <w:ilvl w:val="0"/>
          <w:numId w:val="2"/>
        </w:numPr>
        <w:spacing w:after="60" w:before="60"/>
      </w:pPr>
      <w:r>
        <w:rPr>
          <w:rFonts w:ascii="Arial" w:cs="Arial" w:eastAsia="Arial" w:hAnsi="Arial"/>
          <w:color w:val="111827"/>
          <w:sz w:val="22"/>
          <w:szCs w:val="22"/>
        </w:rPr>
        <w:t xml:space="preserve">Weekly tournaments with $STRIKE prize pool</w:t>
      </w:r>
    </w:p>
    <w:p>
      <w:pPr>
        <w:pStyle w:val="ListParagraph"/>
        <w:numPr>
          <w:ilvl w:val="0"/>
          <w:numId w:val="2"/>
        </w:numPr>
        <w:spacing w:after="60" w:before="60"/>
      </w:pPr>
      <w:r>
        <w:rPr>
          <w:rFonts w:ascii="Arial" w:cs="Arial" w:eastAsia="Arial" w:hAnsi="Arial"/>
          <w:color w:val="111827"/>
          <w:sz w:val="22"/>
          <w:szCs w:val="22"/>
        </w:rPr>
        <w:t xml:space="preserve">Top 10% of players by monthly score receives additional $STRIKE reward</w:t>
      </w:r>
    </w:p>
    <w:p>
      <w:pPr>
        <w:pStyle w:val="ListParagraph"/>
        <w:numPr>
          <w:ilvl w:val="0"/>
          <w:numId w:val="2"/>
        </w:numPr>
        <w:spacing w:after="60" w:before="60"/>
      </w:pPr>
      <w:r>
        <w:rPr>
          <w:rFonts w:ascii="Arial" w:cs="Arial" w:eastAsia="Arial" w:hAnsi="Arial"/>
          <w:color w:val="111827"/>
          <w:sz w:val="22"/>
          <w:szCs w:val="22"/>
        </w:rPr>
        <w:t xml:space="preserve">Public on-chain leaderboard — full transparency</w:t>
      </w:r>
    </w:p>
    <w:p>
      <w:pPr>
        <w:spacing w:after="80" w:before="80"/>
      </w:pPr>
      <w:r>
        <w:t xml:space="preserve"/>
      </w:r>
    </w:p>
    <w:p>
      <w:pPr>
        <w:spacing w:after="100" w:before="200"/>
      </w:pPr>
      <w:r>
        <w:rPr>
          <w:rFonts w:ascii="Arial" w:cs="Arial" w:eastAsia="Arial" w:hAnsi="Arial"/>
          <w:b/>
          <w:bCs/>
          <w:color w:val="111827"/>
          <w:sz w:val="24"/>
          <w:szCs w:val="24"/>
        </w:rPr>
        <w:t xml:space="preserve">Phase 3 — Pre-launch Token Event (months 18–24)</w:t>
      </w:r>
    </w:p>
    <w:p>
      <w:pPr>
        <w:pStyle w:val="ListParagraph"/>
        <w:numPr>
          <w:ilvl w:val="0"/>
          <w:numId w:val="2"/>
        </w:numPr>
        <w:spacing w:after="60" w:before="60"/>
      </w:pPr>
      <w:r>
        <w:rPr>
          <w:rFonts w:ascii="Arial" w:cs="Arial" w:eastAsia="Arial" w:hAnsi="Arial"/>
          <w:color w:val="111827"/>
          <w:sz w:val="22"/>
          <w:szCs w:val="22"/>
        </w:rPr>
        <w:t xml:space="preserve">$STRIKE holders receive priority access to the liquidity pool at launch</w:t>
      </w:r>
    </w:p>
    <w:p>
      <w:pPr>
        <w:pStyle w:val="ListParagraph"/>
        <w:numPr>
          <w:ilvl w:val="0"/>
          <w:numId w:val="2"/>
        </w:numPr>
        <w:spacing w:after="60" w:before="60"/>
      </w:pPr>
      <w:r>
        <w:rPr>
          <w:rFonts w:ascii="Arial" w:cs="Arial" w:eastAsia="Arial" w:hAnsi="Arial"/>
          <w:color w:val="111827"/>
          <w:sz w:val="22"/>
          <w:szCs w:val="22"/>
        </w:rPr>
        <w:t xml:space="preserve">Automatic whitelist for the public token sale</w:t>
      </w:r>
    </w:p>
    <w:p>
      <w:pPr>
        <w:pStyle w:val="ListParagraph"/>
        <w:numPr>
          <w:ilvl w:val="0"/>
          <w:numId w:val="2"/>
        </w:numPr>
        <w:spacing w:after="60" w:before="60"/>
      </w:pPr>
      <w:r>
        <w:rPr>
          <w:rFonts w:ascii="Arial" w:cs="Arial" w:eastAsia="Arial" w:hAnsi="Arial"/>
          <w:color w:val="111827"/>
          <w:sz w:val="22"/>
          <w:szCs w:val="22"/>
        </w:rPr>
        <w:t xml:space="preserve">Governance vote on launch parameters (floor price, supply release schedule)</w:t>
      </w:r>
    </w:p>
    <w:p>
      <w:pPr>
        <w:spacing w:after="80" w:before="80"/>
      </w:pPr>
      <w:r>
        <w:t xml:space="preserve"/>
      </w:r>
    </w:p>
    <w:p>
      <w:pPr>
        <w:pStyle w:val="Heading2"/>
        <w:spacing w:after="160" w:before="300"/>
      </w:pPr>
      <w:r>
        <w:rPr>
          <w:rFonts w:ascii="Arial" w:cs="Arial" w:eastAsia="Arial" w:hAnsi="Arial"/>
          <w:b/>
          <w:bCs/>
          <w:color w:val="1A56DB"/>
          <w:sz w:val="26"/>
          <w:szCs w:val="26"/>
        </w:rPr>
        <w:t xml:space="preserve">4.2 Pre-IPO Mining Reward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$NODE Staked</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Lock Period</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$STRIKE/month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Bronze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Silver</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100,000</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Free</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 (+30%)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35 (+50%)</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Diamond</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2,000,000</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Free</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160 (+100%)</w:t>
            </w:r>
          </w:p>
        </w:tc>
      </w:tr>
    </w:tbl>
    <w:p>
      <w:pPr>
        <w:spacing w:after="80" w:before="80"/>
      </w:pPr>
      <w:r>
        <w:t xml:space="preserve"/>
      </w:r>
    </w:p>
    <w:p>
      <w:pPr>
        <w:pStyle w:val="Heading1"/>
        <w:spacing w:after="200" w:before="400"/>
      </w:pPr>
      <w:r>
        <w:rPr>
          <w:rFonts w:ascii="Arial" w:cs="Arial" w:eastAsia="Arial" w:hAnsi="Arial"/>
          <w:b/>
          <w:bCs/>
          <w:color w:val="111827"/>
          <w:sz w:val="32"/>
          <w:szCs w:val="32"/>
        </w:rPr>
        <w:t xml:space="preserve">5. Token → Stablecoin Conversion</w:t>
      </w:r>
    </w:p>
    <w:p>
      <w:pPr>
        <w:spacing w:after="80" w:before="80"/>
      </w:pPr>
      <w:r>
        <w:rPr>
          <w:rFonts w:ascii="Arial" w:cs="Arial" w:eastAsia="Arial" w:hAnsi="Arial"/>
          <w:color w:val="111827"/>
          <w:sz w:val="22"/>
          <w:szCs w:val="22"/>
        </w:rPr>
        <w:t xml:space="preserve">When a player reaches 10,000 $NODE, they can initiate the bridge to stablecoin (USDC or USDT) through the protocol's on-chain conversion system.</w:t>
      </w:r>
    </w:p>
    <w:p>
      <w:pPr>
        <w:spacing w:after="80" w:before="80"/>
      </w:pPr>
      <w:r>
        <w:t xml:space="preserve"/>
      </w:r>
    </w:p>
    <w:p>
      <w:pPr>
        <w:pStyle w:val="Heading2"/>
        <w:spacing w:after="160" w:before="300"/>
      </w:pPr>
      <w:r>
        <w:rPr>
          <w:rFonts w:ascii="Arial" w:cs="Arial" w:eastAsia="Arial" w:hAnsi="Arial"/>
          <w:b/>
          <w:bCs/>
          <w:color w:val="1A56DB"/>
          <w:sz w:val="26"/>
          <w:szCs w:val="26"/>
        </w:rPr>
        <w:t xml:space="preserve">5.1 Conversion Flow</w:t>
      </w:r>
    </w:p>
    <w:p>
      <w:pPr>
        <w:pStyle w:val="ListParagraph"/>
        <w:numPr>
          <w:ilvl w:val="0"/>
          <w:numId w:val="2"/>
        </w:numPr>
        <w:spacing w:after="60" w:before="60"/>
      </w:pPr>
      <w:r>
        <w:rPr>
          <w:rFonts w:ascii="Arial" w:cs="Arial" w:eastAsia="Arial" w:hAnsi="Arial"/>
          <w:color w:val="111827"/>
          <w:sz w:val="22"/>
          <w:szCs w:val="22"/>
        </w:rPr>
        <w:t xml:space="preserve">The player accumulates $NODE through gameplay</w:t>
      </w:r>
    </w:p>
    <w:p>
      <w:pPr>
        <w:pStyle w:val="ListParagraph"/>
        <w:numPr>
          <w:ilvl w:val="0"/>
          <w:numId w:val="2"/>
        </w:numPr>
        <w:spacing w:after="60" w:before="60"/>
      </w:pPr>
      <w:r>
        <w:rPr>
          <w:rFonts w:ascii="Arial" w:cs="Arial" w:eastAsia="Arial" w:hAnsi="Arial"/>
          <w:color w:val="111827"/>
          <w:sz w:val="22"/>
          <w:szCs w:val="22"/>
        </w:rPr>
        <w:t xml:space="preserve">Upon reaching the 10,000 $NODE threshold, the "Convert" button becomes available</w:t>
      </w:r>
    </w:p>
    <w:p>
      <w:pPr>
        <w:pStyle w:val="ListParagraph"/>
        <w:numPr>
          <w:ilvl w:val="0"/>
          <w:numId w:val="2"/>
        </w:numPr>
        <w:spacing w:after="60" w:before="60"/>
      </w:pPr>
      <w:r>
        <w:rPr>
          <w:rFonts w:ascii="Arial" w:cs="Arial" w:eastAsia="Arial" w:hAnsi="Arial"/>
          <w:color w:val="111827"/>
          <w:sz w:val="22"/>
          <w:szCs w:val="22"/>
        </w:rPr>
        <w:t xml:space="preserve">The system burns the 10,000 $NODE (deflationary sink) and releases 1 USDC from the treasury</w:t>
      </w:r>
    </w:p>
    <w:p>
      <w:pPr>
        <w:pStyle w:val="ListParagraph"/>
        <w:numPr>
          <w:ilvl w:val="0"/>
          <w:numId w:val="2"/>
        </w:numPr>
        <w:spacing w:after="60" w:before="60"/>
      </w:pPr>
      <w:r>
        <w:rPr>
          <w:rFonts w:ascii="Arial" w:cs="Arial" w:eastAsia="Arial" w:hAnsi="Arial"/>
          <w:color w:val="111827"/>
          <w:sz w:val="22"/>
          <w:szCs w:val="22"/>
        </w:rPr>
        <w:t xml:space="preserve">The exchange rate is managed by an on-chain oracle for security</w:t>
      </w:r>
    </w:p>
    <w:p>
      <w:pPr>
        <w:pStyle w:val="ListParagraph"/>
        <w:numPr>
          <w:ilvl w:val="0"/>
          <w:numId w:val="2"/>
        </w:numPr>
        <w:spacing w:after="60" w:before="60"/>
      </w:pPr>
      <w:r>
        <w:rPr>
          <w:rFonts w:ascii="Arial" w:cs="Arial" w:eastAsia="Arial" w:hAnsi="Arial"/>
          <w:color w:val="111827"/>
          <w:sz w:val="22"/>
          <w:szCs w:val="22"/>
        </w:rPr>
        <w:t xml:space="preserve">Processing time: max 24 hours (daily batch to optimize gas fees)</w:t>
      </w:r>
    </w:p>
    <w:p>
      <w:pPr>
        <w:spacing w:after="80" w:before="80"/>
      </w:pPr>
      <w:r>
        <w:t xml:space="preserve"/>
      </w:r>
    </w:p>
    <w:p>
      <w:pPr>
        <w:pStyle w:val="Heading2"/>
        <w:spacing w:after="160" w:before="300"/>
      </w:pPr>
      <w:r>
        <w:rPr>
          <w:rFonts w:ascii="Arial" w:cs="Arial" w:eastAsia="Arial" w:hAnsi="Arial"/>
          <w:b/>
          <w:bCs/>
          <w:color w:val="1A56DB"/>
          <w:sz w:val="26"/>
          <w:szCs w:val="26"/>
        </w:rPr>
        <w:t xml:space="preserve">5.2 Limits and Anti-Abuse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Minimum conversion threshold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10,000 $NODE</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Maximum conversions/month per wallet</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KYC required for conversion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 (above 100 USDC total)</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Cooldown between conversions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7 days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Conversion fee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retained by the protocol (treasury)</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Anti-bot</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Account active for at least 30 days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4"/>
              <w:right w:val="single" w:color="1A56DB" w:sz="4"/>
            </w:tcBorders>
            <w:shd w:fill="DBEAFE" w:val="clear"/>
            <w:tcMar>
              <w:top w:type="dxa" w:w="120"/>
              <w:left w:type="dxa" w:w="200"/>
              <w:bottom w:type="dxa" w:w="120"/>
              <w:right w:type="dxa" w:w="120"/>
            </w:tcMar>
          </w:tcPr>
          <w:p>
            <w:r>
              <w:rPr>
                <w:rFonts w:ascii="Arial" w:cs="Arial" w:eastAsia="Arial" w:hAnsi="Arial"/>
                <w:i/>
                <w:iCs/>
                <w:color w:val="111827"/>
                <w:sz w:val="22"/>
                <w:szCs w:val="22"/>
              </w:rPr>
              <w:t xml:space="preserve">The USDC reserve in the treasury is funded by 30% of in-app purchase revenue and the 2% conversion fee. It is essential to maintain a minimum reserve of 120% of the estimated monthly requirement.</w:t>
            </w:r>
          </w:p>
        </w:tc>
      </w:tr>
    </w:tbl>
    <w:p>
      <w:pPr>
        <w:spacing w:after="80" w:before="80"/>
      </w:pPr>
      <w:r>
        <w:t xml:space="preserve"/>
      </w:r>
    </w:p>
    <w:p>
      <w:r>
        <w:br w:type="page"/>
      </w:r>
    </w:p>
    <w:p>
      <w:pPr>
        <w:pStyle w:val="Heading1"/>
        <w:spacing w:after="200" w:before="400"/>
      </w:pPr>
      <w:r>
        <w:rPr>
          <w:rFonts w:ascii="Arial" w:cs="Arial" w:eastAsia="Arial" w:hAnsi="Arial"/>
          <w:b/>
          <w:bCs/>
          <w:color w:val="111827"/>
          <w:sz w:val="32"/>
          <w:szCs w:val="32"/>
        </w:rPr>
        <w:t xml:space="preserve">6. Freemium Monetization Model</w:t>
      </w:r>
    </w:p>
    <w:p>
      <w:pPr>
        <w:spacing w:after="80" w:before="80"/>
      </w:pPr>
      <w:r>
        <w:rPr>
          <w:rFonts w:ascii="Arial" w:cs="Arial" w:eastAsia="Arial" w:hAnsi="Arial"/>
          <w:color w:val="111827"/>
          <w:sz w:val="22"/>
          <w:szCs w:val="22"/>
        </w:rPr>
        <w:t xml:space="preserve">NodeStrike adopts a pure freemium model: the game is completely free and players can earn $NODE without spending a single cent. In-app purchases are optional, never pay-to-win, and offer only cosmetic or progression-acceleration advantages.</w:t>
      </w:r>
    </w:p>
    <w:p>
      <w:pPr>
        <w:spacing w:after="80" w:before="80"/>
      </w:pPr>
      <w:r>
        <w:t xml:space="preserve"/>
      </w:r>
    </w:p>
    <w:p>
      <w:pPr>
        <w:pStyle w:val="Heading2"/>
        <w:spacing w:after="160" w:before="300"/>
      </w:pPr>
      <w:r>
        <w:rPr>
          <w:rFonts w:ascii="Arial" w:cs="Arial" w:eastAsia="Arial" w:hAnsi="Arial"/>
          <w:b/>
          <w:bCs/>
          <w:color w:val="1A56DB"/>
          <w:sz w:val="26"/>
          <w:szCs w:val="26"/>
        </w:rPr>
        <w:t xml:space="preserve">6.1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Base Earning</w:t>
            </w:r>
          </w:p>
        </w:tc>
        <w:tc>
          <w:tcPr>
            <w:tcW w:type="dxa" w:w="3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Extra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game, earn $NODE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Plus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$4.99/month</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+30%</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Season pass, exclusive skins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$9.99/month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Plus + ranked tournament access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Elite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$24.99/month</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+150%</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All Pro + monthly $STRIKE bonus</w:t>
            </w:r>
          </w:p>
        </w:tc>
      </w:tr>
    </w:tbl>
    <w:p>
      <w:pPr>
        <w:spacing w:after="80" w:before="80"/>
      </w:pPr>
      <w:r>
        <w:t xml:space="preserve"/>
      </w:r>
    </w:p>
    <w:p>
      <w:pPr>
        <w:pStyle w:val="Heading2"/>
        <w:spacing w:after="160" w:before="300"/>
      </w:pPr>
      <w:r>
        <w:rPr>
          <w:rFonts w:ascii="Arial" w:cs="Arial" w:eastAsia="Arial" w:hAnsi="Arial"/>
          <w:b/>
          <w:bCs/>
          <w:color w:val="1A56DB"/>
          <w:sz w:val="26"/>
          <w:szCs w:val="26"/>
        </w:rPr>
        <w:t xml:space="preserve">6.2 In-Game Shop</w:t>
      </w:r>
    </w:p>
    <w:p>
      <w:pPr>
        <w:pStyle w:val="ListParagraph"/>
        <w:numPr>
          <w:ilvl w:val="0"/>
          <w:numId w:val="2"/>
        </w:numPr>
        <w:spacing w:after="60" w:before="60"/>
      </w:pPr>
      <w:r>
        <w:rPr>
          <w:rFonts w:ascii="Arial" w:cs="Arial" w:eastAsia="Arial" w:hAnsi="Arial"/>
          <w:color w:val="111827"/>
          <w:sz w:val="22"/>
          <w:szCs w:val="22"/>
        </w:rPr>
        <w:t xml:space="preserve">Boost packs (€0.99–4.99): items/upgrades — never pay-to-win</w:t>
      </w:r>
    </w:p>
    <w:p>
      <w:pPr>
        <w:pStyle w:val="ListParagraph"/>
        <w:numPr>
          <w:ilvl w:val="0"/>
          <w:numId w:val="2"/>
        </w:numPr>
        <w:spacing w:after="60" w:before="60"/>
      </w:pPr>
      <w:r>
        <w:rPr>
          <w:rFonts w:ascii="Arial" w:cs="Arial" w:eastAsia="Arial" w:hAnsi="Arial"/>
          <w:color w:val="111827"/>
          <w:sz w:val="22"/>
          <w:szCs w:val="22"/>
        </w:rPr>
        <w:t xml:space="preserve">Skins and cosmetics (€1.99–19.99): purely aesthetic, no gameplay advantage</w:t>
      </w:r>
    </w:p>
    <w:p>
      <w:pPr>
        <w:pStyle w:val="ListParagraph"/>
        <w:numPr>
          <w:ilvl w:val="0"/>
          <w:numId w:val="2"/>
        </w:numPr>
        <w:spacing w:after="60" w:before="60"/>
      </w:pPr>
      <w:r>
        <w:rPr>
          <w:rFonts w:ascii="Arial" w:cs="Arial" w:eastAsia="Arial" w:hAnsi="Arial"/>
          <w:color w:val="111827"/>
          <w:sz w:val="22"/>
          <w:szCs w:val="22"/>
        </w:rPr>
        <w:t xml:space="preserve">Additional character slots (€2.99): expands the manageable roster</w:t>
      </w:r>
    </w:p>
    <w:p>
      <w:pPr>
        <w:pStyle w:val="ListParagraph"/>
        <w:numPr>
          <w:ilvl w:val="0"/>
          <w:numId w:val="2"/>
        </w:numPr>
        <w:spacing w:after="60" w:before="60"/>
      </w:pPr>
      <w:r>
        <w:rPr>
          <w:rFonts w:ascii="Arial" w:cs="Arial" w:eastAsia="Arial" w:hAnsi="Arial"/>
          <w:color w:val="111827"/>
          <w:sz w:val="22"/>
          <w:szCs w:val="22"/>
        </w:rPr>
        <w:t xml:space="preserve">Starter bundle (€9.99): onboarding package for new users</w:t>
      </w:r>
    </w:p>
    <w:p>
      <w:pPr>
        <w:spacing w:after="80" w:before="80"/>
      </w:pPr>
      <w:r>
        <w:t xml:space="preserve"/>
      </w:r>
    </w:p>
    <w:p>
      <w:pPr>
        <w:pStyle w:val="Heading2"/>
        <w:spacing w:after="160" w:before="300"/>
      </w:pPr>
      <w:r>
        <w:rPr>
          <w:rFonts w:ascii="Arial" w:cs="Arial" w:eastAsia="Arial" w:hAnsi="Arial"/>
          <w:b/>
          <w:bCs/>
          <w:color w:val="1A56DB"/>
          <w:sz w:val="26"/>
          <w:szCs w:val="26"/>
        </w:rPr>
        <w:t xml:space="preserve">6.3 Revenue Projection (Conservative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Active Users</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Est. ARPU</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$1,200</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Month 12</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10,000</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$2.50</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$25,000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$190,000</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Month 24</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200,000</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$1,000,000</w:t>
            </w:r>
          </w:p>
        </w:tc>
      </w:tr>
    </w:tbl>
    <w:p>
      <w:pPr>
        <w:spacing w:after="80" w:before="80"/>
      </w:pPr>
      <w:r>
        <w:t xml:space="preserve"/>
      </w:r>
    </w:p>
    <w:p>
      <w:pPr>
        <w:pStyle w:val="Heading1"/>
        <w:spacing w:after="200" w:before="400"/>
      </w:pPr>
      <w:r>
        <w:rPr>
          <w:rFonts w:ascii="Arial" w:cs="Arial" w:eastAsia="Arial" w:hAnsi="Arial"/>
          <w:b/>
          <w:bCs/>
          <w:color w:val="111827"/>
          <w:sz w:val="32"/>
          <w:szCs w:val="32"/>
        </w:rPr>
        <w:t xml:space="preserve">7.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8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Q1–Q2 2026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Whitepaper, tokenomics design, game prototype, smart contracts on Polygon Mainnet</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Q3–Q4 2026</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Game MVP (closed alpha), first 500 wallets whitelist, $NODE live on Mainnet, Discord community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Q1 2027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 beta, external smart contract audit, KYC integration, NFT Marketplace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Q2–Q4 2027</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Stablecoin bridge live, seed round investors, minor CEX listing, $STRIKE governance 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2028</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 token sale, major DEX listing, DAO fully operational, NodeStrike Season 2</w:t>
            </w:r>
          </w:p>
        </w:tc>
      </w:tr>
    </w:tbl>
    <w:p>
      <w:pPr>
        <w:spacing w:after="80" w:before="80"/>
      </w:pPr>
      <w:r>
        <w:t xml:space="preserve"/>
      </w:r>
    </w:p>
    <w:p>
      <w:r>
        <w:br w:type="page"/>
      </w:r>
    </w:p>
    <w:p>
      <w:pPr>
        <w:pStyle w:val="Heading1"/>
        <w:spacing w:after="200" w:before="400"/>
      </w:pPr>
      <w:r>
        <w:rPr>
          <w:rFonts w:ascii="Arial" w:cs="Arial" w:eastAsia="Arial" w:hAnsi="Arial"/>
          <w:b/>
          <w:bCs/>
          <w:color w:val="111827"/>
          <w:sz w:val="32"/>
          <w:szCs w:val="32"/>
        </w:rPr>
        <w:t xml:space="preserve">8. Risk Analysis</w:t>
      </w:r>
    </w:p>
    <w:p>
      <w:pPr>
        <w:pStyle w:val="Heading2"/>
        <w:spacing w:after="160" w:before="300"/>
      </w:pPr>
      <w:r>
        <w:rPr>
          <w:rFonts w:ascii="Arial" w:cs="Arial" w:eastAsia="Arial" w:hAnsi="Arial"/>
          <w:b/>
          <w:bCs/>
          <w:color w:val="1A56DB"/>
          <w:sz w:val="26"/>
          <w:szCs w:val="26"/>
        </w:rPr>
        <w:t xml:space="preserve">8.1 Tokenomic Risks</w:t>
      </w:r>
    </w:p>
    <w:p>
      <w:pPr>
        <w:pStyle w:val="ListParagraph"/>
        <w:numPr>
          <w:ilvl w:val="0"/>
          <w:numId w:val="2"/>
        </w:numPr>
        <w:spacing w:after="60" w:before="60"/>
      </w:pPr>
      <w:r>
        <w:rPr>
          <w:rFonts w:ascii="Arial" w:cs="Arial" w:eastAsia="Arial" w:hAnsi="Arial"/>
          <w:color w:val="111827"/>
          <w:sz w:val="22"/>
          <w:szCs w:val="22"/>
        </w:rPr>
        <w:t xml:space="preserve">$NODE hyperinflation: mitigated by deflationary sinks (40–70% burn per use)</w:t>
      </w:r>
    </w:p>
    <w:p>
      <w:pPr>
        <w:pStyle w:val="ListParagraph"/>
        <w:numPr>
          <w:ilvl w:val="0"/>
          <w:numId w:val="2"/>
        </w:numPr>
        <w:spacing w:after="60" w:before="60"/>
      </w:pPr>
      <w:r>
        <w:rPr>
          <w:rFonts w:ascii="Arial" w:cs="Arial" w:eastAsia="Arial" w:hAnsi="Arial"/>
          <w:color w:val="111827"/>
          <w:sz w:val="22"/>
          <w:szCs w:val="22"/>
        </w:rPr>
        <w:t xml:space="preserve">USDC treasury bank run: mitigated by the limit of 3 conversions/month per wallet</w:t>
      </w:r>
    </w:p>
    <w:p>
      <w:pPr>
        <w:pStyle w:val="ListParagraph"/>
        <w:numPr>
          <w:ilvl w:val="0"/>
          <w:numId w:val="2"/>
        </w:numPr>
        <w:spacing w:after="60" w:before="60"/>
      </w:pPr>
      <w:r>
        <w:rPr>
          <w:rFonts w:ascii="Arial" w:cs="Arial" w:eastAsia="Arial" w:hAnsi="Arial"/>
          <w:color w:val="111827"/>
          <w:sz w:val="22"/>
          <w:szCs w:val="22"/>
        </w:rPr>
        <w:t xml:space="preserve">Early adopter market manipulation: mitigated by founder vesting lock (24 months)</w:t>
      </w:r>
    </w:p>
    <w:p>
      <w:pPr>
        <w:spacing w:after="80" w:before="80"/>
      </w:pPr>
      <w:r>
        <w:t xml:space="preserve"/>
      </w:r>
    </w:p>
    <w:p>
      <w:pPr>
        <w:pStyle w:val="Heading2"/>
        <w:spacing w:after="160" w:before="300"/>
      </w:pPr>
      <w:r>
        <w:rPr>
          <w:rFonts w:ascii="Arial" w:cs="Arial" w:eastAsia="Arial" w:hAnsi="Arial"/>
          <w:b/>
          <w:bCs/>
          <w:color w:val="1A56DB"/>
          <w:sz w:val="26"/>
          <w:szCs w:val="26"/>
        </w:rPr>
        <w:t xml:space="preserve">8.2 Legal and Regulatory Risks</w:t>
      </w:r>
    </w:p>
    <w:p>
      <w:pPr>
        <w:pStyle w:val="ListParagraph"/>
        <w:numPr>
          <w:ilvl w:val="0"/>
          <w:numId w:val="2"/>
        </w:numPr>
        <w:spacing w:after="60" w:before="60"/>
      </w:pPr>
      <w:r>
        <w:rPr>
          <w:rFonts w:ascii="Arial" w:cs="Arial" w:eastAsia="Arial" w:hAnsi="Arial"/>
          <w:color w:val="111827"/>
          <w:sz w:val="22"/>
          <w:szCs w:val="22"/>
        </w:rPr>
        <w:t xml:space="preserve">Classification as security (EU — MiCA): legal opinion required before launch</w:t>
      </w:r>
    </w:p>
    <w:p>
      <w:pPr>
        <w:pStyle w:val="ListParagraph"/>
        <w:numPr>
          <w:ilvl w:val="0"/>
          <w:numId w:val="2"/>
        </w:numPr>
        <w:spacing w:after="60" w:before="60"/>
      </w:pPr>
      <w:r>
        <w:rPr>
          <w:rFonts w:ascii="Arial" w:cs="Arial" w:eastAsia="Arial" w:hAnsi="Arial"/>
          <w:color w:val="111827"/>
          <w:sz w:val="22"/>
          <w:szCs w:val="22"/>
        </w:rPr>
        <w:t xml:space="preserve">KYC/AML for stablecoin conversion: mandatory for FATF compliance</w:t>
      </w:r>
    </w:p>
    <w:p>
      <w:pPr>
        <w:pStyle w:val="ListParagraph"/>
        <w:numPr>
          <w:ilvl w:val="0"/>
          <w:numId w:val="2"/>
        </w:numPr>
        <w:spacing w:after="60" w:before="60"/>
      </w:pPr>
      <w:r>
        <w:rPr>
          <w:rFonts w:ascii="Arial" w:cs="Arial" w:eastAsia="Arial" w:hAnsi="Arial"/>
          <w:color w:val="111827"/>
          <w:sz w:val="22"/>
          <w:szCs w:val="22"/>
        </w:rPr>
        <w:t xml:space="preserve">Team jurisdiction: evaluate legal structure (e.g., DAO LLC in Wyoming or foundation in Estonia)</w:t>
      </w:r>
    </w:p>
    <w:p>
      <w:pPr>
        <w:spacing w:after="80" w:before="80"/>
      </w:pPr>
      <w:r>
        <w:t xml:space="preserve"/>
      </w:r>
    </w:p>
    <w:p>
      <w:pPr>
        <w:pStyle w:val="Heading2"/>
        <w:spacing w:after="160" w:before="300"/>
      </w:pPr>
      <w:r>
        <w:rPr>
          <w:rFonts w:ascii="Arial" w:cs="Arial" w:eastAsia="Arial" w:hAnsi="Arial"/>
          <w:b/>
          <w:bCs/>
          <w:color w:val="1A56DB"/>
          <w:sz w:val="26"/>
          <w:szCs w:val="26"/>
        </w:rPr>
        <w:t xml:space="preserve">8.3 Technical Risks</w:t>
      </w:r>
    </w:p>
    <w:p>
      <w:pPr>
        <w:pStyle w:val="ListParagraph"/>
        <w:numPr>
          <w:ilvl w:val="0"/>
          <w:numId w:val="2"/>
        </w:numPr>
        <w:spacing w:after="60" w:before="60"/>
      </w:pPr>
      <w:r>
        <w:rPr>
          <w:rFonts w:ascii="Arial" w:cs="Arial" w:eastAsia="Arial" w:hAnsi="Arial"/>
          <w:color w:val="111827"/>
          <w:sz w:val="22"/>
          <w:szCs w:val="22"/>
        </w:rPr>
        <w:t xml:space="preserve">Smart contract exploit: mandatory certified external audit (CertiK, Hacken, Trail of Bits)</w:t>
      </w:r>
    </w:p>
    <w:p>
      <w:pPr>
        <w:pStyle w:val="ListParagraph"/>
        <w:numPr>
          <w:ilvl w:val="0"/>
          <w:numId w:val="2"/>
        </w:numPr>
        <w:spacing w:after="60" w:before="60"/>
      </w:pPr>
      <w:r>
        <w:rPr>
          <w:rFonts w:ascii="Arial" w:cs="Arial" w:eastAsia="Arial" w:hAnsi="Arial"/>
          <w:color w:val="111827"/>
          <w:sz w:val="22"/>
          <w:szCs w:val="22"/>
        </w:rPr>
        <w:t xml:space="preserve">Bridge vulnerabilities: use battle-tested bridges (Polygon native bridge, Stargate)</w:t>
      </w:r>
    </w:p>
    <w:p>
      <w:pPr>
        <w:pStyle w:val="ListParagraph"/>
        <w:numPr>
          <w:ilvl w:val="0"/>
          <w:numId w:val="2"/>
        </w:numPr>
        <w:spacing w:after="60" w:before="60"/>
      </w:pPr>
      <w:r>
        <w:rPr>
          <w:rFonts w:ascii="Arial" w:cs="Arial" w:eastAsia="Arial" w:hAnsi="Arial"/>
          <w:color w:val="111827"/>
          <w:sz w:val="22"/>
          <w:szCs w:val="22"/>
        </w:rPr>
        <w:t xml:space="preserve">Oracle manipulation: Chainlink TWAP with minimum 30-minute time window</w:t>
      </w:r>
    </w:p>
    <w:p>
      <w:pPr>
        <w:spacing w:after="80" w:before="80"/>
      </w:pPr>
      <w:r>
        <w:t xml:space="preserve"/>
      </w:r>
    </w:p>
    <w:p>
      <w:pPr>
        <w:pStyle w:val="Heading1"/>
        <w:spacing w:after="200" w:before="400"/>
      </w:pPr>
      <w:r>
        <w:rPr>
          <w:rFonts w:ascii="Arial" w:cs="Arial" w:eastAsia="Arial" w:hAnsi="Arial"/>
          <w:b/>
          <w:bCs/>
          <w:color w:val="111827"/>
          <w:sz w:val="32"/>
          <w:szCs w:val="32"/>
        </w:rPr>
        <w:t xml:space="preserve">9. Deployed Smart Contracts</w:t>
      </w:r>
    </w:p>
    <w:p>
      <w:pPr>
        <w:spacing w:after="80" w:before="80"/>
      </w:pPr>
      <w:r>
        <w:rPr>
          <w:rFonts w:ascii="Arial" w:cs="Arial" w:eastAsia="Arial" w:hAnsi="Arial"/>
          <w:color w:val="111827"/>
          <w:sz w:val="22"/>
          <w:szCs w:val="22"/>
        </w:rPr>
        <w:t xml:space="preserve">All contracts are deployed on Polygon Mainnet and verified on Polygonscan. Source code is publicly available.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6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NodeToken ($NODE)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0x34b81BFC698935fB60Ab623EA0545956b26bd99F</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StrikeToken ($STRIKE)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0x0bAA8A62795690009DF64AE70587189fE8aBE9A3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GameRewards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0xA1b3f83d9868787040c1c1B6E56393c7091CAb28</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StablecoinBridge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0xD561d4E4872C007c57C168e56C7e46Ae45e12daC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NodeStaking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0x2bf08aDd38988aB3F272d0701C3e677861CC968F</w:t>
            </w:r>
          </w:p>
        </w:tc>
      </w:tr>
    </w:tbl>
    <w:p>
      <w:pPr>
        <w:spacing w:after="80" w:before="80"/>
      </w:pPr>
      <w:r>
        <w:t xml:space="preserve"/>
      </w:r>
    </w:p>
    <w:p>
      <w:pPr>
        <w:pStyle w:val="Heading1"/>
        <w:spacing w:after="200" w:before="400"/>
      </w:pPr>
      <w:r>
        <w:rPr>
          <w:rFonts w:ascii="Arial" w:cs="Arial" w:eastAsia="Arial" w:hAnsi="Arial"/>
          <w:b/>
          <w:bCs/>
          <w:color w:val="111827"/>
          <w:sz w:val="32"/>
          <w:szCs w:val="32"/>
        </w:rPr>
        <w:t xml:space="preserve">10. Legal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single" w:color="DC2626" w:sz="4"/>
              <w:right w:val="single" w:color="DC2626" w:sz="4"/>
            </w:tcBorders>
            <w:shd w:fill="FEF2F2" w:val="clear"/>
            <w:tcMar>
              <w:top w:type="dxa" w:w="120"/>
              <w:left w:type="dxa" w:w="200"/>
              <w:bottom w:type="dxa" w:w="120"/>
              <w:right w:type="dxa" w:w="120"/>
            </w:tcMar>
          </w:tcPr>
          <w:p>
            <w:r>
              <w:rPr>
                <w:rFonts w:ascii="Arial" w:cs="Arial" w:eastAsia="Arial" w:hAnsi="Arial"/>
                <w:i/>
                <w:iCs/>
                <w:color w:val="111827"/>
                <w:sz w:val="22"/>
                <w:szCs w:val="22"/>
              </w:rPr>
              <w:t xml:space="preserve">CONFIDENTIAL DOCUMENT — DRAFT — THIS IS NOT AN INVESTMENT OFFER</w:t>
            </w:r>
          </w:p>
        </w:tc>
      </w:tr>
    </w:tbl>
    <w:p>
      <w:pPr>
        <w:spacing w:after="80" w:before="80"/>
      </w:pPr>
      <w:r>
        <w:t xml:space="preserve"/>
      </w:r>
    </w:p>
    <w:p>
      <w:pPr>
        <w:spacing w:after="80" w:before="80"/>
      </w:pPr>
      <w:r>
        <w:rPr>
          <w:rFonts w:ascii="Arial" w:cs="Arial" w:eastAsia="Arial" w:hAnsi="Arial"/>
          <w:color w:val="111827"/>
          <w:sz w:val="22"/>
          <w:szCs w:val="22"/>
        </w:rPr>
        <w:t xml:space="preserve">This document is a technical and tokenomic whitepaper for informational and internal planning purposes only. It does not in any way constitute an investment offer, a solicitation to purchase financial instruments, or a promise of economic return.</w:t>
      </w:r>
    </w:p>
    <w:p>
      <w:pPr>
        <w:spacing w:after="80" w:before="80"/>
      </w:pPr>
      <w:r>
        <w:t xml:space="preserve"/>
      </w:r>
    </w:p>
    <w:p>
      <w:pPr>
        <w:spacing w:after="80" w:before="80"/>
      </w:pPr>
      <w:r>
        <w:rPr>
          <w:rFonts w:ascii="Arial" w:cs="Arial" w:eastAsia="Arial" w:hAnsi="Arial"/>
          <w:color w:val="111827"/>
          <w:sz w:val="22"/>
          <w:szCs w:val="22"/>
        </w:rPr>
        <w:t xml:space="preserve">The $NODE and $STRIKE tokens are utility tokens designed for use within the NodeStrike ecosystem. Their value is determined by market supply and demand and is not guaranteed by any centralized entity or structure.</w:t>
      </w:r>
    </w:p>
    <w:p>
      <w:pPr>
        <w:spacing w:after="80" w:before="80"/>
      </w:pPr>
      <w:r>
        <w:t xml:space="preserve"/>
      </w:r>
    </w:p>
    <w:p>
      <w:pPr>
        <w:spacing w:after="80" w:before="80"/>
      </w:pPr>
      <w:r>
        <w:rPr>
          <w:rFonts w:ascii="Arial" w:cs="Arial" w:eastAsia="Arial" w:hAnsi="Arial"/>
          <w:color w:val="111827"/>
          <w:sz w:val="22"/>
          <w:szCs w:val="22"/>
        </w:rPr>
        <w:t xml:space="preserve">Prior to any commercial activity, public token distribution, or fundraising, it is mandatory to obtain specialized legal advice in financial markets law, crypto-asset regulation (MiCA), and anti-money laundering regulations applicable to the relevant jurisdiction.</w:t>
      </w:r>
    </w:p>
    <w:p>
      <w:pPr>
        <w:spacing w:after="80" w:before="80"/>
      </w:pPr>
      <w:r>
        <w:t xml:space="preserve"/>
      </w:r>
    </w:p>
    <w:p>
      <w:pPr>
        <w:spacing w:after="80" w:before="80"/>
      </w:pPr>
      <w:r>
        <w:rPr>
          <w:rFonts w:ascii="Arial" w:cs="Arial" w:eastAsia="Arial" w:hAnsi="Arial"/>
          <w:color w:val="111827"/>
          <w:sz w:val="22"/>
          <w:szCs w:val="22"/>
        </w:rPr>
        <w:t xml:space="preserve">NodeStrike reserves the right to modify any parameter described in this document based on changes in the regulatory framework, market conditions, and technical development.</w:t>
      </w:r>
    </w:p>
    <w:p>
      <w:pPr>
        <w:spacing w:after="80" w:before="80"/>
      </w:pPr>
      <w:r>
        <w:t xml:space="preserve"/>
      </w:r>
    </w:p>
    <w:p>
      <w:pPr>
        <w:spacing w:after="0" w:before="400"/>
        <w:jc w:val="center"/>
      </w:pPr>
      <w:r>
        <w:rPr>
          <w:rFonts w:ascii="Arial" w:cs="Arial" w:eastAsia="Arial" w:hAnsi="Arial"/>
          <w:i/>
          <w:iCs/>
          <w:color w:val="6B7280"/>
          <w:sz w:val="20"/>
          <w:szCs w:val="20"/>
        </w:rPr>
        <w:t xml:space="preserve">NodeStrike — Tokenomic Whitepaper v1.0 — 2026</w:t>
      </w:r>
    </w:p>
    <w:p>
      <w:pPr>
        <w:jc w:val="center"/>
      </w:pPr>
      <w:r>
        <w:rPr>
          <w:rFonts w:ascii="Arial" w:cs="Arial" w:eastAsia="Arial" w:hAnsi="Arial"/>
          <w:color w:val="6B7280"/>
          <w:sz w:val="18"/>
          <w:szCs w:val="18"/>
        </w:rPr>
        <w:t xml:space="preserve">nodestrike.io  |  Confidential —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2026-04-27T00:12:33.033Z</dcterms:created>
  <dcterms:modified xsi:type="dcterms:W3CDTF">2026-04-27T00:12:33.034Z</dcterms:modified>
</cp:coreProperties>
</file>

<file path=docProps/custom.xml><?xml version="1.0" encoding="utf-8"?>
<Properties xmlns="http://schemas.openxmlformats.org/officeDocument/2006/custom-properties" xmlns:vt="http://schemas.openxmlformats.org/officeDocument/2006/docPropsVTypes"/>
</file>