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rPr/>
      </w:pPr>
      <w:r/>
      <w:r/>
    </w:p>
    <w:p>
      <w:pPr>
        <w:pBdr/>
        <w:spacing w:after="80" w:before="200"/>
        <w:ind/>
        <w:jc w:val="center"/>
        <w:rPr/>
      </w:pPr>
      <w:r>
        <w:rPr>
          <w:rFonts w:ascii="Arial" w:hAnsi="Arial" w:eastAsia="Arial" w:cs="Arial"/>
          <w:b/>
          <w:bCs/>
          <w:color w:val="bfbfbf"/>
          <w:sz w:val="24"/>
          <w:szCs w:val="24"/>
        </w:rPr>
        <w:t xml:space="preserve">[ </w:t>
      </w:r>
      <w:r>
        <w:rPr>
          <w:rFonts w:ascii="Arial" w:hAnsi="Arial" w:eastAsia="Arial" w:cs="Arial"/>
          <w:b/>
          <w:bCs/>
          <w:color w:val="bfbfbf"/>
          <w:sz w:val="24"/>
          <w:szCs w:val="24"/>
        </w:rPr>
        <w:t xml:space="preserve">CNR - ISMAR - Istituto di Scienze Marine del CNR</w:t>
      </w:r>
      <w:r>
        <w:rPr>
          <w:rFonts w:ascii="Arial" w:hAnsi="Arial" w:eastAsia="Arial" w:cs="Arial"/>
          <w:b/>
          <w:bCs/>
          <w:color w:val="bfbfbf"/>
          <w:sz w:val="24"/>
          <w:szCs w:val="24"/>
        </w:rPr>
        <w:t xml:space="preserve"> ]</w:t>
      </w:r>
      <w:r/>
    </w:p>
    <w:p>
      <w:pPr>
        <w:pBdr/>
        <w:spacing w:after="60" w:before="6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Questionario di Verifica ISO 27001:2022</w:t>
      </w:r>
      <w:r/>
    </w:p>
    <w:p w14:paraId="29FD9B1B">
      <w:pPr>
        <w:pBdr/>
        <w:spacing w:after="200" w:before="40"/>
        <w:ind/>
        <w:jc w:val="center"/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pPr>
      <w:r>
        <w:t xml:space="preserve">Anno 2026 — v1.</w:t>
      </w:r>
      <w:r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  <w:lang w:val="it-IT"/>
        </w:rPr>
        <w:t xml:space="preserve">3</w:t>
      </w:r>
      <w:r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r>
      <w:r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r>
    </w:p>
    <w:tbl>
      <w:tblPr>
        <w:tblW w:w="90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6472"/>
      </w:tblGrid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59233DAE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Autori</w:t>
            </w:r>
            <w:r/>
          </w:p>
        </w:tc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 w14:paraId="77D7B925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Lorenzo Corona, Federico Bellati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78A22C42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Revisori</w:t>
            </w:r>
            <w:r/>
          </w:p>
        </w:tc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 w14:paraId="5646BFAF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ffffff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293E459C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Titolo</w:t>
            </w:r>
            <w:r/>
          </w:p>
        </w:tc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 w14:paraId="7B7A4F9E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Questionario di Verifica ISO 27001:2022</w:t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 w14:paraId="3E051B7A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Revisione</w:t>
            </w:r>
            <w:r/>
          </w:p>
        </w:tc>
        <w:tc>
          <w:tcPr>
            <w:shd w:val="clear" w:color="ffffff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 w14:paraId="4B3CDD6E">
            <w:pPr>
              <w:pBdr/>
              <w:spacing w:after="60" w:before="60"/>
              <w:ind/>
              <w:rPr/>
            </w:pPr>
            <w:r>
              <w:t xml:space="preserve">v1.</w:t>
            </w:r>
            <w:r>
              <w:rPr>
                <w:lang w:val="it-IT"/>
              </w:rPr>
              <w:t xml:space="preserve">3</w:t>
            </w:r>
            <w:r/>
          </w:p>
        </w:tc>
      </w:tr>
    </w:tbl>
    <w:p w14:paraId="12D0EBDC">
      <w:pPr>
        <w:pBdr/>
        <w:spacing w:after="80" w:before="280"/>
        <w:ind/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Come compilare il questionario</w:t>
      </w:r>
      <w:r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r>
    </w:p>
    <w:p w14:paraId="4EA0D117"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 ogni controllo, selezionare la casella corrispondente al livello di conformità riscontrato e annotare eventuali evidenze o note nello spazio dedicato.</w:t>
      </w:r>
      <w:r/>
    </w:p>
    <w:p w14:paraId="605E4278">
      <w:pPr>
        <w:pBdr/>
        <w:spacing w:after="40" w:before="40"/>
        <w:ind/>
        <w:rPr/>
      </w:pPr>
      <w:r/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Sì  </w:t>
      </w:r>
      <w:r>
        <w:rPr>
          <w:rFonts w:ascii="Arial" w:hAnsi="Arial" w:eastAsia="Arial" w:cs="Arial"/>
          <w:sz w:val="20"/>
          <w:szCs w:val="20"/>
        </w:rPr>
        <w:t xml:space="preserve">–  il controllo è pienamente implementato.</w:t>
      </w:r>
      <w:r/>
    </w:p>
    <w:p w14:paraId="6CF08C84">
      <w:pPr>
        <w:pBdr/>
        <w:spacing w:after="40" w:before="40"/>
        <w:ind/>
        <w:rPr/>
      </w:pPr>
      <w:r/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Parziale  </w:t>
      </w:r>
      <w:r>
        <w:rPr>
          <w:rFonts w:ascii="Arial" w:hAnsi="Arial" w:eastAsia="Arial" w:cs="Arial"/>
          <w:sz w:val="20"/>
          <w:szCs w:val="20"/>
        </w:rPr>
        <w:t xml:space="preserve">–  il controllo esiste ma presenta lacune o non è applicato in modo sistematico.</w:t>
      </w:r>
      <w:r/>
    </w:p>
    <w:p w14:paraId="11C5EB3A">
      <w:pPr>
        <w:pBdr/>
        <w:spacing w:after="40" w:before="40"/>
        <w:ind/>
        <w:rPr/>
      </w:pPr>
      <w:r/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No  </w:t>
      </w:r>
      <w:r>
        <w:rPr>
          <w:rFonts w:ascii="Arial" w:hAnsi="Arial" w:eastAsia="Arial" w:cs="Arial"/>
          <w:sz w:val="20"/>
          <w:szCs w:val="20"/>
        </w:rPr>
        <w:t xml:space="preserve">–  il controllo non è implementato.</w:t>
      </w:r>
      <w:r/>
    </w:p>
    <w:p w14:paraId="4F230764">
      <w:pPr>
        <w:pBdr/>
        <w:spacing w:after="40" w:before="40"/>
        <w:ind/>
        <w:rPr/>
      </w:pPr>
      <w:r/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N/A  </w:t>
      </w:r>
      <w:r>
        <w:rPr>
          <w:rFonts w:ascii="Arial" w:hAnsi="Arial" w:eastAsia="Arial" w:cs="Arial"/>
          <w:sz w:val="20"/>
          <w:szCs w:val="20"/>
        </w:rPr>
        <w:t xml:space="preserve">–  il controllo non è applicabile al contesto aziendale.</w:t>
      </w:r>
      <w:r/>
    </w:p>
    <w:p w14:paraId="4D9D7F9F">
      <w:pPr>
        <w:pBdr/>
        <w:spacing/>
        <w:ind/>
        <w:rPr>
          <w:b/>
          <w:bCs/>
          <w:color w:val="002060"/>
        </w:rPr>
      </w:pPr>
      <w:r>
        <w:rPr>
          <w:b/>
          <w:bCs/>
          <w:color w:val="002060"/>
          <w:highlight w:val="none"/>
        </w:rPr>
      </w:r>
      <w:r>
        <w:rPr>
          <w:b/>
          <w:bCs/>
          <w:color w:val="002060"/>
        </w:rPr>
      </w:r>
      <w:r>
        <w:rPr>
          <w:b/>
          <w:bCs/>
          <w:color w:val="002060"/>
        </w:rPr>
      </w:r>
    </w:p>
    <w:p w14:paraId="097780C0">
      <w:pPr>
        <w:pBdr/>
        <w:spacing/>
        <w:ind/>
        <w:rPr>
          <w:b/>
          <w:bCs/>
          <w:color w:val="002060"/>
          <w:highlight w:val="none"/>
        </w:rPr>
      </w:pPr>
      <w:r>
        <w:rPr>
          <w:b/>
          <w:bCs/>
          <w:color w:val="002060"/>
          <w:highlight w:val="none"/>
        </w:rPr>
      </w:r>
      <w:r>
        <w:rPr>
          <w:b/>
          <w:bCs/>
          <w:color w:val="002060"/>
          <w:highlight w:val="none"/>
        </w:rPr>
      </w:r>
      <w:r>
        <w:rPr>
          <w:b/>
          <w:bCs/>
          <w:color w:val="002060"/>
          <w:highlight w:val="none"/>
        </w:rPr>
      </w:r>
    </w:p>
    <w:p>
      <w:pPr>
        <w:pBdr/>
        <w:spacing/>
        <w:ind/>
        <w:rPr>
          <w:b/>
          <w:bCs/>
          <w:color w:val="002060"/>
          <w:highlight w:val="none"/>
        </w:rPr>
      </w:pPr>
      <w:r>
        <w:rPr>
          <w:b/>
          <w:bCs/>
          <w:color w:val="002060"/>
        </w:rPr>
      </w:r>
      <w:r>
        <w:rPr>
          <w:b/>
          <w:bCs/>
          <w:color w:val="002060"/>
        </w:rPr>
        <w:t xml:space="preserve">NOTA SULLA CONFORMITÀ ISO 27001</w:t>
      </w:r>
      <w:r>
        <w:rPr>
          <w:b/>
          <w:bCs/>
          <w:color w:val="002060"/>
          <w:highlight w:val="none"/>
        </w:rPr>
      </w:r>
      <w:r>
        <w:rPr>
          <w:b/>
          <w:bCs/>
          <w:color w:val="002060"/>
          <w:highlight w:val="none"/>
        </w:rPr>
      </w:r>
    </w:p>
    <w:p>
      <w:pPr>
        <w:pBdr/>
        <w:spacing/>
        <w:ind/>
        <w:rPr>
          <w:bCs/>
          <w:i/>
          <w:highlight w:val="none"/>
        </w:rPr>
      </w:pPr>
      <w:r>
        <w:rPr>
          <w:b/>
        </w:rPr>
        <w:t xml:space="preserve">Riferimento Norma: </w:t>
      </w:r>
      <w:r>
        <w:t xml:space="preserve">ISO/IEC 27001:2022</w:t>
        <w:br/>
      </w:r>
      <w:r>
        <w:rPr>
          <w:b/>
        </w:rPr>
        <w:t xml:space="preserve">Fonte: </w:t>
      </w:r>
      <w:r>
        <w:t xml:space="preserve">Annex A (Information security controls) - ISO/IEC 27001:2022</w:t>
        <w:br/>
      </w:r>
      <w:r>
        <w:rPr>
          <w:b/>
        </w:rPr>
        <w:t xml:space="preserve">Obbligo ai fini della conformità ISO 27001: </w:t>
      </w:r>
      <w:r>
        <w:rPr>
          <w:i/>
          <w:sz w:val="20"/>
          <w:szCs w:val="20"/>
          <w:highlight w:val="none"/>
        </w:rPr>
        <w:t xml:space="preserve">Si precisa che la norma ISO/IEC 27001:2022 (clausola 6.1.3 lett. d) non stabilisce controlli universalmente opzionali. Tutti i controlli dell'Annex A sono considerati requisiti da valutare. </w:t>
      </w:r>
      <w:r>
        <w:rPr>
          <w:i/>
          <w:sz w:val="20"/>
          <w:szCs w:val="20"/>
          <w:highlight w:val="none"/>
        </w:rPr>
        <w:t xml:space="preserve">Tuttavia, l'organizzazione ha la facoltà di escludere specifici controlli, a condizione che: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4FB0C8D3">
      <w:pPr>
        <w:pStyle w:val="91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i/>
          <w:sz w:val="20"/>
          <w:szCs w:val="20"/>
          <w:highlight w:val="none"/>
        </w:rPr>
        <w:t xml:space="preserve">Siano identificati in base a una formale analisi dei rischi.</w:t>
      </w:r>
      <w:r>
        <w:rPr>
          <w:i/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2ABA9CEC">
      <w:pPr>
        <w:pStyle w:val="91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i/>
          <w:sz w:val="20"/>
          <w:szCs w:val="20"/>
          <w:highlight w:val="none"/>
        </w:rPr>
        <w:t xml:space="preserve">Venga fornita una giustificazione formale e documentata del motivo per cui il controllo non è ritenuto applicabile al contesto aziendale.</w:t>
      </w:r>
      <w:r>
        <w:rPr>
          <w:i/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2C327592">
      <w:pPr>
        <w:pStyle w:val="91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i/>
          <w:sz w:val="20"/>
          <w:szCs w:val="20"/>
          <w:highlight w:val="none"/>
        </w:rPr>
        <w:t xml:space="preserve">Tale esclusione sia registrata ufficialmente all'interno della Dichiarazione di Applicabilità (SoA - Statement of Applicability).</w:t>
      </w:r>
      <w:r>
        <w:rPr>
          <w:i/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5A843E34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i/>
          <w:sz w:val="20"/>
          <w:szCs w:val="20"/>
          <w:highlight w:val="none"/>
        </w:rPr>
        <w:t xml:space="preserve">Pertanto, in assenza di un'esclusione formalmente motivata nel SoA, l'implementazione del controllo è da considerarsi obbligatoria ai fini della certificazione.</w:t>
      </w:r>
      <w:r>
        <w:rPr>
          <w:b/>
          <w:bCs/>
          <w:i/>
          <w:sz w:val="20"/>
          <w:szCs w:val="20"/>
          <w:highlight w:val="none"/>
        </w:rPr>
      </w:r>
      <w:r>
        <w:rPr>
          <w:b/>
          <w:bCs/>
          <w:sz w:val="20"/>
          <w:szCs w:val="20"/>
        </w:rPr>
      </w:r>
    </w:p>
    <w:p>
      <w:pPr>
        <w:pBdr/>
        <w:spacing/>
        <w:ind/>
        <w:rPr/>
      </w:pPr>
      <w:r/>
      <w:r/>
    </w:p>
    <w:p w14:paraId="5991D77F">
      <w:pPr>
        <w:pBdr/>
        <w:spacing/>
        <w:ind/>
        <w:rPr>
          <w:b/>
          <w:bCs/>
          <w:color w:val="002060"/>
          <w:sz w:val="24"/>
          <w:szCs w:val="24"/>
          <w:highlight w:val="none"/>
        </w:rPr>
      </w:pPr>
      <w:r>
        <w:rPr>
          <w:b/>
          <w:color w:val="002060"/>
          <w:sz w:val="24"/>
          <w:szCs w:val="24"/>
        </w:rPr>
        <w:t xml:space="preserve">Finalità</w:t>
      </w:r>
      <w:r>
        <w:rPr>
          <w:b/>
          <w:color w:val="002060"/>
          <w:sz w:val="24"/>
          <w:szCs w:val="24"/>
          <w:lang w:val="it-IT"/>
        </w:rPr>
        <w:t xml:space="preserve"> </w:t>
      </w:r>
      <w:r>
        <w:rPr>
          <w:b/>
          <w:color w:val="002060"/>
          <w:sz w:val="24"/>
          <w:szCs w:val="24"/>
        </w:rPr>
        <w:t xml:space="preserve">del Documento</w:t>
      </w:r>
      <w:r>
        <w:rPr>
          <w:b/>
          <w:bCs/>
          <w:color w:val="002060"/>
          <w:sz w:val="24"/>
          <w:szCs w:val="24"/>
          <w:highlight w:val="none"/>
        </w:rPr>
      </w:r>
      <w:r>
        <w:rPr>
          <w:b/>
          <w:bCs/>
          <w:color w:val="002060"/>
          <w:sz w:val="24"/>
          <w:szCs w:val="24"/>
          <w:highlight w:val="none"/>
        </w:rPr>
      </w:r>
    </w:p>
    <w:p w14:paraId="1AE905C5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Il presente documento è un quest</w:t>
      </w:r>
      <w:r>
        <w:rPr>
          <w:color w:val="000000" w:themeColor="text1"/>
          <w:sz w:val="20"/>
          <w:szCs w:val="20"/>
        </w:rPr>
        <w:t xml:space="preserve">ionario di autovalutazione strutturato sui controlli dell'Annex A della norma ISO/IEC 27001:2022. 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642C634E">
      <w:pPr>
        <w:pBdr/>
        <w:spacing/>
        <w:ind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</w:rPr>
        <w:t xml:space="preserve">Il suo scopo è fornire uno strumento pratico e sistematico per verificare lo stato di implementazione delle misure di sicurezza delle informazioni all'interno</w:t>
      </w:r>
      <w:r>
        <w:rPr>
          <w:color w:val="000000" w:themeColor="text1"/>
          <w:sz w:val="20"/>
          <w:szCs w:val="20"/>
        </w:rPr>
        <w:t xml:space="preserve"> dell'organizzazione.
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26587F2C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5D7E3C47">
      <w:pPr>
        <w:pBdr/>
        <w:spacing/>
        <w:ind/>
        <w:rPr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 xml:space="preserve">Destinatario principale</w:t>
      </w:r>
      <w:r>
        <w:rPr>
          <w:color w:val="002060"/>
          <w:sz w:val="24"/>
          <w:szCs w:val="24"/>
        </w:rPr>
      </w:r>
      <w:r>
        <w:rPr>
          <w:color w:val="002060"/>
          <w:sz w:val="24"/>
          <w:szCs w:val="24"/>
          <w:highlight w:val="none"/>
          <w:lang w:val="it-IT"/>
        </w:rPr>
      </w:r>
    </w:p>
    <w:p w14:paraId="60FB6F7B">
      <w:pPr>
        <w:pBdr/>
        <w:spacing/>
        <w:ind/>
        <w:rPr>
          <w:color w:val="000000" w:themeColor="text1"/>
          <w:sz w:val="20"/>
          <w:szCs w:val="20"/>
          <w:highlight w:val="none"/>
          <w:lang w:val="it-IT"/>
        </w:rPr>
      </w:pPr>
      <w:r>
        <w:rPr>
          <w:color w:val="000000" w:themeColor="text1"/>
          <w:sz w:val="20"/>
          <w:szCs w:val="20"/>
          <w:lang w:val="it-IT"/>
        </w:rPr>
        <w:t xml:space="preserve">I</w:t>
      </w:r>
      <w:r>
        <w:rPr>
          <w:color w:val="000000" w:themeColor="text1"/>
          <w:sz w:val="20"/>
          <w:szCs w:val="20"/>
        </w:rPr>
        <w:t xml:space="preserve">l Referente Informatico (o figura equivalente designata dalla direzione), che ha il compito di compilarlo coinvolgendo, ove necessario, i responsabili delle singole aree operative.</w:t>
      </w:r>
      <w:r>
        <w:rPr>
          <w:color w:val="000000" w:themeColor="text1"/>
          <w:sz w:val="20"/>
          <w:szCs w:val="20"/>
          <w:lang w:val="it-IT"/>
        </w:rPr>
        <w:t xml:space="preserve"> </w:t>
      </w:r>
      <w:r>
        <w:rPr>
          <w:color w:val="000000" w:themeColor="text1"/>
          <w:sz w:val="20"/>
          <w:szCs w:val="20"/>
          <w:highlight w:val="none"/>
          <w:lang w:val="it-IT"/>
        </w:rPr>
      </w:r>
      <w:r/>
    </w:p>
    <w:p w14:paraId="2E43D42E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59596654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lang w:val="it-IT"/>
        </w:rPr>
      </w:r>
      <w:r>
        <w:rPr>
          <w:color w:val="000000" w:themeColor="text1"/>
          <w:sz w:val="20"/>
          <w:szCs w:val="20"/>
        </w:rPr>
        <w:t xml:space="preserve">Il questionario non ha va</w:t>
      </w:r>
      <w:r>
        <w:rPr>
          <w:color w:val="000000" w:themeColor="text1"/>
          <w:sz w:val="20"/>
          <w:szCs w:val="20"/>
        </w:rPr>
        <w:t xml:space="preserve">lore certificativo, ma costituisce un'analisi interna preliminare utile a:
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4116356C">
      <w:pPr>
        <w:pStyle w:val="911"/>
        <w:numPr>
          <w:ilvl w:val="0"/>
          <w:numId w:val="2"/>
        </w:numPr>
        <w:pBdr/>
        <w:spacing/>
        <w:ind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</w:rPr>
        <w:t xml:space="preserve">individuare i controlli già conformi e quelli che presentano lacune;
</w:t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28C29161">
      <w:pPr>
        <w:pStyle w:val="911"/>
        <w:numPr>
          <w:ilvl w:val="0"/>
          <w:numId w:val="2"/>
        </w:num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definire le priorità di intervento per un eventuale percorso di certificazione;
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47DE8B5C">
      <w:pPr>
        <w:pStyle w:val="911"/>
        <w:numPr>
          <w:ilvl w:val="0"/>
          <w:numId w:val="2"/>
        </w:num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produrre ev</w:t>
      </w:r>
      <w:r>
        <w:rPr>
          <w:color w:val="000000" w:themeColor="text1"/>
          <w:sz w:val="20"/>
          <w:szCs w:val="20"/>
        </w:rPr>
        <w:t xml:space="preserve">idenza documentale dello stato di sicurezza da presentare alla direzione.
</w:t>
      </w:r>
      <w:r>
        <w:rPr>
          <w:color w:val="000000" w:themeColor="text1"/>
          <w:sz w:val="20"/>
          <w:szCs w:val="20"/>
        </w:rPr>
      </w:r>
    </w:p>
    <w:p w14:paraId="0C0BE795">
      <w:pPr>
        <w:pBdr/>
        <w:spacing/>
        <w:ind w:firstLine="0"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A.5 – Controlli Organizzativi</w:t>
      </w:r>
      <w:r>
        <w:rPr>
          <w:color w:val="000000" w:themeColor="text1"/>
          <w:sz w:val="20"/>
          <w:szCs w:val="20"/>
        </w:rPr>
      </w:r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A.5.1 – Policy di sicurezza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poli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cy di sicurezza delle inf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ormazioni formale, aggiornata e comunicata a tutti i dipendenti?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La norma richiede che la policy non esista solo su carta, ma sia formalmente approvata dalla direzione, pubblicata e comunicata in modo chiaro a tutto il personale e alle terze parti rilevanti.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A.5.2 – Ruoli e responsabilità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it-IT"/>
              </w:rPr>
              <w:t xml:space="preserve">È stato formalmente individuato un responsabile della sicurezza informatica e i relativi ruoli e responsabilità sono documentati e approvati?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it-IT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 w14:paraId="4562702B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</w:t>
            </w: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  <w:lang w:val="it-IT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 w14:paraId="5699A912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 w14:paraId="3BB89F50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  <w:lang w:val="it-IT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Non è obbligatoria una figura specifica (come il CISO), ma è tassativo che ogni responsabilità legata alla sicurezza (es. gestione accessi, backup) sia esplicitamente assegnata e documentata.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A.5.7 – Threat Intelligence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L'azienda si mantiene aggiornata sulle nuove minacce informatiche emergenti (Threat Intelligence)?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>
          <w:trHeight w:val="614"/>
        </w:trPr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>
                <w:color w:val="7f7f7f" w:themeColor="text1" w:themeTint="80"/>
              </w:rPr>
            </w:pPr>
            <w:r>
              <w:rPr>
                <w:b/>
                <w:color w:val="404040" w:themeColor="text1" w:themeTint="BF"/>
                <w:sz w:val="18"/>
                <w:szCs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7f7f7f" w:themeColor="text1" w:themeTint="80"/>
                <w:sz w:val="18"/>
                <w:szCs w:val="20"/>
              </w:rPr>
              <w:t xml:space="preserve">:</w:t>
            </w:r>
            <w:r>
              <w:rPr>
                <w:b/>
                <w:color w:val="7f7f7f" w:themeColor="text1" w:themeTint="80"/>
                <w:sz w:val="20"/>
              </w:rPr>
              <w:t xml:space="preserve"> </w:t>
            </w:r>
            <w:r>
              <w:rPr>
                <w:i/>
                <w:color w:val="7f7f7f" w:themeColor="text1" w:themeTint="80"/>
                <w:sz w:val="18"/>
              </w:rPr>
              <w:t xml:space="preserve">L'azienda deve raccogliere e analizzare in modo proattivo informazioni sulle minacce (es. iscrivendosi a feed CERT o bollettini di sicurezza) per prevenire attacchi.</w:t>
            </w:r>
            <w:r>
              <w:rPr>
                <w:color w:val="7f7f7f" w:themeColor="text1" w:themeTint="80"/>
              </w:rPr>
            </w:r>
            <w:r>
              <w:rPr>
                <w:color w:val="7f7f7f" w:themeColor="text1" w:themeTint="80"/>
              </w:rPr>
            </w:r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A.5.8 – Sicurezza nei progetti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sicurezza è integrata fin dall'avvio di ogni progetto aziendale (Security by Design)?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☒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I requisiti di sicurezza e i relativi rischi devono essere analizzati e definiti *prima* di avviare lo sviluppo o l'acquisto di un nuovo sistema, secondo il principio del Security by Design.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A.5.15 – Controllo accessi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Esistono regole formali per l'utilizzo sicuro di PC, server e dispositivi aziendali?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☒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Applicare sempre il principio del 'minimo privilegio' (Need-to-Know). L'accesso a reti e applicazioni deve essere formalmente richiesto, approvato e regolarmente revisionato.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A.5.16 – Identity management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processo strutturato per la creazione, modifica e disattivazione degli account utente?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Ogni utente deve avere un ID univoco (assolutamente vietati gli account condivisi per la tracciabilità). È vitale avere un processo tempestivo per disabilitare gli account di chi lascia l'azienda.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A.5.18 – Credenziali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Le password rispettano una policy aziendale (lunghezza minima, complessità, scadenza</w:t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..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Evitare password banali. Stabilire e forzare regole tecniche aziendali per lunghezza minima, complessità e uso del gestore password (consigliata fortemente l'MFA).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A.5.19 – Supply chain security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rischi legati ai fornitori sono valutati? I contratti includono clausole di sicurezza?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I fornitori che accedono ai dati aziendali o forniscono servizi cloud devono essere valutati preventivamente sui rischi e vincolati da rigide clausole di sicurezza contrattuali.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A.5.23 – Gestione incidenti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procedura formalizzata per la gestione degli incidenti di sicurezza informatica?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Occorre avere una procedura chiara e testata: sapere esattamente chi contattare, come contenere il danno e come ripristinare i servizi in caso di violazione (es. attacco ransomware).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A.5.30 – Business continuity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piano di continuità operativa per i sistemi critici? Viene testato periodicamente?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I requisiti di sicurezza dell'informazione devono essere mantenuti anche durante una situazione di disastro (es. indisponibilità della sede). Testare il piano di continuità periodicamente.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A.5.31 – Compliance legale e normativa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Sono stati mappati i requisiti legali, normativi e contrattuali legati alla sicurezza (es. GDPR)?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Mappare e documentare tutti gli obblighi di legge applicabili (es. GDPR, D.Lgs. 231/01, direttiva NIS2) ed effettuare verifiche regolari per assicurarsi di rispettarli.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9"/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A.6 – Controlli sulle Persone</w:t>
      </w:r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A.6.1 – Screening pre-impiego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Vengono effettuate verifiche sui candidati (referenze, background check) prima dell'assunzione?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b/>
                <w:color w:val="555555"/>
                <w:sz w:val="20"/>
              </w:rPr>
              <w:t xml:space="preserve">: </w:t>
            </w:r>
            <w:r>
              <w:rPr>
                <w:i/>
                <w:color w:val="555555"/>
                <w:sz w:val="18"/>
              </w:rPr>
              <w:t xml:space="preserve">Effettuare verifiche sul background e sulle referenze dei candidati (nei limiti consentiti dalla legge, es. Statuto dei Lavoratori) per i ruoli che gestiranno informazioni critiche, *prima* dell'assunzione.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A.6.2 – Onboarding e NDA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dipendenti firmano accordi di riservatezza (NDA) e ricevono formazione sulla sicurezza all'ingresso?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Obbligare dipendenti e collaboratori esterni a firmare un accordo formale di riservatezza (NDA) prima di concedere loro l'accesso ai sistemi informativi aziendali.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A.6.3 – Formazione e awareness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Viene svolta formazione periodica sulla sicurezza informatica? Esiste un registro delle presenze?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Non basta una circolare una tantum: serve un programma formativo continuo per sensibilizzare il personale su minacce attuali come il phishing e sulle procedure di sicurezza interne.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A.6.5 – Offboarding sicuro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Al termine del rapporto di lavoro viene seguita una checklist per revocare accessi e ritirare dispositivi?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Al termine del rapporto di lavoro, le autorizzazioni di accesso (es. email, VPN) devono essere revocate *tempestivamente* e gli asset aziendali (PC, chiavi, badge) riconsegnati.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A.6.8 – Segnalazione eventi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dipendenti conoscono il canale dedicato per segnalare comportamenti sospetti o vulnerabilità?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Implementare un canale noto a tutti i dipendenti per segnalare in modo tempestivo comportamenti sospetti o anomalie informatiche, garantendo assenza di ritorsioni.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A.6.10 – Disciplina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Esistono misure disciplinari formali in caso di violazione delle regole di sicurezza?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Prevedere nel regolamento aziendale chiare sanzioni disciplinari per i dipendenti che violano gravemente o intenzionalmente le policy di sicurezza informatica.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 w14:paraId="5E353448"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 w14:paraId="7CB43157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2972B717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5F4C1515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0A34CBF8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0970DA1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8A76D45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04B3DAA1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C70C2CE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551EBEB4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029622E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1875AF09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3762D60E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5BEA31E9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10D758F8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D49534C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2FEC51A4"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A.7 – Controlli Fisici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A.7.1 – Perimetri fisici sicuri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sala server è delimitata fisicamente con zone ad accesso controllato?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Definire zone di sicurezza (es. sala server, archivi HR) delimitate da barriere fisiche (pareti solide e porte chiuse a chiave), non accessibili a visitatori senza scorta.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A.7.2 – Controllo accessi fisici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L'accesso fisico alla sala server è limitato al personale autorizzato e registrato con ora e nome?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L'accesso alle aree sensibili deve essere protetto (es. tramite badge o chiavi elettroniche) e monitorato. Tutti i visitatori esterni devono essere identificati e registrati.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A.7.3 – Protezioni ambientali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sala server dispone di sistemi anti-incendio, controllo temperatura, UPS </w:t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generatore? Vengono testati?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Adottare misure di protezione contro rischi naturali o accidentali (es. rilevatori di fumo, sensori antiallagamento, estintori adeguati per la sala server).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A.7.4 – Sorveglianza fisica (CCTV)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Sono presenti telecamere (CCTV) nelle aree sensibili? Per quanto tempo vengono conservate le registrazioni?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Utilizzare sistemi (es. telecamere CCTV o allarmi antintrusione) per sorvegliare varchi e aree critiche, conservando i log nel rispetto delle normative vigenti sulla privacy.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A.7.6 – Protezione hardware fisico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Rack e server sono protetti fisicamente (serrature, cavi antifurto, gabbie)?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  <w:t xml:space="preserve">Focus Normativo: </w:t>
            </w:r>
            <w:r>
              <w:rPr>
                <w:i/>
                <w:color w:val="555555"/>
                <w:sz w:val="18"/>
              </w:rPr>
              <w:t xml:space="preserve">Server, switch e PC portatili devono essere protetti da furto fisico (es. armadi di rete rack chiusi a chiave, cavi di sicurezza Kensington lock per i laptop).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A.7.9 – Dismissione sicura dei media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procedura di distruzione certificata per hard disk e supporti contenenti dati sensibili?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Prima di smaltire o riassegnare hardware (PC, dischi, pendrive), i dati devono essere cancellati in modo irreversibile (wiping certificato) o il supporto distrutto fisicamente.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A.7.11 – Continuità elettrica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sistemi di continuità elettrica (UPS e/o gruppi elettrogeni) sono sottoposti a test e manutenzione periodici documentati?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La sala server e gli apparati critici per il business devono essere protetti da sbalzi o interruzioni di corrente (es. tramite UPS monitorati e regolarmente testati).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A.7.12 – Cablaggio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cavi di rete e di alimentazione sono protetti, identificati e posizionati in modo ordinato?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>
          <w:trHeight w:val="426"/>
        </w:trPr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I cavi di rete e di alimentazione elettrica devono essere protetti da intercettazioni o danni accidentali (es. inserendoli in canaline chiuse o controsoffitti sicuri).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 w14:paraId="4274999A"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A.8 – Controlli Tecnologici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A.8.2 – Asset inventory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inventario aggiornato di tutti gli asset IT (server, PC, software, licenze</w:t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..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Mantenere un inventario aggiornato di tutti gli asset (hardware, software, dati di business), identificando per ciascuno chi ne è il 'proprietario' (owner) responsabile.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A.8.3 – Controllo accessi ai dati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L'accesso ai dati sensibili è limitato al minimo necessario (principio del minimo privilegio)?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Implementare restrizioni tecniche rigorose (es. permessi NTFS, ACL) affinché gli utenti possano accedere *esclusivamente* ai dati strettamente necessari per il loro ruolo.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A.8.5 – Accessi privilegiati e MFA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Gli account amministrativi (root, admin) sono monitorati e protetti con autenticazione a più fattori (MFA)?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L'uso di account di amministrazione deve essere limitato al minimo indispensabile, mai usato per la normale navigazione web, e protetto tassativamente da Autenticazione a più fattori (MFA).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A.8.8 – Patch management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processo definito per l'applicazione delle patch di sicurezza entro una finestra temporale massima?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Le vulnerabilità tecniche devono essere risolte tempestivamente applicando gli aggiornamenti software (patch), dando priorità assoluta alle patch di sicurezza critiche.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A.8.12 – Audit log e DLP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Sono attivi log di audit sui sistemi critici che tracciano chi accede a quali dati sensibili?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I sistemi devono generare log per tracciare chi ha effettuato accessi e operazioni critiche. I log devono essere protetti da manomissioni e revisionati in caso di incidenti.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A.8.13 – Backup e restore test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Vengono effettuati backup regolari? Il ripristino è stato testato per verificarne l'efficacia?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b/>
                <w:color w:val="555555"/>
                <w:u w:val="single"/>
              </w:rPr>
              <w:t xml:space="preserve">Note / Evidenze: </w:t>
            </w:r>
            <w:r>
              <w:rPr>
                <w:color w:val="bfbfbf"/>
              </w:rPr>
              <w:t xml:space="preserve">_______________________________________________</w:t>
              <w:br/>
            </w:r>
            <w:r>
              <w:rPr>
                <w:color w:val="bfbfbf"/>
              </w:rPr>
              <w:t xml:space="preserve"> _______________________________________________</w:t>
              <w:br/>
            </w:r>
            <w:r>
              <w:rPr>
                <w:color w:val="bfbfbf"/>
              </w:rPr>
              <w:t xml:space="preserve"> 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Eseguire backup regolari (regola 3-2-1). Soprattutto, è mandatorio eseguire *test periodici di ripristino* per verificare che i dati siano realmente recuperabili in caso di guasto o ransomware.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A.8.16 – Monitoraggio e anomalie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sistema di monitoraggio continuo della rete in grado di rilevare comportamenti anomali o attacchi?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Impiegare strumenti tecnici (es. EDR, antivirus centralizzato, IDS/IPS) e monitorare i log per rilevare tempestivamente e automaticamente comportamenti anomali sulla rete aziendale.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A.8.20 – Segmentazione di rete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rete è segmentata in zone distinte (es. LAN utenti, server, DMZ) per limitare la propagazione degli attacchi?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Suddividere la rete aziendale in segmenti logici (es. VLAN Wi-Fi ospiti isolata, DMZ, rete server) tramite firewall per limitare il movimento laterale di un eventuale malware.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A.8.21 – Servizi di rete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Le configurazioni di rete sono documentate e aggiornate?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Ridurre la superficie di attacco disabilitando o bloccando l'accesso a servizi, porte e protocolli di rete che non sono strettamente necessari al funzionamento del business.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A.8.24 – Crittografia e key management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Esistono procedure per la gestione del ciclo di vita di chiavi crittografiche e certificati SSL/TLS?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  <w:t xml:space="preserve">Focus Normativo: </w:t>
            </w:r>
            <w:r>
              <w:rPr>
                <w:i/>
                <w:color w:val="555555"/>
                <w:sz w:val="18"/>
              </w:rPr>
              <w:t xml:space="preserve">Proteggere i dati sensibili tramite crittografia sia quando archiviati (es. BitLocker sui portatili) sia quando trasmessi in rete (es. VPN, protocolli TLS sicuri).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0"/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A.8.29 – Test sicurezza pre-produzione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Prima di rilasciare un nuovo sistema o software in produzione vengono eseguiti test di sicurezza (es. penetration test, code review)?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W w:w="9072" w:type="dxa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</w:t>
            </w:r>
            <w:r>
              <w:rPr>
                <w:b/>
                <w:color w:val="555555"/>
                <w:sz w:val="20"/>
                <w:lang w:val="it-IT"/>
              </w:rPr>
              <w:t xml:space="preserve"> </w:t>
            </w:r>
            <w:r>
              <w:rPr>
                <w:b/>
                <w:color w:val="555555"/>
                <w:sz w:val="20"/>
              </w:rPr>
              <w:t xml:space="preserve">Normativo: </w:t>
            </w:r>
            <w:r>
              <w:rPr>
                <w:i/>
                <w:color w:val="555555"/>
                <w:sz w:val="18"/>
              </w:rPr>
              <w:t xml:space="preserve">Effettuare verifiche tecniche approfondite (es. vulnerability assessment o penetration test) prima di mettere in produzione nuovi sistemi o portali web esposti su internet.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 w14:paraId="5EC608C8"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>
      <w:pPr>
        <w:pBdr/>
        <w:spacing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Riepilogo Valutazione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 xml:space="preserve">Compilare la tabella di riepilogo al termine dell'audit, conteggiando le risposte per ciascuna categoria.</w:t>
      </w:r>
      <w:r/>
    </w:p>
    <w:p>
      <w:pPr>
        <w:pBdr/>
        <w:spacing w:after="60" w:before="60"/>
        <w:ind/>
        <w:rPr/>
      </w:pPr>
      <w:r/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536"/>
        <w:gridCol w:w="1536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Categoria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Sì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No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Parziale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N/A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A.5 – Controlli Organizzativi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A.6 – Controlli sulle Persone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A.7 – Controlli Fisici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A.8 – Controlli Tecnologici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2e75b6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TOTALE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36" w:type="dxa"/>
            <w:vAlign w:val="top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240"/>
        <w:ind/>
        <w:rPr/>
      </w:pPr>
      <w:r/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0"/>
                <w:szCs w:val="20"/>
              </w:rPr>
              <w:t xml:space="preserve">Valutazione complessiva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72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Data: </w:t>
            </w:r>
            <w:r>
              <w:rPr>
                <w:rFonts w:ascii="Arial" w:hAnsi="Arial" w:eastAsia="Arial" w:cs="Arial"/>
                <w:color w:val="bfbfbf"/>
                <w:sz w:val="20"/>
                <w:szCs w:val="20"/>
              </w:rPr>
              <w:t xml:space="preserve">____________</w:t>
            </w:r>
            <w:r/>
          </w:p>
          <w:p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Versione documento: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1.</w:t>
            </w:r>
            <w:r>
              <w:rPr>
                <w:color w:val="000000" w:themeColor="text1"/>
                <w:lang w:val="it-IT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2DDA32DE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1"/>
      </w:pBdr>
      <w:spacing w:after="0" w:before="80"/>
      <w:ind/>
      <w:jc w:val="center"/>
      <w:rPr/>
    </w:pPr>
    <w:r>
      <w:rPr>
        <w:rFonts w:ascii="Arial" w:hAnsi="Arial" w:eastAsia="Arial" w:cs="Arial"/>
        <w:color w:val="555555"/>
        <w:sz w:val="18"/>
        <w:szCs w:val="18"/>
      </w:rPr>
      <w:t xml:space="preserve">Pagina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di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Arial" w:cs="Arial"/>
        <w:color w:val="bfbfbf"/>
        <w:sz w:val="18"/>
        <w:szCs w:val="18"/>
      </w:rPr>
      <w:t xml:space="preserve">   |   ISO 27001:2022   |   Uso riservato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 w:after="100" w:before="0"/>
      <w:ind/>
      <w:jc w:val="right"/>
      <w:rPr/>
    </w:pPr>
    <w:r>
      <w:rPr>
        <w:rFonts w:ascii="Arial" w:hAnsi="Arial" w:eastAsia="Arial" w:cs="Arial"/>
        <w:i/>
        <w:iCs/>
        <w:color w:val="555555"/>
        <w:sz w:val="18"/>
        <w:szCs w:val="18"/>
      </w:rPr>
      <w:t xml:space="preserve">Questionario di Verifica ISO 27001:2022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4C33D4E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4D5E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7"/>
    <w:basedOn w:val="858"/>
    <w:next w:val="858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858"/>
    <w:next w:val="858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858"/>
    <w:next w:val="858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>
    <w:name w:val="Heading 1 Char"/>
    <w:basedOn w:val="862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862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862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862"/>
    <w:link w:val="9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862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862"/>
    <w:link w:val="9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862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858"/>
    <w:next w:val="858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858"/>
    <w:next w:val="858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858"/>
    <w:next w:val="858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858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858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92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94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95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96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97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98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99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900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901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905">
    <w:name w:val="Title"/>
    <w:qFormat/>
    <w:pPr>
      <w:pBdr/>
      <w:spacing/>
      <w:ind/>
    </w:pPr>
    <w:rPr>
      <w:sz w:val="56"/>
      <w:szCs w:val="56"/>
    </w:rPr>
  </w:style>
  <w:style w:type="paragraph" w:styleId="90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7">
    <w:name w:val="Heading 4"/>
    <w:qFormat/>
    <w:pPr>
      <w:pBdr/>
      <w:spacing/>
      <w:ind/>
    </w:pPr>
    <w:rPr>
      <w:i/>
      <w:iCs/>
      <w:color w:val="2e74b5"/>
    </w:rPr>
  </w:style>
  <w:style w:type="paragraph" w:styleId="908">
    <w:name w:val="Heading 5"/>
    <w:qFormat/>
    <w:pPr>
      <w:pBdr/>
      <w:spacing/>
      <w:ind/>
    </w:pPr>
    <w:rPr>
      <w:color w:val="2e74b5"/>
    </w:rPr>
  </w:style>
  <w:style w:type="paragraph" w:styleId="909">
    <w:name w:val="Heading 6"/>
    <w:qFormat/>
    <w:pPr>
      <w:pBdr/>
      <w:spacing/>
      <w:ind/>
    </w:pPr>
    <w:rPr>
      <w:color w:val="1f4d78"/>
    </w:rPr>
  </w:style>
  <w:style w:type="paragraph" w:styleId="910">
    <w:name w:val="Strong"/>
    <w:qFormat/>
    <w:pPr>
      <w:pBdr/>
      <w:spacing/>
      <w:ind/>
    </w:pPr>
    <w:rPr>
      <w:b/>
      <w:bCs/>
    </w:rPr>
  </w:style>
  <w:style w:type="paragraph" w:styleId="911">
    <w:name w:val="List Paragraph"/>
    <w:qFormat/>
    <w:pPr>
      <w:pBdr/>
      <w:spacing/>
      <w:ind/>
    </w:pPr>
  </w:style>
  <w:style w:type="character" w:styleId="91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footnote text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link w:val="91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9">
    <w:name w:val="Heading 1"/>
    <w:qFormat/>
    <w:pPr>
      <w:pBdr/>
      <w:spacing w:after="120" w:before="240"/>
      <w:ind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920">
    <w:name w:val="Heading 2"/>
    <w:qFormat/>
    <w:pPr>
      <w:pBdr/>
      <w:spacing w:after="80" w:before="18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14</cp:revision>
  <dcterms:created xsi:type="dcterms:W3CDTF">2026-06-17T07:26:43Z</dcterms:created>
  <dcterms:modified xsi:type="dcterms:W3CDTF">2026-06-24T14:30:15Z</dcterms:modified>
</cp:coreProperties>
</file>