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20" w:before="0"/>
        <w:ind/>
        <w:rPr/>
      </w:pPr>
      <w:r/>
      <w:r/>
    </w:p>
    <w:p>
      <w:pPr>
        <w:pBdr/>
        <w:spacing w:after="80" w:before="200"/>
        <w:ind/>
        <w:jc w:val="center"/>
        <w:rPr/>
      </w:pPr>
      <w:r>
        <w:rPr>
          <w:rFonts w:ascii="Arial" w:hAnsi="Arial" w:eastAsia="Arial" w:cs="Arial"/>
          <w:b/>
          <w:bCs/>
          <w:color w:val="bfbfbf"/>
          <w:sz w:val="24"/>
          <w:szCs w:val="24"/>
        </w:rPr>
        <w:t xml:space="preserve">[ CNR - ISMAR - Istituto di Scienze Marine del CNR ]</w:t>
      </w:r>
      <w:r/>
    </w:p>
    <w:p>
      <w:pPr>
        <w:pBdr/>
        <w:spacing w:after="60" w:before="60"/>
        <w:ind/>
        <w:jc w:val="center"/>
        <w:rPr/>
      </w:pPr>
      <w:r>
        <w:rPr>
          <w:rFonts w:ascii="Arial" w:hAnsi="Arial" w:eastAsia="Arial" w:cs="Arial"/>
          <w:b/>
          <w:bCs/>
          <w:color w:val="1f3864"/>
          <w:sz w:val="36"/>
          <w:szCs w:val="36"/>
        </w:rPr>
        <w:t xml:space="preserve">Questionario di Verifica NIS2</w:t>
      </w:r>
      <w:r/>
    </w:p>
    <w:p>
      <w:pPr>
        <w:pBdr/>
        <w:spacing w:after="200" w:before="40"/>
        <w:ind/>
        <w:jc w:val="center"/>
        <w:rPr/>
      </w:pPr>
      <w:r>
        <w:t xml:space="preserve">Anno 2026 — v</w:t>
      </w:r>
      <w:r>
        <w:rPr>
          <w:lang w:val="it-IT"/>
        </w:rPr>
        <w:t xml:space="preserve">1.3</w:t>
      </w:r>
      <w:r/>
    </w:p>
    <w:tbl>
      <w:tblPr>
        <w:tblW w:w="90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6472"/>
      </w:tblGrid>
      <w:tr>
        <w:trPr/>
        <w:tc>
          <w:tcPr>
            <w:shd w:val="clear" w:color="auto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 w:after="60" w:before="60"/>
              <w:ind w:firstLine="0" w:left="0"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it-IT"/>
              </w:rPr>
              <w:t xml:space="preserve">Autori</w:t>
            </w:r>
            <w:r/>
          </w:p>
        </w:tc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472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it-IT"/>
              </w:rPr>
              <w:t xml:space="preserve">Revisori</w:t>
            </w:r>
            <w:r/>
          </w:p>
        </w:tc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472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it-IT"/>
              </w:rPr>
              <w:t xml:space="preserve">Titolo</w:t>
            </w:r>
            <w:r/>
          </w:p>
        </w:tc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472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it-IT"/>
              </w:rPr>
              <w:t xml:space="preserve">Revisione</w:t>
            </w:r>
            <w:r/>
          </w:p>
        </w:tc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472" w:type="dxa"/>
          </w:tcPr>
          <w:p>
            <w:pPr>
              <w:pBdr/>
              <w:spacing w:after="60" w:before="60"/>
              <w:ind/>
              <w:rPr/>
            </w:pPr>
            <w:r>
              <w:t xml:space="preserve">v</w:t>
            </w:r>
            <w:r>
              <w:rPr>
                <w:lang w:val="it-IT"/>
              </w:rPr>
              <w:t xml:space="preserve">1.3</w:t>
            </w:r>
            <w:r/>
          </w:p>
        </w:tc>
      </w:tr>
    </w:tbl>
    <w:p w14:paraId="606D748E">
      <w:pPr>
        <w:pBdr/>
        <w:spacing w:after="120" w:before="120"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47C70ED8">
      <w:pPr>
        <w:pBdr/>
        <w:spacing w:after="120" w:before="120"/>
        <w:ind/>
        <w:rPr>
          <w:highlight w:val="none"/>
        </w:rPr>
      </w:pPr>
      <w:r>
        <w:rPr>
          <w:rFonts w:ascii="Arial" w:hAnsi="Arial"/>
          <w:b/>
          <w:i w:val="0"/>
          <w:color w:val="444444"/>
          <w:sz w:val="20"/>
        </w:rPr>
        <w:t xml:space="preserve">Riferimento Ufficiale: </w:t>
      </w:r>
      <w:hyperlink r:id="rId11" w:tooltip="https://eur-lex.europa.eu/legal-content/IT/TXT/?uri=CELEX%3A32022L2555" w:history="1">
        <w:r>
          <w:rPr>
            <w:rFonts w:ascii="Arial" w:hAnsi="Arial"/>
            <w:color w:val="0563c1"/>
            <w:sz w:val="20"/>
            <w:szCs w:val="20"/>
            <w:u w:val="single"/>
          </w:rPr>
          <w:t xml:space="preserve">Direttiva (UE) 2022/2555 del Parlamento Europeo e del Consiglio (NIS2)</w:t>
        </w:r>
      </w:hyperlink>
      <w:r>
        <w:rPr>
          <w:highlight w:val="none"/>
        </w:rPr>
      </w:r>
      <w:r>
        <w:rPr>
          <w:highlight w:val="none"/>
        </w:rPr>
      </w:r>
    </w:p>
    <w:p w14:paraId="6EDDC65E">
      <w:pPr>
        <w:pBdr/>
        <w:spacing w:after="120" w:before="200"/>
        <w:ind/>
        <w:rPr>
          <w:rFonts w:ascii="Arial" w:hAnsi="Arial" w:eastAsia="Arial" w:cs="Arial"/>
          <w:b/>
          <w:bCs/>
          <w:color w:val="1f3864"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2"/>
          <w:szCs w:val="22"/>
          <w:highlight w:val="none"/>
        </w:rPr>
        <w:t xml:space="preserve">NOTA SULLA CONFORMITÀ</w:t>
      </w:r>
      <w:r>
        <w:rPr>
          <w:rFonts w:ascii="Arial" w:hAnsi="Arial" w:eastAsia="Arial" w:cs="Arial"/>
          <w:b/>
          <w:bCs/>
          <w:color w:val="1f3864"/>
          <w:sz w:val="22"/>
          <w:szCs w:val="22"/>
          <w:highlight w:val="none"/>
          <w:lang w:val="it-IT"/>
        </w:rPr>
        <w:t xml:space="preserve"> ALLA DIRETTIVA NIS2</w:t>
      </w:r>
      <w:r>
        <w:rPr>
          <w:rFonts w:ascii="Arial" w:hAnsi="Arial" w:eastAsia="Arial" w:cs="Arial"/>
          <w:b/>
          <w:bCs/>
          <w:color w:val="1f3864"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2"/>
          <w:szCs w:val="22"/>
          <w:highlight w:val="none"/>
        </w:rPr>
      </w:r>
    </w:p>
    <w:p w14:paraId="30E46AB9">
      <w:pPr>
        <w:pBdr/>
        <w:spacing w:after="120" w:before="200"/>
        <w:ind/>
        <w:rPr>
          <w:b w:val="0"/>
          <w:bCs w:val="0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b/>
          <w:bCs/>
          <w:color w:val="000000" w:themeColor="text1"/>
          <w:sz w:val="20"/>
          <w:szCs w:val="20"/>
          <w:highlight w:val="none"/>
          <w:lang w:val="it-IT"/>
        </w:rPr>
        <w:t xml:space="preserve">C</w:t>
      </w:r>
      <w:r>
        <w:rPr>
          <w:rFonts w:ascii="Arial" w:hAnsi="Arial" w:eastAsia="Arial" w:cs="Arial"/>
          <w:b/>
          <w:bCs/>
          <w:color w:val="000000" w:themeColor="text1"/>
          <w:sz w:val="20"/>
          <w:szCs w:val="20"/>
          <w:highlight w:val="none"/>
        </w:rPr>
        <w:t xml:space="preserve">ontesto e Riferimento Normativo</w:t>
      </w:r>
      <w:r>
        <w:rPr>
          <w:rFonts w:ascii="Arial" w:hAnsi="Arial" w:eastAsia="Arial" w:cs="Arial"/>
          <w:b/>
          <w:bCs/>
          <w:color w:val="000000" w:themeColor="text1"/>
          <w:sz w:val="20"/>
          <w:szCs w:val="20"/>
          <w:highlight w:val="none"/>
          <w:lang w:val="it-IT"/>
        </w:rPr>
        <w:t xml:space="preserve">: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  <w:t xml:space="preserve"> La Direttiva (UE) 2022/2555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  <w:lang w:val="it-IT"/>
        </w:rPr>
        <w:t xml:space="preserve"> (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  <w:t xml:space="preserve">NIS2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  <w:lang w:val="it-IT"/>
        </w:rPr>
        <w:t xml:space="preserve">)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  <w:t xml:space="preserve">, rappresenta il quadro legislativo europeo fondamentale per garantire un livello elevato comune di c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  <w:lang w:val="it-IT"/>
        </w:rPr>
        <w:t xml:space="preserve">y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  <w:t xml:space="preserve">bersicurezza in tutta l'Unione. A differenza degli standard tecnici o delle cert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  <w:t xml:space="preserve">ficazioni volontarie (come la ISO 27001), la NIS2 è una legge statale vincolante per le organizzazioni classificate come "Soggetti Essenziali" e "Soggetti Importanti". L'inosservanza di tali disposizioni non comporta il semplice mancato rilascio di un cert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  <w:t xml:space="preserve">ificato, ma espone l'entità a severe sanzioni amministrative e legali.</w:t>
      </w:r>
      <w:r>
        <w:rPr>
          <w:b w:val="0"/>
          <w:bCs w:val="0"/>
          <w:color w:val="000000" w:themeColor="text1"/>
          <w:sz w:val="20"/>
          <w:szCs w:val="20"/>
        </w:rPr>
      </w:r>
      <w:r>
        <w:rPr>
          <w:b w:val="0"/>
          <w:bCs w:val="0"/>
          <w:color w:val="000000" w:themeColor="text1"/>
          <w:sz w:val="20"/>
          <w:szCs w:val="20"/>
        </w:rPr>
      </w:r>
    </w:p>
    <w:p w14:paraId="6BBEBEE2">
      <w:pPr>
        <w:pBdr/>
        <w:spacing w:after="120" w:before="200"/>
        <w:ind/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20"/>
          <w:szCs w:val="20"/>
          <w:highlight w:val="none"/>
        </w:rPr>
        <w:t xml:space="preserve">Obblighi e Principi Fondamentali (Artt. 20 e 21)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  <w:lang w:val="it-IT"/>
        </w:rPr>
        <w:t xml:space="preserve">: 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  <w:t xml:space="preserve">La conformità alla NIS2 si fonda su un approccio obbligatorio basato sulla valutazione del rischio (approccio "multirischio"). L'Articolo 21 definisce un set di misure tecnico-organizzative minime che devono 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  <w:t xml:space="preserve">essere obbligatoriamente implementate (tra cui: gestione degli incidenti, continuità operativa, crittografia, sicurezza della supply chain e formazione). 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  <w:lang w:val="it-IT"/>
        </w:rPr>
        <w:t xml:space="preserve">L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  <w:t xml:space="preserve">a Direttiva introduce il principio di </w:t>
      </w:r>
      <w:r>
        <w:rPr>
          <w:rFonts w:ascii="Arial" w:hAnsi="Arial" w:eastAsia="Arial" w:cs="Arial"/>
          <w:b/>
          <w:bCs/>
          <w:color w:val="0070c0"/>
          <w:sz w:val="20"/>
          <w:szCs w:val="20"/>
          <w:highlight w:val="none"/>
        </w:rPr>
        <w:t xml:space="preserve">proporzionalità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  <w:t xml:space="preserve">: l'organizzazione ha la libertà di dec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  <w:t xml:space="preserve">dere come e con quale profondità tecnologica implementare tali misure, ma queste decisioni devono essere sempre commisurate all'entità del rischio, alle dimensioni aziendali e al potenziale impatto socio-economico di un incidente.</w:t>
      </w:r>
      <w:r>
        <w:rPr>
          <w:b w:val="0"/>
          <w:bCs w:val="0"/>
          <w:color w:val="000000" w:themeColor="text1"/>
          <w:sz w:val="20"/>
          <w:szCs w:val="20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  <w:t xml:space="preserve"> La totale esclusione di u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  <w:t xml:space="preserve">na misura prevista dall'Articolo 21 è ammissibile solo se giustificata da un'analisi documentata che ne attesti la non rilevanza o l'impossibilità tecnica, compensata da altre misure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  <w:lang w:val="it-IT"/>
        </w:rPr>
        <w:t xml:space="preserve"> di pari efficacia. </w:t>
      </w:r>
      <w:r>
        <w:rPr>
          <w:b w:val="0"/>
          <w:bCs w:val="0"/>
          <w:color w:val="000000" w:themeColor="text1"/>
          <w:sz w:val="20"/>
          <w:szCs w:val="20"/>
        </w:rPr>
      </w:r>
      <w:r/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</w:r>
    </w:p>
    <w:p w14:paraId="57FE8C71">
      <w:pPr>
        <w:pBdr/>
        <w:spacing w:after="120" w:before="200"/>
        <w:ind/>
        <w:rPr>
          <w:b w:val="0"/>
          <w:bCs w:val="0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  <w:lang w:val="it-IT"/>
        </w:rPr>
        <w:t xml:space="preserve">L’ 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  <w:t xml:space="preserve">Articolo 20 introduce un cambiamento radicale nella Governance: la responsabilità della c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  <w:lang w:val="it-IT"/>
        </w:rPr>
        <w:t xml:space="preserve">y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  <w:t xml:space="preserve">bersicurezza non è più delegabile esclusivamente al dipartimento IT. Gli organi di gestione (Direzione, Consiglio di Amministrazione) sono tenuti per legge 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  <w:t xml:space="preserve">ad approvare le misure di sicurezza, a supervisionarne l'attuazione e sono chiamati a risponderne personalmente in caso di inadempienza accertata o negligenza.</w:t>
      </w:r>
      <w:r>
        <w:rPr>
          <w:b w:val="0"/>
          <w:bCs w:val="0"/>
          <w:color w:val="000000" w:themeColor="text1"/>
          <w:sz w:val="20"/>
          <w:szCs w:val="20"/>
        </w:rPr>
      </w:r>
      <w:r>
        <w:rPr>
          <w:b w:val="0"/>
          <w:bCs w:val="0"/>
          <w:color w:val="000000" w:themeColor="text1"/>
          <w:sz w:val="20"/>
          <w:szCs w:val="20"/>
        </w:rPr>
      </w:r>
    </w:p>
    <w:p w14:paraId="1A3A73D9">
      <w:pPr>
        <w:pBdr/>
        <w:spacing w:after="120" w:before="200"/>
        <w:ind/>
        <w:rPr>
          <w:rFonts w:ascii="Arial" w:hAnsi="Arial" w:eastAsia="Arial" w:cs="Arial"/>
          <w:b/>
          <w:bCs/>
          <w:color w:val="002060"/>
          <w:sz w:val="20"/>
          <w:szCs w:val="20"/>
          <w:highlight w:val="none"/>
        </w:rPr>
      </w:pPr>
      <w:r>
        <w:rPr>
          <w:rFonts w:ascii="Arial" w:hAnsi="Arial" w:eastAsia="Arial" w:cs="Arial"/>
          <w:b/>
          <w:bCs/>
          <w:color w:val="002060"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color w:val="002060"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color w:val="002060"/>
          <w:sz w:val="20"/>
          <w:szCs w:val="20"/>
          <w:highlight w:val="none"/>
        </w:rPr>
      </w:r>
    </w:p>
    <w:p w14:paraId="195614A0">
      <w:pPr>
        <w:pBdr/>
        <w:spacing w:after="120" w:before="200"/>
        <w:ind/>
        <w:rPr>
          <w:rFonts w:ascii="Arial" w:hAnsi="Arial" w:eastAsia="Arial" w:cs="Arial"/>
          <w:b/>
          <w:bCs/>
          <w:color w:val="002060"/>
          <w:sz w:val="20"/>
          <w:szCs w:val="20"/>
          <w:highlight w:val="none"/>
        </w:rPr>
      </w:pPr>
      <w:r>
        <w:rPr>
          <w:rFonts w:ascii="Arial" w:hAnsi="Arial" w:eastAsia="Arial" w:cs="Arial"/>
          <w:b/>
          <w:bCs/>
          <w:color w:val="002060"/>
          <w:sz w:val="20"/>
          <w:szCs w:val="20"/>
          <w:highlight w:val="none"/>
        </w:rPr>
        <w:t xml:space="preserve">FINALITÀ E UTILIZZO DEL PRESENTE DOCUMENTO</w:t>
      </w:r>
      <w:r>
        <w:rPr>
          <w:rFonts w:ascii="Arial" w:hAnsi="Arial" w:eastAsia="Arial" w:cs="Arial"/>
          <w:b/>
          <w:bCs/>
          <w:color w:val="002060"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color w:val="002060"/>
          <w:sz w:val="20"/>
          <w:szCs w:val="20"/>
          <w:highlight w:val="none"/>
        </w:rPr>
      </w:r>
    </w:p>
    <w:p w14:paraId="613E1FCD">
      <w:pPr>
        <w:pBdr/>
        <w:spacing w:after="120" w:before="200"/>
        <w:ind/>
        <w:rPr>
          <w:b w:val="0"/>
          <w:bCs w:val="0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  <w:t xml:space="preserve">Il presente documento è uno strumento operativo e sistematico di Gap Analysis strutturato appositamente sui requisiti e sui domini di controllo imposti dalla Direttiva NIS2. Il suo obiettivo primario non è certificativo, bensì diagnos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  <w:t xml:space="preserve">tico e organizzativo. 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  <w:lang w:val="it-IT"/>
        </w:rPr>
        <w:t xml:space="preserve">In particolare s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  <w:t xml:space="preserve">erve a:</w:t>
      </w:r>
      <w:r>
        <w:rPr>
          <w:b w:val="0"/>
          <w:bCs w:val="0"/>
          <w:color w:val="000000" w:themeColor="text1"/>
          <w:sz w:val="20"/>
          <w:szCs w:val="20"/>
        </w:rPr>
      </w:r>
      <w:r>
        <w:rPr>
          <w:b w:val="0"/>
          <w:bCs w:val="0"/>
          <w:color w:val="000000" w:themeColor="text1"/>
          <w:sz w:val="20"/>
          <w:szCs w:val="20"/>
        </w:rPr>
      </w:r>
    </w:p>
    <w:p w14:paraId="0C68F526">
      <w:pPr>
        <w:pStyle w:val="913"/>
        <w:numPr>
          <w:ilvl w:val="0"/>
          <w:numId w:val="2"/>
        </w:numPr>
        <w:pBdr/>
        <w:spacing w:after="120" w:before="200"/>
        <w:ind/>
        <w:rPr>
          <w:b w:val="0"/>
          <w:bCs w:val="0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  <w:t xml:space="preserve">Verificare puntualmente quali presidi tecnici, processi e procedure interne soddisfano già i requisiti della direttiva e quali invece presentano lacune (vulnerabilità normative).</w:t>
      </w:r>
      <w:r>
        <w:rPr>
          <w:b w:val="0"/>
          <w:bCs w:val="0"/>
          <w:color w:val="000000" w:themeColor="text1"/>
          <w:sz w:val="20"/>
          <w:szCs w:val="20"/>
        </w:rPr>
      </w:r>
      <w:r>
        <w:rPr>
          <w:b w:val="0"/>
          <w:bCs w:val="0"/>
          <w:color w:val="000000" w:themeColor="text1"/>
          <w:sz w:val="20"/>
          <w:szCs w:val="20"/>
        </w:rPr>
      </w:r>
    </w:p>
    <w:p w14:paraId="22E817A1">
      <w:pPr>
        <w:pStyle w:val="913"/>
        <w:numPr>
          <w:ilvl w:val="0"/>
          <w:numId w:val="2"/>
        </w:numPr>
        <w:pBdr/>
        <w:spacing w:after="120" w:before="200"/>
        <w:ind/>
        <w:rPr>
          <w:b w:val="0"/>
          <w:bCs w:val="0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  <w:t xml:space="preserve">Supportare la pianificazione (Remediation Plan): Fornire una base oggettiva per definire le priorità di intervento, consentendo all'Organo di Gestione di allocare budget e risorse in modo mirato ed efficiente.</w:t>
      </w:r>
      <w:r>
        <w:rPr>
          <w:b w:val="0"/>
          <w:bCs w:val="0"/>
          <w:color w:val="000000" w:themeColor="text1"/>
          <w:sz w:val="20"/>
          <w:szCs w:val="20"/>
        </w:rPr>
      </w:r>
      <w:r>
        <w:rPr>
          <w:b w:val="0"/>
          <w:bCs w:val="0"/>
          <w:color w:val="000000" w:themeColor="text1"/>
          <w:sz w:val="20"/>
          <w:szCs w:val="20"/>
        </w:rPr>
      </w:r>
    </w:p>
    <w:p w14:paraId="237D7A1B">
      <w:pPr>
        <w:pStyle w:val="913"/>
        <w:numPr>
          <w:ilvl w:val="0"/>
          <w:numId w:val="2"/>
        </w:numPr>
        <w:pBdr/>
        <w:spacing w:after="120" w:before="200"/>
        <w:ind/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  <w:t xml:space="preserve">G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  <w:t xml:space="preserve">arantire l'Accountability (Due Diligence): Produrre un archivio documentale formale delle verifiche effettuate e delle scelte tecnologiche intraprese. Questa evidenza è cruciale sia per l'approvazione formale da parte della Direzione, sia per dimostrare la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  <w:t xml:space="preserve"> conformità (o i piani di rientro) in caso di ispezione da parte dell'Autorità Competente (es. Agenzia per la Cybersicurezza Nazionale - ACN).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</w:r>
    </w:p>
    <w:p w14:paraId="00133BC8">
      <w:pPr>
        <w:pBdr/>
        <w:spacing w:after="120" w:before="200"/>
        <w:ind w:firstLine="0" w:left="0"/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20"/>
          <w:szCs w:val="20"/>
          <w:highlight w:val="none"/>
        </w:rPr>
        <w:t xml:space="preserve">Destinatari e Modalità di Compilazione</w:t>
      </w:r>
      <w:r>
        <w:rPr>
          <w:rFonts w:ascii="Arial" w:hAnsi="Arial" w:eastAsia="Arial" w:cs="Arial"/>
          <w:b/>
          <w:bCs/>
          <w:color w:val="000000" w:themeColor="text1"/>
          <w:sz w:val="20"/>
          <w:szCs w:val="20"/>
          <w:highlight w:val="none"/>
          <w:lang w:val="it-IT"/>
        </w:rPr>
        <w:t xml:space="preserve">: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  <w:t xml:space="preserve"> Il destinatario principale e responsabile della compilazione è il Referente IT (o il Responsabile della Sicurezza / CISO), il quale dovrà operare in stretta sinergia con i responsabili di funzione, i referenti operativ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  <w:t xml:space="preserve">i (OT, se applicabile), l'ufficio acquisti (per la gestione della supply chain) e l'ufficio legale.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</w:r>
    </w:p>
    <w:p w14:paraId="7D5C4D3A">
      <w:pPr>
        <w:pBdr/>
        <w:spacing w:after="120" w:before="200"/>
        <w:ind/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  <w:t xml:space="preserve">Si richiede di compilare il questionario con la massima accuratezza e oggettività. È fondamentale non limitarsi a valutazioni generiche, ma descrivere brevemente nel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  <w:lang w:val="it-IT"/>
        </w:rPr>
        <w:t xml:space="preserve">le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  <w:t xml:space="preserve"> "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  <w:lang w:val="it-IT"/>
        </w:rPr>
        <w:t xml:space="preserve">Note/Evidenze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  <w:t xml:space="preserve"> lo stato effettivo di implementazione e, laddove possibile, fare diretto 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  <w:t xml:space="preserve">riferimento (o allegare) le evidenze documentali pertinenti (es. policy interne, procedure di disaster recovery, report di audit, contratti con fornitori).</w:t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0"/>
          <w:szCs w:val="20"/>
          <w:highlight w:val="none"/>
        </w:rPr>
      </w:r>
    </w:p>
    <w:p w14:paraId="1D8C9CB7">
      <w:pPr>
        <w:pBdr/>
        <w:spacing w:after="80" w:before="280"/>
        <w:ind/>
        <w:rPr>
          <w:rFonts w:ascii="Arial" w:hAnsi="Arial" w:eastAsia="Arial" w:cs="Arial"/>
          <w:b/>
          <w:bCs/>
          <w:color w:val="1f3864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24"/>
          <w:szCs w:val="24"/>
          <w:lang w:val="it-IT"/>
        </w:rPr>
        <w:t xml:space="preserve">C</w:t>
      </w:r>
      <w:r>
        <w:rPr>
          <w:rFonts w:ascii="Arial" w:hAnsi="Arial" w:eastAsia="Arial" w:cs="Arial"/>
          <w:b/>
          <w:bCs/>
          <w:color w:val="1f3864"/>
          <w:sz w:val="24"/>
          <w:szCs w:val="24"/>
        </w:rPr>
        <w:t xml:space="preserve">ome compilare il questionario</w:t>
      </w:r>
      <w:r>
        <w:rPr>
          <w:rFonts w:ascii="Arial" w:hAnsi="Arial" w:eastAsia="Arial" w:cs="Arial"/>
          <w:b/>
          <w:bCs/>
          <w:color w:val="1f3864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4"/>
          <w:szCs w:val="24"/>
          <w:highlight w:val="none"/>
        </w:rPr>
      </w:r>
    </w:p>
    <w:p w14:paraId="1CCCB5D2">
      <w:pPr>
        <w:pBdr/>
        <w:spacing w:after="60" w:before="60"/>
        <w:ind/>
        <w:rPr/>
      </w:pPr>
      <w:r>
        <w:rPr>
          <w:rFonts w:ascii="Arial" w:hAnsi="Arial" w:eastAsia="Arial" w:cs="Arial"/>
          <w:sz w:val="20"/>
          <w:szCs w:val="20"/>
        </w:rPr>
        <w:t xml:space="preserve">Per ogni controllo, selezionare la casella corrispondente al livello di conformità riscontrato e annotare eventuali evidenze o note nello spazio dedicato.</w:t>
      </w:r>
      <w:r/>
    </w:p>
    <w:p w14:paraId="5BAD6FB5">
      <w:pPr>
        <w:pBdr/>
        <w:spacing w:after="40" w:before="40"/>
        <w:ind/>
        <w:rPr/>
      </w:pPr>
      <w:r/>
      <w:sdt>
        <w:sdtPr>
          <w:alias w:val=""/>
          <w:tag w:val=""/>
          <w15:appearance w15:val="boundingBox"/>
          <w:lock w:val="unlocked"/>
          <w14:checkbox>
            <w14:checked w14:val="0"/>
            <w14:checkedState w14:val="2612" w14:font="MS Gothic"/>
            <w14:uncheckedState w14:val="2610" w14:font="MS Gothic"/>
          </w14:checkbox>
          <w:rPr/>
        </w:sdtPr>
        <w:sdtContent>
          <w:r>
            <w:rPr>
              <w:rFonts w:ascii="MS Gothic" w:hAnsi="MS Gothic" w:eastAsia="MS Gothic" w:cs="MS Gothic"/>
            </w:rPr>
            <w:t xml:space="preserve">☐</w:t>
          </w:r>
        </w:sdtContent>
      </w:sdt>
      <w:r>
        <w:rPr>
          <w:rFonts w:ascii="Arial" w:hAnsi="Arial" w:eastAsia="Arial" w:cs="Arial"/>
          <w:b/>
          <w:bCs/>
          <w:sz w:val="20"/>
          <w:szCs w:val="20"/>
        </w:rPr>
        <w:t xml:space="preserve"> Sì  </w:t>
      </w:r>
      <w:r>
        <w:rPr>
          <w:rFonts w:ascii="Arial" w:hAnsi="Arial" w:eastAsia="Arial" w:cs="Arial"/>
          <w:sz w:val="20"/>
          <w:szCs w:val="20"/>
        </w:rPr>
        <w:t xml:space="preserve">–  il controllo è pienamente implementato.</w:t>
      </w:r>
      <w:r/>
    </w:p>
    <w:p w14:paraId="54D6FB27">
      <w:pPr>
        <w:pBdr/>
        <w:spacing w:after="40" w:before="40"/>
        <w:ind/>
        <w:rPr/>
      </w:pPr>
      <w:r/>
      <w:sdt>
        <w:sdtPr>
          <w:alias w:val=""/>
          <w:tag w:val=""/>
          <w15:appearance w15:val="boundingBox"/>
          <w:lock w:val="unlocked"/>
          <w14:checkbox>
            <w14:checked w14:val="0"/>
            <w14:checkedState w14:val="2612" w14:font="MS Gothic"/>
            <w14:uncheckedState w14:val="2610" w14:font="MS Gothic"/>
          </w14:checkbox>
          <w:rPr/>
        </w:sdtPr>
        <w:sdtContent>
          <w:r>
            <w:rPr>
              <w:rFonts w:ascii="MS Gothic" w:hAnsi="MS Gothic" w:eastAsia="MS Gothic" w:cs="MS Gothic"/>
            </w:rPr>
            <w:t xml:space="preserve">☐</w:t>
          </w:r>
        </w:sdtContent>
      </w:sdt>
      <w:r>
        <w:rPr>
          <w:rFonts w:ascii="Arial" w:hAnsi="Arial" w:eastAsia="Arial" w:cs="Arial"/>
          <w:b/>
          <w:bCs/>
          <w:sz w:val="20"/>
          <w:szCs w:val="20"/>
        </w:rPr>
        <w:t xml:space="preserve"> Parziale  </w:t>
      </w:r>
      <w:r>
        <w:rPr>
          <w:rFonts w:ascii="Arial" w:hAnsi="Arial" w:eastAsia="Arial" w:cs="Arial"/>
          <w:sz w:val="20"/>
          <w:szCs w:val="20"/>
        </w:rPr>
        <w:t xml:space="preserve">–  il controllo esiste ma presenta lacune o non è applicato in modo sistematico.</w:t>
      </w:r>
      <w:r/>
    </w:p>
    <w:p w14:paraId="31B0867D">
      <w:pPr>
        <w:pBdr/>
        <w:spacing w:after="40" w:before="40"/>
        <w:ind/>
        <w:rPr/>
      </w:pPr>
      <w:r/>
      <w:sdt>
        <w:sdtPr>
          <w:alias w:val=""/>
          <w:tag w:val=""/>
          <w15:appearance w15:val="boundingBox"/>
          <w:lock w:val="unlocked"/>
          <w14:checkbox>
            <w14:checked w14:val="0"/>
            <w14:checkedState w14:val="2612" w14:font="MS Gothic"/>
            <w14:uncheckedState w14:val="2610" w14:font="MS Gothic"/>
          </w14:checkbox>
          <w:rPr/>
        </w:sdtPr>
        <w:sdtContent>
          <w:r>
            <w:rPr>
              <w:rFonts w:ascii="MS Gothic" w:hAnsi="MS Gothic" w:eastAsia="MS Gothic" w:cs="MS Gothic"/>
            </w:rPr>
            <w:t xml:space="preserve">☐</w:t>
          </w:r>
        </w:sdtContent>
      </w:sdt>
      <w:r>
        <w:rPr>
          <w:rFonts w:ascii="Arial" w:hAnsi="Arial" w:eastAsia="Arial" w:cs="Arial"/>
          <w:b/>
          <w:bCs/>
          <w:sz w:val="20"/>
          <w:szCs w:val="20"/>
        </w:rPr>
        <w:t xml:space="preserve"> No  </w:t>
      </w:r>
      <w:r>
        <w:rPr>
          <w:rFonts w:ascii="Arial" w:hAnsi="Arial" w:eastAsia="Arial" w:cs="Arial"/>
          <w:sz w:val="20"/>
          <w:szCs w:val="20"/>
        </w:rPr>
        <w:t xml:space="preserve">–  il controllo non è implementato.</w:t>
      </w:r>
      <w:r/>
    </w:p>
    <w:p w14:paraId="16A1B1E7">
      <w:pPr>
        <w:pBdr/>
        <w:spacing w:after="40" w:before="40"/>
        <w:ind/>
        <w:rPr/>
      </w:pPr>
      <w:r/>
      <w:sdt>
        <w:sdtPr>
          <w:alias w:val=""/>
          <w:tag w:val=""/>
          <w15:appearance w15:val="boundingBox"/>
          <w:lock w:val="unlocked"/>
          <w14:checkbox>
            <w14:checked w14:val="0"/>
            <w14:checkedState w14:val="2612" w14:font="MS Gothic"/>
            <w14:uncheckedState w14:val="2610" w14:font="MS Gothic"/>
          </w14:checkbox>
          <w:rPr/>
        </w:sdtPr>
        <w:sdtContent>
          <w:r>
            <w:rPr>
              <w:rFonts w:ascii="MS Gothic" w:hAnsi="MS Gothic" w:eastAsia="MS Gothic" w:cs="MS Gothic"/>
            </w:rPr>
            <w:t xml:space="preserve">☐</w:t>
          </w:r>
        </w:sdtContent>
      </w:sdt>
      <w:r>
        <w:rPr>
          <w:rFonts w:ascii="Arial" w:hAnsi="Arial" w:eastAsia="Arial" w:cs="Arial"/>
          <w:b/>
          <w:bCs/>
          <w:sz w:val="20"/>
          <w:szCs w:val="20"/>
        </w:rPr>
        <w:t xml:space="preserve"> N/A  </w:t>
      </w:r>
      <w:r>
        <w:rPr>
          <w:rFonts w:ascii="Arial" w:hAnsi="Arial" w:eastAsia="Arial" w:cs="Arial"/>
          <w:sz w:val="20"/>
          <w:szCs w:val="20"/>
        </w:rPr>
        <w:t xml:space="preserve">–  il controllo non è applicabile al contesto aziendale.</w:t>
      </w:r>
      <w:r/>
    </w:p>
    <w:p w14:paraId="5806D73A">
      <w:pPr>
        <w:pBdr/>
        <w:spacing w:after="120" w:before="200"/>
        <w:ind/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</w:p>
    <w:p w14:paraId="19462AF2">
      <w:pPr>
        <w:pBdr/>
        <w:spacing w:after="120" w:before="200"/>
        <w:ind/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</w:p>
    <w:p w14:paraId="26C4BECF">
      <w:pPr>
        <w:pBdr/>
        <w:spacing w:after="120" w:before="200"/>
        <w:ind/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</w:p>
    <w:p w14:paraId="17CEF050">
      <w:pPr>
        <w:pBdr/>
        <w:spacing w:after="120" w:before="200"/>
        <w:ind/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</w:p>
    <w:p w14:paraId="54F5DFCB">
      <w:pPr>
        <w:pBdr/>
        <w:spacing w:after="120" w:before="200"/>
        <w:ind/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</w:p>
    <w:p w14:paraId="61430344">
      <w:pPr>
        <w:pBdr/>
        <w:spacing w:after="120" w:before="200"/>
        <w:ind/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</w:p>
    <w:p w14:paraId="71B73188">
      <w:pPr>
        <w:pBdr/>
        <w:spacing w:after="120" w:before="200"/>
        <w:ind/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</w:p>
    <w:p w14:paraId="50C30480">
      <w:pPr>
        <w:pBdr/>
        <w:spacing w:after="120" w:before="200"/>
        <w:ind/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</w:p>
    <w:p w14:paraId="099956AE">
      <w:pPr>
        <w:pBdr/>
        <w:spacing w:after="120" w:before="200"/>
        <w:ind/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</w:p>
    <w:p w14:paraId="09FE59BC">
      <w:pPr>
        <w:pBdr/>
        <w:spacing w:after="120" w:before="200"/>
        <w:ind/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</w:p>
    <w:p w14:paraId="7E645AA5">
      <w:pPr>
        <w:pBdr/>
        <w:spacing w:after="120" w:before="200"/>
        <w:ind/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</w:p>
    <w:p w14:paraId="7597BC17">
      <w:pPr>
        <w:pBdr/>
        <w:spacing w:after="120" w:before="200"/>
        <w:ind/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</w:p>
    <w:p w14:paraId="05E2591C">
      <w:pPr>
        <w:pBdr/>
        <w:spacing w:after="120" w:before="200"/>
        <w:ind/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</w:p>
    <w:p w14:paraId="18D91FD6">
      <w:pPr>
        <w:pBdr/>
        <w:spacing w:after="120" w:before="200"/>
        <w:ind/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</w:p>
    <w:p w14:paraId="42DD92EB">
      <w:pPr>
        <w:pBdr/>
        <w:spacing w:after="120" w:before="200"/>
        <w:ind/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</w:p>
    <w:p w14:paraId="4EF48619">
      <w:pPr>
        <w:pBdr/>
        <w:spacing w:after="120" w:before="200"/>
        <w:ind/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</w:p>
    <w:p>
      <w:pPr>
        <w:pBdr/>
        <w:spacing w:after="120" w:before="200"/>
        <w:ind/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 xml:space="preserve">1. Governance &amp; Responsabilità</w:t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</w:p>
    <w:p>
      <w:pPr>
        <w:pBdr/>
        <w:spacing w:after="120" w:before="60"/>
        <w:ind/>
        <w:rPr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Riferimento normativo NIS2: 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Art. 20  •  5 controlli</w:t>
      </w:r>
      <w:r/>
    </w:p>
    <w:p>
      <w:pPr>
        <w:pBdr/>
        <w:spacing w:after="40" w:before="120"/>
        <w:ind/>
        <w:rPr/>
      </w:pPr>
      <w:r>
        <w:rPr>
          <w:rFonts w:ascii="Arial" w:hAnsi="Arial"/>
          <w:b/>
          <w:i w:val="0"/>
          <w:color w:val="444444"/>
          <w:sz w:val="20"/>
        </w:rPr>
        <w:t xml:space="preserve">Stato obbligatorio: </w:t>
      </w:r>
      <w:r>
        <w:rPr>
          <w:rFonts w:ascii="Arial" w:hAnsi="Arial"/>
          <w:b w:val="0"/>
          <w:i w:val="0"/>
          <w:color w:val="444444"/>
          <w:sz w:val="20"/>
        </w:rPr>
        <w:t xml:space="preserve">Obbligatorio - Art. 20, par. 1: gli organi di gestione </w:t>
      </w:r>
      <w:r>
        <w:rPr>
          <w:rFonts w:ascii="Arial" w:hAnsi="Arial"/>
          <w:b w:val="0"/>
          <w:i w:val="0"/>
          <w:color w:val="444444"/>
          <w:sz w:val="20"/>
          <w:lang w:val="it-IT"/>
        </w:rPr>
        <w:t xml:space="preserve">devono approvare e supervisionare</w:t>
      </w:r>
      <w:r>
        <w:rPr>
          <w:rFonts w:ascii="Arial" w:hAnsi="Arial"/>
          <w:b w:val="0"/>
          <w:i w:val="0"/>
          <w:color w:val="444444"/>
          <w:sz w:val="20"/>
        </w:rPr>
        <w:t xml:space="preserve"> le misure di c</w:t>
      </w:r>
      <w:r>
        <w:rPr>
          <w:rFonts w:ascii="Arial" w:hAnsi="Arial"/>
          <w:b w:val="0"/>
          <w:i w:val="0"/>
          <w:color w:val="444444"/>
          <w:sz w:val="20"/>
          <w:lang w:val="it-IT"/>
        </w:rPr>
        <w:t xml:space="preserve">y</w:t>
      </w:r>
      <w:r>
        <w:rPr>
          <w:rFonts w:ascii="Arial" w:hAnsi="Arial"/>
          <w:b w:val="0"/>
          <w:i w:val="0"/>
          <w:color w:val="444444"/>
          <w:sz w:val="20"/>
        </w:rPr>
        <w:t xml:space="preserve">bersicurezza. La responsabilita personale dei membri e prevista dalla norma.</w:t>
      </w:r>
      <w:r/>
    </w:p>
    <w:p>
      <w:pPr>
        <w:pBdr/>
        <w:spacing w:after="160" w:before="40"/>
        <w:ind/>
        <w:rPr/>
      </w:pPr>
      <w:r>
        <w:rPr>
          <w:rFonts w:ascii="Arial" w:hAnsi="Arial"/>
          <w:b/>
          <w:color w:val="444444"/>
          <w:sz w:val="20"/>
        </w:rPr>
        <w:t xml:space="preserve">Riferimento ufficiale: </w:t>
      </w:r>
      <w:hyperlink r:id="rId12" w:tooltip="https://eur-lex.europa.eu/legal-content/IT/TXT/HTML/?uri=CELEX:32022L2555#d1e3335-80-1" w:history="1">
        <w:r>
          <w:rPr>
            <w:rFonts w:ascii="Arial" w:hAnsi="Arial"/>
            <w:color w:val="0563c1"/>
            <w:sz w:val="20"/>
            <w:szCs w:val="20"/>
            <w:u w:val="single"/>
          </w:rPr>
          <w:t xml:space="preserve">Direttiva (UE) 2022/2555 - Art. 20, par. 1 (Governance e responsabilita degli organi di gestione)</w:t>
        </w:r>
      </w:hyperlink>
      <w:r/>
      <w:r/>
    </w:p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GR-1 – Piano di cybersecurity approvato dalla direzione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GR-1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20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Piano di cybersecurity approvato dalla direzione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La direzione ha approvato formalmente un piano di cybersecurity, documentato da un verbale o atto scritto?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L'art. 20 della Direttiva NIS2 pone la responsabilità finale sulla direzione (organo di gestione). Il management non può delegare in tot</w:t>
            </w:r>
            <w:r>
              <w:rPr>
                <w:rFonts w:ascii="Arial" w:hAnsi="Arial"/>
                <w:b w:val="0"/>
                <w:i/>
                <w:color w:val="555555"/>
                <w:sz w:val="18"/>
                <w:lang w:val="it-IT"/>
              </w:rPr>
              <w:t xml:space="preserve">ale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la responsabilità informatica; deve approvare formalmente le policy.</w:t>
            </w:r>
            <w:r/>
          </w:p>
        </w:tc>
      </w:tr>
    </w:tbl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GR-2 – Registrazione presso il portale ACN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GR-2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20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Registrazione presso il portale ACN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L’azienda è registrata sul portale ACN come soggetto NIS2 e ha ricevuto conferma della propria classificazione (essenziale o importante)?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Gli enti essenziali e importanti devono registrarsi tramite il portale dell'Agenzia per la Cybersicurezza Nazionale (ACN) fornendo le proprie anagrafiche, come richiesto dalla normativa italiana.</w:t>
            </w:r>
            <w:r/>
          </w:p>
        </w:tc>
      </w:tr>
    </w:tbl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GR-3 – Budget dedicato alla cybersicurezza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GR-3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20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Budget dedicato alla cybersicurezza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Esiste un budget dedicato alla cybersicurezza, separato dal budget IT generale e approvato formalmente dalla direzione?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Per garantire una sicurezza efficace e dimostrare l'impegno della direzione, deve essere stanziato un budget specifico e tracciabile per la cybersecurity, separato dal generico budget IT.</w:t>
            </w:r>
            <w:r/>
          </w:p>
        </w:tc>
      </w:tr>
    </w:tbl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GR-4 – Coinvolgimento del management nella sicurezza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GR-4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20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Coinvolgimento del management nella sicurezza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Il management partecipa attivamente alle decisioni di sicurezza e si tengono riunioni periodiche dedicate alla cybersicurezza?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Il management deve partecipare attivamente. La direttiva NIS2 prevede responsabilità dirette e possibili sanzioni per gli organi di gestione in caso di grave negligenza o inadempienza.</w:t>
            </w:r>
            <w:r/>
          </w:p>
        </w:tc>
      </w:tr>
    </w:tbl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GR-5 – Catena di comando in caso di crisi cyber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GR-5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20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Catena di comando in caso di crisi cyber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Esiste un organigramma formale che definisce ruoli e responsabilità decisionali durante una crisi informatica?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In caso di crisi, la catena di comando deve essere predefinita per garantire decisioni rapide ed esecutive (es. isolare la rete, dichiarare un data breach, chiamare le autorità).</w:t>
            </w:r>
            <w:r/>
          </w:p>
        </w:tc>
      </w:tr>
    </w:tbl>
    <w:p>
      <w:pPr>
        <w:pBdr/>
        <w:spacing w:after="120" w:before="200"/>
        <w:ind/>
        <w:rPr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 xml:space="preserve">2. Gestione del Rischio</w:t>
      </w:r>
      <w:r/>
    </w:p>
    <w:p>
      <w:pPr>
        <w:pBdr/>
        <w:spacing w:after="120" w:before="60"/>
        <w:ind/>
        <w:rPr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Riferimento normativo NIS2: 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Art. 21, par. 1  •  4 controlli</w:t>
      </w:r>
      <w:r/>
    </w:p>
    <w:p>
      <w:pPr>
        <w:pBdr/>
        <w:spacing w:after="40" w:before="120"/>
        <w:ind/>
        <w:rPr/>
      </w:pPr>
      <w:r>
        <w:rPr>
          <w:rFonts w:ascii="Arial" w:hAnsi="Arial"/>
          <w:b/>
          <w:i w:val="0"/>
          <w:color w:val="444444"/>
          <w:sz w:val="20"/>
        </w:rPr>
        <w:t xml:space="preserve">Stato obbligatorio: </w:t>
      </w:r>
      <w:r>
        <w:rPr>
          <w:rFonts w:ascii="Arial" w:hAnsi="Arial"/>
          <w:b w:val="0"/>
          <w:i w:val="0"/>
          <w:color w:val="444444"/>
          <w:sz w:val="20"/>
        </w:rPr>
        <w:t xml:space="preserve">Obbligatorio - Art. 21, par. 2, lett. a): politiche di analisi dei rischi come misura minima vincolante. Approccio multirischio esplicitamente richiesto dal cappello del par. 2.</w:t>
      </w:r>
      <w:r/>
    </w:p>
    <w:p>
      <w:pPr>
        <w:pBdr/>
        <w:spacing w:after="160" w:before="40"/>
        <w:ind/>
        <w:rPr/>
      </w:pPr>
      <w:r>
        <w:rPr>
          <w:rFonts w:ascii="Arial" w:hAnsi="Arial"/>
          <w:b/>
          <w:color w:val="444444"/>
          <w:sz w:val="20"/>
        </w:rPr>
        <w:t xml:space="preserve">Riferimento ufficiale: </w:t>
      </w:r>
      <w:hyperlink r:id="rId13" w:tooltip="https://eur-lex.europa.eu/legal-content/IT/TXT/HTML/?uri=CELEX:32022L2555#d1e3352-80-1" w:history="1">
        <w:r>
          <w:rPr>
            <w:rFonts w:ascii="Arial" w:hAnsi="Arial"/>
            <w:color w:val="0563c1"/>
            <w:sz w:val="20"/>
            <w:szCs w:val="20"/>
            <w:u w:val="single"/>
          </w:rPr>
          <w:t xml:space="preserve">Direttiva (UE) 2022/2555 - Art. 21, par. 2, lett. a) (Analisi dei rischi e sicurezza dei sistemi)</w:t>
        </w:r>
      </w:hyperlink>
      <w:r/>
      <w:r/>
    </w:p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RI-1 – Metodologia di valutazione del rischio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RI-1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21, par. 1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Metodologia di valutazione del rischio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L’azienda utilizza una metodologia riconosciuta (es. NIST, ENISA, ISO 31000) per la valutazione dei rischi cyber?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L'Art. 21.2 richiede politiche formali di analisi dei rischi. La metodologia deve essere documentata (es. basata su standard riconosciuti o framework nazionali ACN).</w:t>
            </w:r>
            <w:r/>
          </w:p>
        </w:tc>
      </w:tr>
    </w:tbl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RI-2 – Collegamento tra rischi e processi critici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RI-2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21, par. 1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Collegamento tra rischi e processi critici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I rischi identificati sono collegati ai processi aziendali critici, con una stima documentata dell’impatto in caso di blocco dei sistemi?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L'analisi dei rischi non deve essere solo informatica, ma legata ai processi: bisogna mappare l'impatto di un fermo IT sull'erogazione dei servizi primari e istituzionali dell'ente.</w:t>
            </w:r>
            <w:r/>
          </w:p>
        </w:tc>
      </w:tr>
    </w:tbl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RI-3 – Scenari di minaccia specifici per il settore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RI-3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21, par. 1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Scenari di minaccia specifici per il settore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L’analisi dei rischi include scenari di minaccia specifici per il settore (es. ransomware, attacchi alla supply chain, spear phishing)?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I rischi valutati devono includere scenari specifici del settore (es. minacce per la ricerca scientifica, furto di proprietà intellettuale, attacchi ransomware a infrastrutture pubbliche).</w:t>
            </w:r>
            <w:r/>
          </w:p>
        </w:tc>
      </w:tr>
    </w:tbl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RI-4 – Criteri di trattamento del rischio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RI-4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21, par. 1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Criteri di trattamento del rischio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Esistono criteri documentati per decidere se mitigare, accettare o trasferire un rischio, con una chiara autorizzazione formale per l’accettazione del rischio residuo?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L'ente deve definire criteri oggettivi e autorizzati dalla direzione per decidere se un rischio cyber è accettabile, oppure se deve essere mitigato, trasferito o evitato.</w:t>
            </w:r>
            <w:r/>
          </w:p>
        </w:tc>
      </w:tr>
    </w:tbl>
    <w:p>
      <w:pPr>
        <w:pBdr/>
        <w:spacing w:after="120" w:before="200"/>
        <w:ind/>
        <w:rPr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 xml:space="preserve">3. Misure Tecniche ed Organizzative</w:t>
      </w:r>
      <w:r/>
    </w:p>
    <w:p>
      <w:pPr>
        <w:pBdr/>
        <w:spacing w:after="120" w:before="60"/>
        <w:ind/>
        <w:rPr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Riferimento normativo NIS2: 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Art. 21, par. 2  •  3 controlli</w:t>
      </w:r>
      <w:r/>
    </w:p>
    <w:p>
      <w:pPr>
        <w:pBdr/>
        <w:spacing w:after="40" w:before="120"/>
        <w:ind/>
        <w:rPr/>
      </w:pPr>
      <w:r>
        <w:rPr>
          <w:rFonts w:ascii="Arial" w:hAnsi="Arial"/>
          <w:b/>
          <w:i w:val="0"/>
          <w:color w:val="444444"/>
          <w:sz w:val="20"/>
        </w:rPr>
        <w:t xml:space="preserve">Stato obbligatorio: </w:t>
      </w:r>
      <w:r>
        <w:rPr>
          <w:rFonts w:ascii="Arial" w:hAnsi="Arial"/>
          <w:b w:val="0"/>
          <w:i w:val="0"/>
          <w:color w:val="444444"/>
          <w:sz w:val="20"/>
        </w:rPr>
        <w:t xml:space="preserve">Condizionale - Art. 21, par. 2, lett. j): MFA richiesta 'ove opportuno'. Le politiche di crittografia sono obbligatorie (lett. h), la cifratura effettiva e condizionale 'se del caso'.</w:t>
      </w:r>
      <w:r/>
    </w:p>
    <w:p>
      <w:pPr>
        <w:pBdr/>
        <w:spacing w:after="160" w:before="40"/>
        <w:ind/>
        <w:rPr/>
      </w:pPr>
      <w:r>
        <w:rPr>
          <w:rFonts w:ascii="Arial" w:hAnsi="Arial"/>
          <w:b/>
          <w:color w:val="444444"/>
          <w:sz w:val="20"/>
        </w:rPr>
        <w:t xml:space="preserve">Riferimento ufficiale: </w:t>
      </w:r>
      <w:hyperlink r:id="rId14" w:tooltip="https://eur-lex.europa.eu/legal-content/IT/TXT/HTML/?uri=CELEX:32022L2555#d1e3352-80-1" w:history="1">
        <w:r>
          <w:rPr>
            <w:rFonts w:ascii="Arial" w:hAnsi="Arial"/>
            <w:color w:val="0563c1"/>
            <w:sz w:val="20"/>
            <w:szCs w:val="20"/>
            <w:u w:val="single"/>
          </w:rPr>
          <w:t xml:space="preserve">Direttiva (UE) 2022/2555 - Art. 21, par. 2, lett. h), i), j) (Crittografia, sicurezza risorse umane, autenticazione)</w:t>
        </w:r>
      </w:hyperlink>
      <w:r/>
      <w:r/>
    </w:p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TO-1 – Autenticazione a più fattori (MFA) sui sistemi interni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TO-1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21, par. 2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Autenticazione a più fattori (MFA) sui sistemi interni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L’autenticazione a più fattori (MFA) è attiva anche sui sistemi interni (database, applicativi gestionali, sistemi di produzione) e non solo su email o VPN?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L'Art. 21.2(j) raccomanda esplicitamente pratiche di 'igiene informatica' e l'uso dell'autenticazione a più fattori (MFA) per l'accesso a sistemi, reti e servizi critici.</w:t>
            </w:r>
            <w:r/>
          </w:p>
        </w:tc>
      </w:tr>
    </w:tbl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TO-2 – Crittografia delle comunicazioni interne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TO-2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21, par. 2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Crittografia delle comunicazioni interne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La crittografia protegge anche le comunicazioni interne tra sistemi (server-to-server, API interne) e non solo il traffico verso l’esterno?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Le comunicazioni interne, specialmente quelle contenenti dati sensibili o destinate alla gestione amministrativa dei sistemi, devono impiegare soluzioni di crittografia allo stato dell'arte.</w:t>
            </w:r>
            <w:r/>
          </w:p>
        </w:tc>
      </w:tr>
    </w:tbl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TO-3 – Sicurezza degli asset OT/IoT collegati alla rete IT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TO-3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21, par. 2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Sicurezza degli asset OT/IoT collegati alla rete IT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Gli asset OT, IoT e di building management collegati alla rete IT sono inventariati e gestiti secondo procedure di sicurezza definite?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I dispositivi IoT o OT (Operational Technology, es. sensori navali) devono essere segmentati dalla rete IT principale, poiché spesso vulnerabili e difficilmente aggiornabili.</w:t>
            </w:r>
            <w:r/>
          </w:p>
        </w:tc>
      </w:tr>
    </w:tbl>
    <w:p w14:paraId="65660C86">
      <w:pPr>
        <w:pBdr/>
        <w:spacing w:after="120" w:before="200"/>
        <w:ind/>
        <w:rPr/>
      </w:pP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/>
    </w:p>
    <w:p>
      <w:pPr>
        <w:pBdr/>
        <w:spacing w:after="120" w:before="200"/>
        <w:ind/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 xml:space="preserve">4. Gestione degli Incidenti</w:t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</w:p>
    <w:p>
      <w:pPr>
        <w:pBdr/>
        <w:spacing w:after="120" w:before="60"/>
        <w:ind/>
        <w:rPr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Riferimento normativo NIS2: 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Art. 21 + Art. 23  •  5 controlli</w:t>
      </w:r>
      <w:r/>
    </w:p>
    <w:p>
      <w:pPr>
        <w:pBdr/>
        <w:spacing w:after="40" w:before="120"/>
        <w:ind/>
        <w:rPr/>
      </w:pPr>
      <w:r>
        <w:rPr>
          <w:rFonts w:ascii="Arial" w:hAnsi="Arial"/>
          <w:b/>
          <w:i w:val="0"/>
          <w:color w:val="444444"/>
          <w:sz w:val="20"/>
        </w:rPr>
        <w:t xml:space="preserve">Stato obbligatorio: </w:t>
      </w:r>
      <w:r>
        <w:rPr>
          <w:rFonts w:ascii="Arial" w:hAnsi="Arial"/>
          <w:b w:val="0"/>
          <w:i w:val="0"/>
          <w:color w:val="444444"/>
          <w:sz w:val="20"/>
        </w:rPr>
        <w:t xml:space="preserve">Obbligatorio - Art. 21, par. 2, lett. b): gestione incidenti come misura minima. Art. 23: early warning entro 24h (lett. a), notifica entro 72h (lett. b), relazione finale entro 1 mese (lett. c).</w:t>
      </w:r>
      <w:r/>
    </w:p>
    <w:p>
      <w:pPr>
        <w:pBdr/>
        <w:spacing w:after="160" w:before="40"/>
        <w:ind/>
        <w:rPr/>
      </w:pPr>
      <w:r>
        <w:rPr>
          <w:rFonts w:ascii="Arial" w:hAnsi="Arial"/>
          <w:b/>
          <w:color w:val="444444"/>
          <w:sz w:val="20"/>
        </w:rPr>
        <w:t xml:space="preserve">Riferimento ufficiale: </w:t>
      </w:r>
      <w:hyperlink r:id="rId15" w:tooltip="https://eur-lex.europa.eu/legal-content/IT/TXT/HTML/?uri=CELEX:32022L2555#d1e3470-80-1" w:history="1">
        <w:r>
          <w:rPr>
            <w:rFonts w:ascii="Arial" w:hAnsi="Arial"/>
            <w:color w:val="0563c1"/>
            <w:sz w:val="20"/>
            <w:szCs w:val="20"/>
            <w:u w:val="single"/>
          </w:rPr>
          <w:t xml:space="preserve">Direttiva (UE) 2022/2555 - Art. 21, par. 2, lett. b) + Art. 23 (Gestione incidenti e obblighi di notifica)</w:t>
        </w:r>
      </w:hyperlink>
      <w:r/>
      <w:r/>
    </w:p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IN-1 – Autorità per dichiarare un incidente significativo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IN-1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21 + Art. 23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Autorità per dichiarare un incidente significativo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Esiste una matrice decisionale scritta che definisce chi ha l’autorità di dichiarare un incidente significativo ai sensi NIS2?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Deve essere formalmente chiaro *chi* in azienda ha l'autorità e la competenza per qualificare un incidente come 'significativo' e dare il via alla procedura di notifica obbligatoria ad ACN.</w:t>
            </w:r>
            <w:r/>
          </w:p>
        </w:tc>
      </w:tr>
    </w:tbl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IN-2 – Simulazioni di risposta agli incidenti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IN-2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21 + Art. 23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Simulazioni di risposta agli incidenti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Sono state condotte simulazioni di risposta a un incidente di sicurezza nell’ultimo anno, con il coinvolgimento dei responsabili designati?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La direttiva richiede una preparazione attiva. Eseguire esercitazioni periodiche (es. tabletop) testa l'effettiva prontezza del team nell'affrontare un attacco reale (Art. 21.2).</w:t>
            </w:r>
            <w:r/>
          </w:p>
        </w:tc>
      </w:tr>
    </w:tbl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IN-3 – Analisi post-incidente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IN-3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21 + Art. 23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Analisi post-incidente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Dopo ogni incidente viene condotta un’analisi post-mortem strutturata e i risultati vengono utilizzati per migliorare le difese?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Dopo un incidente, è fondamentale istituire una fase formale di 'Lessons Learned' per analizzare cosa ha fallito (root cause) e aggiornare proattivamente le procedure di sicurezza.</w:t>
            </w:r>
            <w:r/>
          </w:p>
        </w:tc>
      </w:tr>
    </w:tbl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IN-4 – Disponibilità di un team di risposta 24/7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IN-4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21 + Art. 23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Disponibilità di un team di risposta 24/7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È disponibile personale interno o un servizio esterno (MSSP) attivo 24/7 per la risposta agli incidenti?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Un attacco può avvenire fuori orario lavorativo. Serve reperibilità garantita o un team (interno o esterno tramite SOC) capace di intervenire e contenere le minacce 24/7.</w:t>
            </w:r>
            <w:r/>
          </w:p>
        </w:tc>
      </w:tr>
    </w:tbl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IN-5 – Comunicazione esterna in caso di incidente grave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IN-5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21 + Art. 23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Comunicazione esterna in caso di incidente grave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Esiste una procedura documentata che definisce chi gestisce le comunicazioni verso clienti, partner e stampa in caso di incidente grave?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In caso di incidente con grave impatto, potrebbero essere necessarie comunicazioni a partner, utenti o pubblico, da coordinare preventivamente con i vertici e l'ufficio legale.</w:t>
            </w:r>
            <w:r/>
          </w:p>
        </w:tc>
      </w:tr>
    </w:tbl>
    <w:p>
      <w:pPr>
        <w:pBdr/>
        <w:spacing w:after="120" w:before="200"/>
        <w:ind/>
        <w:rPr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 xml:space="preserve">5. Sicurezza Supply Chain</w:t>
      </w:r>
      <w:r/>
    </w:p>
    <w:p>
      <w:pPr>
        <w:pBdr/>
        <w:spacing w:after="120" w:before="60"/>
        <w:ind/>
        <w:rPr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Riferimento normativo NIS2: 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Art. 21, par. 2, lett. d  •  3 controlli</w:t>
      </w:r>
      <w:r/>
    </w:p>
    <w:p>
      <w:pPr>
        <w:pBdr/>
        <w:spacing w:after="40" w:before="120"/>
        <w:ind/>
        <w:rPr/>
      </w:pPr>
      <w:r>
        <w:rPr>
          <w:rFonts w:ascii="Arial" w:hAnsi="Arial"/>
          <w:b/>
          <w:i w:val="0"/>
          <w:color w:val="444444"/>
          <w:sz w:val="20"/>
        </w:rPr>
        <w:t xml:space="preserve">Stato obbligatorio: </w:t>
      </w:r>
      <w:r>
        <w:rPr>
          <w:rFonts w:ascii="Arial" w:hAnsi="Arial"/>
          <w:b w:val="0"/>
          <w:i w:val="0"/>
          <w:color w:val="444444"/>
          <w:sz w:val="20"/>
        </w:rPr>
        <w:t xml:space="preserve">Obbligatorio - Art. 21, par. 2, lett. d): sicurezza della supply chain come misura minima vincolante, compresi i rapporti con i fornitori diretti e la valutazione delle loro vulnerabilita.</w:t>
      </w:r>
      <w:r/>
    </w:p>
    <w:p>
      <w:pPr>
        <w:pBdr/>
        <w:spacing w:after="160" w:before="40"/>
        <w:ind/>
        <w:rPr/>
      </w:pPr>
      <w:r>
        <w:rPr>
          <w:rFonts w:ascii="Arial" w:hAnsi="Arial"/>
          <w:b/>
          <w:color w:val="444444"/>
          <w:sz w:val="20"/>
        </w:rPr>
        <w:t xml:space="preserve">Riferimento ufficiale: </w:t>
      </w:r>
      <w:hyperlink r:id="rId16" w:tooltip="https://eur-lex.europa.eu/legal-content/IT/TXT/HTML/?uri=CELEX:32022L2555#d1e3352-80-1" w:history="1">
        <w:r>
          <w:rPr>
            <w:rFonts w:ascii="Arial" w:hAnsi="Arial"/>
            <w:color w:val="0563c1"/>
            <w:sz w:val="20"/>
            <w:szCs w:val="20"/>
            <w:u w:val="single"/>
          </w:rPr>
          <w:t xml:space="preserve">Direttiva (UE) 2022/2555 - Art. 21, par. 2, lett. d) (Sicurezza della catena di approvvigionamento)</w:t>
        </w:r>
      </w:hyperlink>
      <w:r/>
      <w:r/>
    </w:p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SC-1 – Mappatura dei fornitori critici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SC-1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21, par. 2, lett. d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Mappatura dei fornitori critici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Esiste un elenco aggiornato dei fornitori che accedono ai sistemi aziendali o trattano dati per conto dell’azienda, classificato per livello di criticità?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L'Art. 21.2(d) estende la sicurezza alla catena di approvvigionamento (Supply Chain). L'ente deve censire quali fornitori hardware/software e MSP hanno accesso ai propri dati critici.</w:t>
            </w:r>
            <w:r/>
          </w:p>
        </w:tc>
      </w:tr>
    </w:tbl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SC-2 – Rilevamento di compromissioni nella supply chain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SC-2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21, par. 2, lett. d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Rilevamento di compromissioni nella supply chain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L’azienda dispone di canali attivi per ricevere notifiche di sicurezza dai fornitori critici e rilevarne una eventuale compromissione?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Occorre prevedere clausole contrattuali o strumenti tecnici per rilevare tempestivamente se un fornitore IT ha subito una violazione che potrebbe propagarsi ai sistemi del CNR.</w:t>
            </w:r>
            <w:r/>
          </w:p>
        </w:tc>
      </w:tr>
    </w:tbl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SC-3 – Piano alternativo in caso di interruzione di un fornitore critico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SC-3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21, par. 2, lett. d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Piano alternativo in caso di interruzione di un fornitore critico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È stato identificato un fornitore alternativo o un piano di continuity per ogni fornitore critico, in caso di sua interruzione?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Se il fornitore Cloud o il provider di un servizio critico subisce un attacco prolungato, l'ente deve avere un piano di contingenza (exit strategy) per garantire la continuità operativa.</w:t>
            </w:r>
            <w:r/>
          </w:p>
        </w:tc>
      </w:tr>
    </w:tbl>
    <w:p w14:paraId="412DF037">
      <w:pPr>
        <w:pBdr/>
        <w:spacing w:after="120" w:before="200"/>
        <w:ind/>
        <w:rPr/>
      </w:pP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/>
    </w:p>
    <w:p>
      <w:pPr>
        <w:pBdr/>
        <w:spacing w:after="120" w:before="200"/>
        <w:ind/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 xml:space="preserve">6. Continuità Operativa &amp; Disaster Recovery</w:t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</w:p>
    <w:p>
      <w:pPr>
        <w:pBdr/>
        <w:spacing w:after="120" w:before="60"/>
        <w:ind/>
        <w:rPr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Riferimento normativo NIS2: 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Art. 21, par. 2, lett. c  •  10 controlli</w:t>
      </w:r>
      <w:r/>
    </w:p>
    <w:p>
      <w:pPr>
        <w:pBdr/>
        <w:spacing w:after="40" w:before="120"/>
        <w:ind/>
        <w:rPr/>
      </w:pPr>
      <w:r>
        <w:rPr>
          <w:rFonts w:ascii="Arial" w:hAnsi="Arial"/>
          <w:b/>
          <w:i w:val="0"/>
          <w:color w:val="444444"/>
          <w:sz w:val="20"/>
        </w:rPr>
        <w:t xml:space="preserve">Stato obbligatorio: </w:t>
      </w:r>
      <w:r>
        <w:rPr>
          <w:rFonts w:ascii="Arial" w:hAnsi="Arial"/>
          <w:b w:val="0"/>
          <w:i w:val="0"/>
          <w:color w:val="444444"/>
          <w:sz w:val="20"/>
        </w:rPr>
        <w:t xml:space="preserve">Obbligatorio - Art. 21, par. 2, lett. c): continuita operativa, backup e disaster recovery come misure minime vincolanti. RTO/RPO e ambienti DR separati non sono prescritti esplicitamente.</w:t>
      </w:r>
      <w:r/>
    </w:p>
    <w:p>
      <w:pPr>
        <w:pBdr/>
        <w:spacing w:after="160" w:before="40"/>
        <w:ind/>
        <w:rPr/>
      </w:pPr>
      <w:r>
        <w:rPr>
          <w:rFonts w:ascii="Arial" w:hAnsi="Arial"/>
          <w:b/>
          <w:color w:val="444444"/>
          <w:sz w:val="20"/>
        </w:rPr>
        <w:t xml:space="preserve">Riferimento ufficiale: </w:t>
      </w:r>
      <w:hyperlink r:id="rId17" w:tooltip="https://eur-lex.europa.eu/legal-content/IT/TXT/HTML/?uri=CELEX:32022L2555#d1e3352-80-1" w:history="1">
        <w:r>
          <w:rPr>
            <w:rFonts w:ascii="Arial" w:hAnsi="Arial"/>
            <w:color w:val="0563c1"/>
            <w:sz w:val="20"/>
            <w:szCs w:val="20"/>
            <w:u w:val="single"/>
          </w:rPr>
          <w:t xml:space="preserve">Direttiva (UE) 2022/2555 - Art. 21, par. 2, lett. c) + Art. 23 (Continuita operativa, backup, disaster recovery)</w:t>
        </w:r>
      </w:hyperlink>
      <w:r/>
      <w:r/>
    </w:p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CO-1 – Scenari cyber nel piano di disaster recovery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CO-1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21, par. 2, lett. c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Scenari cyber nel piano di disaster recovery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Il piano di disaster recovery include scenari di attacco cyber (es. ransomware, cancellazione dati) e non solo guasti hardware o infrastrutturali?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I piani di Disaster Recovery e Continuità Operativa (Art. 21.2.c) non devono coprire solo guasti naturali o hardware, ma prevedere esplicitamente scenari di disastro cyber (es. ransomware distruttivo).</w:t>
            </w:r>
            <w:r/>
          </w:p>
        </w:tc>
      </w:tr>
    </w:tbl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CO-2 – Definizione e test di RTO e RPO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CO-2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21, par. 2, lett. c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Definizione e test di RTO e RPO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Sono stati definiti RTO e RPO per i sistemi critici e sono stati validati attraverso test reali di ripristino?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Bisogna definire e testare formalmente il tempo massimo tollerabile di blocco dei servizi (RTO) e la quantità di dati che l'azienda può permettersi di perdere e dover reinserire (RPO).</w:t>
            </w:r>
            <w:r/>
          </w:p>
        </w:tc>
      </w:tr>
    </w:tbl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CO-3 – Protezione dei backup critici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CO-3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21, par. 2, lett. c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Protezione dei backup critici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I backup critici sono conservati in modo immutabile o offline, protetti da un possibile attaccante che compromette la rete aziendale?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I backup devono essere isolati (offline, su nastro o architetture immutabili) in modo che un ransomware avanzato che infetta la rete primaria non possa criptare o cancellare le copie di sicurezza.</w:t>
            </w:r>
            <w:r/>
          </w:p>
        </w:tc>
      </w:tr>
    </w:tbl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CO-4 – Ambiente di disaster recovery pronto all’uso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CO-4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21, par. 2, lett. c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Ambiente di disaster recovery pronto all’uso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È disponibile un ambiente di disaster recovery attivo (warm o hot standby) con tempi di ripristino definiti e documentati?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Il piano di Disaster Recovery deve essere testato e supportato da infrastrutture (es. cold/warm site o cloud) pronte ad essere attivate in tempi compatibili con l'RTO stabilito.</w:t>
            </w:r>
            <w:r/>
          </w:p>
        </w:tc>
      </w:tr>
    </w:tbl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CO-5 – Comunicazione interna alternativa in caso di crisi prolungata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CO-5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21, par. 2, lett. c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Comunicazione interna alternativa in caso di crisi prolungata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Esiste un piano di comunicazione interna alternativo da attivare nel caso in cui email e chat aziendali risultassero non disponibili?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Se la rete o i server email aziendali sono compromessi o isolati durante una crisi, l'ente deve disporre di un canale di comunicazione 'Out-of-Band' sicuro per coordinare le operazioni.</w:t>
            </w:r>
            <w:r/>
          </w:p>
        </w:tc>
      </w:tr>
    </w:tbl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CO-6 – Referente designato per le comunicazioni con ACN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CO-6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21, par. 2, lett. c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Referente designato per le comunicazioni con ACN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È stato designato un referente interno per le comunicazioni con ACN, con accesso già attivo al portale?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La direttiva NIS2 (Art. 23) impone scadenze stringenti per le notifiche di incidenti. Serve un referente pre-autorizzato a interfacciarsi legalmente e operativamente con il CSIRT Italia / ACN.</w:t>
            </w:r>
            <w:r/>
          </w:p>
        </w:tc>
      </w:tr>
    </w:tbl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CO-7 – Soglia interna per la notifica degli incidenti ad ACN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CO-7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21, par. 2, lett. c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Soglia interna per la notifica degli incidenti ad ACN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Esiste una soglia interna documentata per determinare quando un incidente deve essere notificato ad ACN, con il responsabile della decisione chiaramente identificato?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L'ente deve definire criteri chiari (es. numero di utenti coinvolti, durata del disservizio) per determinare quando un incidente supera la soglia di 'significatività' che fa scattare l'obbligo di notifica.</w:t>
            </w:r>
            <w:r/>
          </w:p>
        </w:tc>
      </w:tr>
    </w:tbl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CO-8 – Template per l’early warning entro 24 ore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CO-8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21, par. 2, lett. c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Template per l’early warning entro 24 ore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È disponibile un template pronto per la segnalazione di early warning ad ACN entro 24 ore, con il processo di approvazione definito?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Il preallarme (early warning) ad ACN deve essere inviato entro 24 ore dalla conoscenza dell'incidente. Avere un template pronto fa risparmiare tempo prezioso durante la gestione della crisi.</w:t>
            </w:r>
            <w:r/>
          </w:p>
        </w:tc>
      </w:tr>
    </w:tbl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CO-9 – Coinvolgimento del team legale nelle notifiche ad ACN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CO-9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21, par. 2, lett. c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Coinvolgimento del team legale nelle notifiche ad ACN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Il team legale è coinvolto nel processo di notifica ad ACN e conosce le informazioni obbligatorie da comunicare ai sensi del D.Lgs. 138/2024?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La notifica ad ACN o al Garante Privacy (se coinvolge dati personali) ha risvolti legali e potenzialmente sanzionatori; l'ufficio legale o il DPO deve essere integrato nel processo di gestione crisi.</w:t>
            </w:r>
            <w:r/>
          </w:p>
        </w:tc>
      </w:tr>
    </w:tbl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CO-10 – Capacità di applicare le direttive vincolanti di ACN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CO-10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21, par. 2, lett. c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Capacità di applicare le direttive vincolanti di ACN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L’azienda dispone di una procedura per ricevere e applicare tempestivamente le istruzioni vincolanti di ACN durante un incidente?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In situazioni di allarme diffuso, l'ACN può emanare direttive vincolanti. L'ente deve avere procedure snelle per recepirle e applicare rapidamente le contromisure alla propria infrastruttura IT.</w:t>
            </w:r>
            <w:r/>
          </w:p>
        </w:tc>
      </w:tr>
    </w:tbl>
    <w:p>
      <w:pPr>
        <w:pBdr/>
        <w:spacing w:after="120" w:before="200"/>
        <w:ind/>
        <w:rPr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 xml:space="preserve">7. Formazione &amp; Consapevolezza</w:t>
      </w:r>
      <w:r/>
    </w:p>
    <w:p>
      <w:pPr>
        <w:pBdr/>
        <w:spacing w:after="120" w:before="60"/>
        <w:ind/>
        <w:rPr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Riferimento normativo NIS2: 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Art. 20, par. 2  •  3 controlli</w:t>
      </w:r>
      <w:r/>
    </w:p>
    <w:p>
      <w:pPr>
        <w:pBdr/>
        <w:spacing w:after="40" w:before="120"/>
        <w:ind/>
        <w:rPr/>
      </w:pPr>
      <w:r>
        <w:rPr>
          <w:rFonts w:ascii="Arial" w:hAnsi="Arial"/>
          <w:b/>
          <w:i w:val="0"/>
          <w:color w:val="444444"/>
          <w:sz w:val="20"/>
        </w:rPr>
        <w:t xml:space="preserve">Stato obbligatorio: </w:t>
      </w:r>
      <w:r>
        <w:rPr>
          <w:rFonts w:ascii="Arial" w:hAnsi="Arial"/>
          <w:b w:val="0"/>
          <w:i w:val="0"/>
          <w:color w:val="444444"/>
          <w:sz w:val="20"/>
        </w:rPr>
        <w:t xml:space="preserve">Obbligatorio per i membri degli organi di gestione (Art. 20, par. 2): 'sono tenuti a seguire' formazione. Formazione generale in cybersicurezza come misura minima (Art. 21, par. 2, lett. g).</w:t>
      </w:r>
      <w:r/>
    </w:p>
    <w:p>
      <w:pPr>
        <w:pBdr/>
        <w:spacing w:after="160" w:before="40"/>
        <w:ind/>
        <w:rPr/>
      </w:pPr>
      <w:r>
        <w:rPr>
          <w:rFonts w:ascii="Arial" w:hAnsi="Arial"/>
          <w:b/>
          <w:color w:val="444444"/>
          <w:sz w:val="20"/>
        </w:rPr>
        <w:t xml:space="preserve">Riferimento ufficiale: </w:t>
      </w:r>
      <w:hyperlink r:id="rId18" w:tooltip="https://eur-lex.europa.eu/legal-content/IT/TXT/HTML/?uri=CELEX:32022L2555#d1e3335-80-1" w:history="1">
        <w:r>
          <w:rPr>
            <w:rFonts w:ascii="Arial" w:hAnsi="Arial"/>
            <w:color w:val="0563c1"/>
            <w:sz w:val="20"/>
            <w:szCs w:val="20"/>
            <w:u w:val="single"/>
          </w:rPr>
          <w:t xml:space="preserve">Direttiva (UE) 2022/2555 - Art. 20, par. 2 + Art. 21, par. 2, lett. g) (Formazione e igiene informatica)</w:t>
        </w:r>
      </w:hyperlink>
      <w:r/>
      <w:r/>
    </w:p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FO-1 – Formazione differenziata per ruolo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FO-1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20, par. 2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Formazione differenziata per ruolo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La formazione sulla sicurezza è differenziata per ruolo (utente base, IT, manager, ricercatore) e non generica per tutti?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L'Art. 20.2 impone formazione per tutto il personale, ma gli amministratori IT e le figure tecniche chiave devono ricevere una formazione avanzata e specifica per il loro ruolo operativo.</w:t>
            </w:r>
            <w:r/>
          </w:p>
        </w:tc>
      </w:tr>
    </w:tbl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FO-2 – Formazione del management sugli obblighi NIS2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FO-2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20, par. 2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Formazione del management sugli obblighi NIS2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Management e CDA hanno ricevuto formazione specifica sugli obblighi NIS2 e sulle responsabilità personali previste dal D.Lgs. 138/2024?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Anche i membri dell'organo di gestione (Direttori, CdA) sono esplicitamente obbligati a seguire corsi di formazione per comprendere i rischi informatici e valutare l'efficacia delle misure.</w:t>
            </w:r>
            <w:r/>
          </w:p>
        </w:tc>
      </w:tr>
    </w:tbl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FO-3 – Aggiornamento continuo sulle nuove minacce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FO-3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20, par. 2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Aggiornamento continuo sulle nuove minacce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Esiste un canale o processo strutturato per aggiornare il personale sulle nuove minacce (AI phishing, deepfake, zero-day) tra un ciclo formativo e l’altro?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I programmi di sensibilizzazione non possono essere statici: devono riflettere le minacce del mondo reale e attuali (es. phishing mirato, deepfake, social engineering).</w:t>
            </w:r>
            <w:r/>
          </w:p>
        </w:tc>
      </w:tr>
    </w:tbl>
    <w:p>
      <w:pPr>
        <w:pBdr/>
        <w:spacing w:after="120" w:before="200"/>
        <w:ind/>
        <w:rPr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 xml:space="preserve">8. Documentazione &amp; Audit</w:t>
      </w:r>
      <w:r/>
    </w:p>
    <w:p>
      <w:pPr>
        <w:pBdr/>
        <w:spacing w:after="120" w:before="60"/>
        <w:ind/>
        <w:rPr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Riferimento normativo NIS2: 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Art. 21  •  5 controlli</w:t>
      </w:r>
      <w:r/>
    </w:p>
    <w:p>
      <w:pPr>
        <w:pBdr/>
        <w:spacing w:after="40" w:before="120"/>
        <w:ind/>
        <w:rPr/>
      </w:pPr>
      <w:r>
        <w:rPr>
          <w:rFonts w:ascii="Arial" w:hAnsi="Arial"/>
          <w:b/>
          <w:i w:val="0"/>
          <w:color w:val="444444"/>
          <w:sz w:val="20"/>
        </w:rPr>
        <w:t xml:space="preserve">Stato obbligatorio: </w:t>
      </w:r>
      <w:r>
        <w:rPr>
          <w:rFonts w:ascii="Arial" w:hAnsi="Arial"/>
          <w:b w:val="0"/>
          <w:i w:val="0"/>
          <w:color w:val="444444"/>
          <w:sz w:val="20"/>
        </w:rPr>
        <w:t xml:space="preserve">Obbligatorio - Art. 21, par. 2, lett. a, f, g, h, i): politiche e procedure documentate come misure minime. Gli Art. 32-33 prevedono che le autorita competenti possano richiedere documentazione in qualsiasi momento.</w:t>
      </w:r>
      <w:r/>
    </w:p>
    <w:p>
      <w:pPr>
        <w:pBdr/>
        <w:spacing w:after="160" w:before="40"/>
        <w:ind/>
        <w:rPr/>
      </w:pPr>
      <w:r>
        <w:rPr>
          <w:rFonts w:ascii="Arial" w:hAnsi="Arial"/>
          <w:b/>
          <w:color w:val="444444"/>
          <w:sz w:val="20"/>
        </w:rPr>
        <w:t xml:space="preserve">Riferimento ufficiale: </w:t>
      </w:r>
      <w:hyperlink r:id="rId19" w:tooltip="https://eur-lex.europa.eu/legal-content/IT/TXT/HTML/?uri=CELEX:32022L2555#d1e3964-80-1" w:history="1">
        <w:r>
          <w:rPr>
            <w:rFonts w:ascii="Arial" w:hAnsi="Arial"/>
            <w:color w:val="0563c1"/>
            <w:sz w:val="20"/>
            <w:szCs w:val="20"/>
            <w:u w:val="single"/>
          </w:rPr>
          <w:t xml:space="preserve">Direttiva (UE) 2022/2555 - Art. 21, par. 2 + Art. 32-33 (Politiche, procedure e vigilanza documentale)</w:t>
        </w:r>
      </w:hyperlink>
      <w:r/>
      <w:r/>
    </w:p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DA-1 – Inventario delle policy di sicurezza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DA-1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21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Inventario delle policy di sicurezza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Esiste un inventario delle policy e procedure di sicurezza, con owner, versione e data di revisione per ciascun documento?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L'Art. 21 richiede politiche di sicurezza strutturate e verificabili. Un inventario documentale permette di dimostrare in sede di audit o ispezione di avere un impianto normativo interno solido.</w:t>
            </w:r>
            <w:r/>
          </w:p>
        </w:tc>
      </w:tr>
    </w:tbl>
    <w:p>
      <w:pPr>
        <w:pBdr/>
        <w:spacing w:after="80" w:before="280"/>
        <w:ind/>
        <w:rPr>
          <w:color w:val="ff0000"/>
        </w:rPr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DA-2 </w:t>
      </w:r>
      <w:r>
        <w:rPr>
          <w:rFonts w:ascii="Arial" w:hAnsi="Arial" w:eastAsia="Arial" w:cs="Arial"/>
          <w:b/>
          <w:bCs/>
          <w:color w:val="0070c0"/>
          <w:sz w:val="24"/>
          <w:szCs w:val="24"/>
        </w:rPr>
        <w:t xml:space="preserve">– </w:t>
      </w:r>
      <w:r>
        <w:rPr>
          <w:rFonts w:ascii="Arial" w:hAnsi="Arial" w:eastAsia="Arial" w:cs="Arial"/>
          <w:b/>
          <w:bCs/>
          <w:color w:val="0070c0"/>
          <w:sz w:val="24"/>
          <w:szCs w:val="24"/>
        </w:rPr>
        <w:t xml:space="preserve">Indipendenza degli audit interni</w:t>
      </w:r>
      <w:r>
        <w:rPr>
          <w:color w:val="ff0000"/>
        </w:rPr>
      </w:r>
      <w:r>
        <w:rPr>
          <w:color w:val="ff0000"/>
        </w:rPr>
      </w:r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DA-2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21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Indipendenza degli audit interni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Gli audit interni di sicurezza sono condotti da personale indipendente dall’IT operativo e i risultati vengono tracciati formalmente?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I controlli di sicurezza devono essere verificati internamente da personale indipendente rispetto a chi li gestisce operativamente (o da auditor esterni) per garantire oggettività e imparzialità.</w:t>
            </w:r>
            <w:r/>
          </w:p>
        </w:tc>
      </w:tr>
    </w:tbl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DA-3 – Reperibilità della documentazione per ispezioni ACN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DA-3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21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Reperibilità della documentazione per ispezioni ACN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L’azienda è in grado di raccogliere e fornire tutta la documentazione di sicurezza richiesta da ACN entro 48 ore in caso di ispezione?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In caso di ispezione formale da parte dell'autorità competente (ACN), l'ente deve poter esibire rapidamente evidenze documentali comprovanti le misure adottate (es. log, policy, audit report).</w:t>
            </w:r>
            <w:r/>
          </w:p>
        </w:tc>
      </w:tr>
    </w:tbl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DA-4</w:t>
      </w:r>
      <w:r>
        <w:rPr>
          <w:rFonts w:ascii="Arial" w:hAnsi="Arial" w:eastAsia="Arial" w:cs="Arial"/>
          <w:b/>
          <w:bCs/>
          <w:color w:val="0070c0"/>
          <w:sz w:val="24"/>
          <w:szCs w:val="24"/>
        </w:rPr>
        <w:t xml:space="preserve"> – </w:t>
      </w:r>
      <w:r>
        <w:rPr>
          <w:rFonts w:ascii="Arial" w:hAnsi="Arial" w:eastAsia="Arial" w:cs="Arial"/>
          <w:b/>
          <w:bCs/>
          <w:color w:val="0070c0"/>
          <w:sz w:val="24"/>
          <w:szCs w:val="24"/>
        </w:rPr>
        <w:t xml:space="preserve">Tracciamento delle non conformità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DA-4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21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Tracciamento delle non conformità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Le non conformità rilevate vengono registrate in modo strutturato con scadenza, responsabile assegnato e stato di avanzamento?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Le carenze emerse dagli audit interni, dai vulnerability assessment o da questionari di self-assessment devono essere tracciate in un registro e seguite fino alla loro risoluzione (Remediation Plan).</w:t>
            </w:r>
            <w:r/>
          </w:p>
        </w:tc>
      </w:tr>
    </w:tbl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DA-5 – Protezione della documentazione di sicurezza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DA-5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21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Protezione della documentazione di sicurezza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L’accesso in modifica alla documentazione di sicurezza è limitato a personale autorizzato e le modifiche vengono tracciate con log o controllo versione?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Documenti operativi sensibili (es. architettura di rete, password manager, piani di incident response) devono essere rigorosamente protetti da accessi non autorizzati e cifrati.</w:t>
            </w:r>
            <w:r/>
          </w:p>
        </w:tc>
      </w:tr>
    </w:tbl>
    <w:p>
      <w:pPr>
        <w:pBdr/>
        <w:spacing w:after="120" w:before="200"/>
        <w:ind/>
        <w:rPr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 xml:space="preserve">9. Gestione delle Vulnerabilità</w:t>
      </w:r>
      <w:r/>
    </w:p>
    <w:p>
      <w:pPr>
        <w:pBdr/>
        <w:spacing w:after="120" w:before="60"/>
        <w:ind/>
        <w:rPr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Riferimento normativo NIS2: 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Art. 21, par. 2  •  3 controlli</w:t>
      </w:r>
      <w:r/>
    </w:p>
    <w:p>
      <w:pPr>
        <w:pBdr/>
        <w:spacing w:after="40" w:before="120"/>
        <w:ind/>
        <w:rPr/>
      </w:pPr>
      <w:r>
        <w:rPr>
          <w:rFonts w:ascii="Arial" w:hAnsi="Arial"/>
          <w:b/>
          <w:i w:val="0"/>
          <w:color w:val="444444"/>
          <w:sz w:val="20"/>
        </w:rPr>
        <w:t xml:space="preserve">Stato obbligatorio: </w:t>
      </w:r>
      <w:r>
        <w:rPr>
          <w:rFonts w:ascii="Arial" w:hAnsi="Arial"/>
          <w:b w:val="0"/>
          <w:i w:val="0"/>
          <w:color w:val="444444"/>
          <w:sz w:val="20"/>
        </w:rPr>
        <w:t xml:space="preserve">Obbligatorio - Art. 21, par. 2, lett. e): gestione e divulgazione delle vulnerabilita come misura minima vincolante. Patch management confermato obbligatorio dal Reg. UE 2024/2690.</w:t>
      </w:r>
      <w:r/>
    </w:p>
    <w:p>
      <w:pPr>
        <w:pBdr/>
        <w:spacing w:after="160" w:before="40"/>
        <w:ind/>
        <w:rPr/>
      </w:pPr>
      <w:r>
        <w:rPr>
          <w:rFonts w:ascii="Arial" w:hAnsi="Arial"/>
          <w:b/>
          <w:color w:val="444444"/>
          <w:sz w:val="20"/>
        </w:rPr>
        <w:t xml:space="preserve">Riferimento ufficiale: </w:t>
      </w:r>
      <w:hyperlink r:id="rId20" w:tooltip="https://eur-lex.europa.eu/legal-content/IT/TXT/HTML/?uri=CELEX:32022L2555#d1e3352-80-1" w:history="1">
        <w:r>
          <w:rPr>
            <w:rFonts w:ascii="Arial" w:hAnsi="Arial"/>
            <w:color w:val="0563c1"/>
            <w:sz w:val="20"/>
            <w:szCs w:val="20"/>
            <w:u w:val="single"/>
          </w:rPr>
          <w:t xml:space="preserve">Direttiva (UE) 2022/2555 - Art. 21, par. 2, lett. e) (Gestione e divulgazione delle vulnerabilita)</w:t>
        </w:r>
      </w:hyperlink>
      <w:r/>
      <w:r/>
    </w:p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VU-1 – Processo di applicazione delle patch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VU-1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21, par. 2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Processo di applicazione delle patch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Esiste un processo regolare e documentato per l’applicazione degli aggiornamenti di sicurezza, con criteri di priorità e tempistiche definite?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Le vulnerabilità note (CVE) devono essere mitigate tempestivamente tramite un processo strutturato di patching e vulnerability management, dando priorità assoluta ai sistemi esposti su internet.</w:t>
            </w:r>
            <w:r/>
          </w:p>
        </w:tc>
      </w:tr>
    </w:tbl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VU-2 – Scansioni periodiche delle vulnerabilità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VU-2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21, par. 2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Scansioni periodiche delle vulnerabilità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Vengono effettuate scansioni periodiche delle vulnerabilità sui sistemi critici, con un processo definito per l’analisi e la gestione dei risultati?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È raccomandato l'utilizzo di scanner di vulnerabilità automatizzati per individuare e mappare falle nei sistemi e nei servizi esposti prima che possano essere sfruttate da attaccanti.</w:t>
            </w:r>
            <w:r/>
          </w:p>
        </w:tc>
      </w:tr>
    </w:tbl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VU-3 – Canale di ricezione degli avvisi di sicurezza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VU-3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21, par. 2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Canale di ricezione degli avvisi di sicurezza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L’azienda dispone di un canale attivo per ricevere avvisi su nuove vulnerabilità critiche (es. CERT-AgID, ENISA, vendor)?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L'ente deve monitorare attivamente bollettini di sicurezza, feed di Threat Intelligence o gli avvisi del CSIRT Italia per reagire prontamente a vulnerabilità emergenti (es. zero-day).</w:t>
            </w:r>
            <w:r/>
          </w:p>
        </w:tc>
      </w:tr>
    </w:tbl>
    <w:p>
      <w:pPr>
        <w:pBdr/>
        <w:spacing w:after="120" w:before="200"/>
        <w:ind/>
        <w:rPr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 xml:space="preserve">10. Monitoraggio &amp; Rilevamento</w:t>
      </w:r>
      <w:r/>
    </w:p>
    <w:p>
      <w:pPr>
        <w:pBdr/>
        <w:spacing w:after="120" w:before="60"/>
        <w:ind/>
        <w:rPr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Riferimento normativo NIS2: 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Art. 21, par. 2, lett. b  •  3 controlli</w:t>
      </w:r>
      <w:r/>
    </w:p>
    <w:p>
      <w:pPr>
        <w:pBdr/>
        <w:spacing w:after="40" w:before="120"/>
        <w:ind/>
        <w:rPr/>
      </w:pPr>
      <w:r>
        <w:rPr>
          <w:rFonts w:ascii="Arial" w:hAnsi="Arial"/>
          <w:b/>
          <w:i w:val="0"/>
          <w:color w:val="444444"/>
          <w:sz w:val="20"/>
        </w:rPr>
        <w:t xml:space="preserve">Stato obbligatorio: </w:t>
      </w:r>
      <w:r>
        <w:rPr>
          <w:rFonts w:ascii="Arial" w:hAnsi="Arial"/>
          <w:b w:val="0"/>
          <w:i w:val="0"/>
          <w:color w:val="444444"/>
          <w:sz w:val="20"/>
        </w:rPr>
        <w:t xml:space="preserve">Obbligatorio - Art. 21, par. 2, lett. b): gestione incidenti (che implica la capacita di rilevamento anomalie) come misura minima. Monitoraggio specificato nel Reg. UE 2024/2690.</w:t>
      </w:r>
      <w:r/>
    </w:p>
    <w:p>
      <w:pPr>
        <w:pBdr/>
        <w:spacing w:after="160" w:before="40"/>
        <w:ind/>
        <w:rPr/>
      </w:pPr>
      <w:r>
        <w:rPr>
          <w:rFonts w:ascii="Arial" w:hAnsi="Arial"/>
          <w:b/>
          <w:color w:val="444444"/>
          <w:sz w:val="20"/>
        </w:rPr>
        <w:t xml:space="preserve">Riferimento ufficiale: </w:t>
      </w:r>
      <w:hyperlink r:id="rId21" w:tooltip="https://eur-lex.europa.eu/legal-content/IT/TXT/HTML/?uri=CELEX:32022L2555#d1e3352-80-1" w:history="1">
        <w:r>
          <w:rPr>
            <w:rFonts w:ascii="Arial" w:hAnsi="Arial"/>
            <w:color w:val="0563c1"/>
            <w:sz w:val="20"/>
            <w:szCs w:val="20"/>
            <w:u w:val="single"/>
          </w:rPr>
          <w:t xml:space="preserve">Direttiva (UE) 2022/2555 - Art. 21, par. 2, lett. b) (Gestione incidenti e capacita di rilevamento)</w:t>
        </w:r>
      </w:hyperlink>
      <w:r/>
      <w:r/>
    </w:p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MO-1 – Raccolta e conservazione dei log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MO-1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21, par. 2, lett. b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Raccolta e conservazione dei log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I log degli accessi e delle attività sui sistemi critici vengono raccolti, conservati per un periodo definito e accessibili solo a personale autorizzato?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Raccogliere log di sistema, apparati di rete, firewall e antivirus è cruciale. I log devono essere protetti da manomissione per permettere indagini forensi post-incidente.</w:t>
            </w:r>
            <w:r/>
          </w:p>
        </w:tc>
      </w:tr>
    </w:tbl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MO-2 – Rilevamento automatico di comportamenti anomali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MO-2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21, par. 2, lett. b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Rilevamento automatico di comportamenti anomali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È presente un sistema (es. SIEM) per il rilevamento di comportamenti anomali sulla rete, con un processo definito per la gestione e l’escalation degli alert?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Non basta raccogliere i log: vanno analizzati. Usare sistemi avanzati (come EDR o SIEM) permette di correlare gli eventi in tempo reale e rilevare indicatori di compromissione (IoC).</w:t>
            </w:r>
            <w:r/>
          </w:p>
        </w:tc>
      </w:tr>
    </w:tbl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MO-3 – Visibilità sui dispositivi connessi alla rete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MO-3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21, par. 2, lett. b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Visibilità sui dispositivi connessi alla rete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L’azienda dispone di strumenti per la visibilità in tempo reale dei dispositivi connessi alla rete, con capacità di rilevare dispositivi non autorizzati?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Non si può proteggere ciò che non si conosce. Serve visibilità in tempo reale sui dispositivi connessi alla rete per rilevare tempestivamente accessi non autorizzati o apparati Shadow IT.</w:t>
            </w:r>
            <w:r/>
          </w:p>
        </w:tc>
      </w:tr>
    </w:tbl>
    <w:p>
      <w:pPr>
        <w:pBdr/>
        <w:spacing w:after="120" w:before="200"/>
        <w:ind/>
        <w:rPr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 xml:space="preserve">11. Controllo degli Accessi Privilegiati</w:t>
      </w:r>
      <w:r/>
    </w:p>
    <w:p>
      <w:pPr>
        <w:pBdr/>
        <w:spacing w:after="120" w:before="60"/>
        <w:ind/>
        <w:rPr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Riferimento normativo NIS2: 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Art. 21, par. 2  •  3 controlli</w:t>
      </w:r>
      <w:r/>
    </w:p>
    <w:p>
      <w:pPr>
        <w:pBdr/>
        <w:spacing w:after="40" w:before="120"/>
        <w:ind/>
        <w:rPr/>
      </w:pPr>
      <w:r>
        <w:rPr>
          <w:rFonts w:ascii="Arial" w:hAnsi="Arial"/>
          <w:b/>
          <w:i w:val="0"/>
          <w:color w:val="444444"/>
          <w:sz w:val="20"/>
        </w:rPr>
        <w:t xml:space="preserve">Stato obbligatorio: </w:t>
      </w:r>
      <w:r>
        <w:rPr>
          <w:rFonts w:ascii="Arial" w:hAnsi="Arial"/>
          <w:b w:val="0"/>
          <w:i w:val="0"/>
          <w:color w:val="444444"/>
          <w:sz w:val="20"/>
        </w:rPr>
        <w:t xml:space="preserve">Obbligatorio - Art. 21, par. 2, lett. i): politiche di controllo degli accessi come misura minima vincolante. Gestione account privilegiati e principio del minimo privilegio sono best practice implicite.</w:t>
      </w:r>
      <w:r/>
    </w:p>
    <w:p>
      <w:pPr>
        <w:pBdr/>
        <w:spacing w:after="160" w:before="40"/>
        <w:ind/>
        <w:rPr/>
      </w:pPr>
      <w:r>
        <w:rPr>
          <w:rFonts w:ascii="Arial" w:hAnsi="Arial"/>
          <w:b/>
          <w:color w:val="444444"/>
          <w:sz w:val="20"/>
        </w:rPr>
        <w:t xml:space="preserve">Riferimento ufficiale: </w:t>
      </w:r>
      <w:hyperlink r:id="rId22" w:tooltip="https://eur-lex.europa.eu/legal-content/IT/TXT/HTML/?uri=CELEX:32022L2555#d1e3352-80-1" w:history="1">
        <w:r>
          <w:rPr>
            <w:rFonts w:ascii="Arial" w:hAnsi="Arial"/>
            <w:color w:val="0563c1"/>
            <w:sz w:val="20"/>
            <w:szCs w:val="20"/>
            <w:u w:val="single"/>
          </w:rPr>
          <w:t xml:space="preserve">Direttiva (UE) 2022/2555 - Art. 21, par. 2, lett. i) (Controllo degli accessi e gestione degli asset)</w:t>
        </w:r>
      </w:hyperlink>
      <w:r/>
      <w:r/>
    </w:p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AP-1 – Separazione degli account amministrativi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AP-1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21, par. 2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Separazione degli account amministrativi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Gli account amministrativi sui sistemi critici sono separati dagli account di uso quotidiano e assegnati solo a personale autorizzato?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L'uso di privilegi amministrativi va segregato. Gli amministratori IT non devono usare il loro account privilegiato (es. Domain Admin) per leggere email o navigare sul web.</w:t>
            </w:r>
            <w:r/>
          </w:p>
        </w:tc>
      </w:tr>
    </w:tbl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AP-2 – Gestione sicura delle credenziali privilegiate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AP-2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21, par. 2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Gestione sicura delle credenziali privilegiate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Le credenziali degli account amministrativi vengono ruotate regolarmente e conservate in modo sicuro (es. vault o password manager dedicato)?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Le password degli account di servizio o degli amministratori locali devono essere gestite in modo sicuro (es. sistemi PAM o LAPS Microsoft) e mai condivise o cablate in chiaro in script.</w:t>
            </w:r>
            <w:r/>
          </w:p>
        </w:tc>
      </w:tr>
    </w:tbl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AP-3 – Applicazione del principio del minimo privilegio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AP-3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21, par. 2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Applicazione del principio del minimo privilegio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Ogni utente ha accesso esclusivamente alle risorse necessarie per il proprio ruolo, senza permessi in eccesso (principio del minimo privilegio)?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Deve essere applicato in modo rigoroso il principio del 'Need-to-Know'. Qualsiasi utente (o sistema) deve avere accesso solo e unicamente alle risorse necessarie per compiere le proprie mansioni.</w:t>
            </w:r>
            <w:r/>
          </w:p>
        </w:tc>
      </w:tr>
    </w:tbl>
    <w:p>
      <w:pPr>
        <w:pBdr/>
        <w:spacing w:after="120" w:before="200"/>
        <w:ind/>
        <w:rPr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 xml:space="preserve">12. Protezione dei Dati</w:t>
      </w:r>
      <w:r/>
    </w:p>
    <w:p>
      <w:pPr>
        <w:pBdr/>
        <w:spacing w:after="120" w:before="60"/>
        <w:ind/>
        <w:rPr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Riferimento normativo NIS2: 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Art. 21, par. 2, lett. h  •  1 controllo</w:t>
      </w:r>
      <w:r/>
    </w:p>
    <w:p>
      <w:pPr>
        <w:pBdr/>
        <w:spacing w:after="40" w:before="120"/>
        <w:ind/>
        <w:rPr/>
      </w:pPr>
      <w:r>
        <w:rPr>
          <w:rFonts w:ascii="Arial" w:hAnsi="Arial"/>
          <w:b/>
          <w:i w:val="0"/>
          <w:color w:val="444444"/>
          <w:sz w:val="20"/>
        </w:rPr>
        <w:t xml:space="preserve">Stato obbligatorio: </w:t>
      </w:r>
      <w:r>
        <w:rPr>
          <w:rFonts w:ascii="Arial" w:hAnsi="Arial"/>
          <w:b w:val="0"/>
          <w:i w:val="0"/>
          <w:color w:val="444444"/>
          <w:sz w:val="20"/>
        </w:rPr>
        <w:t xml:space="preserve">Obbligatorio per le politiche (Art. 21, par. 2, lett. h): 'politiche e procedure relative all'uso della crittografia' come misura minima. La cifratura effettiva e condizionale ('se del caso').</w:t>
      </w:r>
      <w:r/>
    </w:p>
    <w:p>
      <w:pPr>
        <w:pBdr/>
        <w:spacing w:after="160" w:before="40"/>
        <w:ind/>
        <w:rPr/>
      </w:pPr>
      <w:r>
        <w:rPr>
          <w:rFonts w:ascii="Arial" w:hAnsi="Arial"/>
          <w:b/>
          <w:color w:val="444444"/>
          <w:sz w:val="20"/>
        </w:rPr>
        <w:t xml:space="preserve">Riferimento ufficiale: </w:t>
      </w:r>
      <w:hyperlink r:id="rId23" w:tooltip="https://eur-lex.europa.eu/legal-content/IT/TXT/HTML/?uri=CELEX:32022L2555#d1e3352-80-1" w:history="1">
        <w:r>
          <w:rPr>
            <w:rFonts w:ascii="Arial" w:hAnsi="Arial"/>
            <w:color w:val="0563c1"/>
            <w:sz w:val="20"/>
            <w:szCs w:val="20"/>
            <w:u w:val="single"/>
          </w:rPr>
          <w:t xml:space="preserve">Direttiva (UE) 2022/2555 - Art. 21, par. 2, lett. h) (Politiche di crittografia e cifratura dei dati)</w:t>
        </w:r>
      </w:hyperlink>
      <w:r/>
      <w:r/>
    </w:p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PD-1 – Cifratura dei dati a riposo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PD-1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21, par. 2, lett. h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Cifratura dei dati a riposo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I dati sensibili archiviati su database, file server e laptop aziendali sono cifrati, così da risultare inaccessibili anche in caso di furto fisico?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L'Art. 21.2(h) impone l'uso della crittografia come misura primaria per proteggere la riservatezza e l'integrità dei dati 'a riposo', specialmente su dispositivi portatili soggetti a furto o smarrimento.</w:t>
            </w:r>
            <w:r/>
          </w:p>
        </w:tc>
      </w:tr>
    </w:tbl>
    <w:p>
      <w:pPr>
        <w:pBdr/>
        <w:spacing w:after="120" w:before="200"/>
        <w:ind/>
        <w:rPr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 xml:space="preserve">13. Test di Sicurezza</w:t>
      </w:r>
      <w:r/>
    </w:p>
    <w:p>
      <w:pPr>
        <w:pBdr/>
        <w:spacing w:after="120" w:before="60"/>
        <w:ind/>
        <w:rPr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Riferimento normativo NIS2: 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Art. 21, par. 1  •  1 controllo</w:t>
      </w:r>
      <w:r/>
    </w:p>
    <w:p>
      <w:pPr>
        <w:pBdr/>
        <w:spacing w:after="40" w:before="120"/>
        <w:ind/>
        <w:rPr/>
      </w:pPr>
      <w:r>
        <w:rPr>
          <w:rFonts w:ascii="Arial" w:hAnsi="Arial"/>
          <w:b/>
          <w:i w:val="0"/>
          <w:color w:val="444444"/>
          <w:sz w:val="20"/>
        </w:rPr>
        <w:t xml:space="preserve">Stato obbligatorio: </w:t>
      </w:r>
      <w:r>
        <w:rPr>
          <w:rFonts w:ascii="Arial" w:hAnsi="Arial"/>
          <w:b w:val="0"/>
          <w:i w:val="0"/>
          <w:color w:val="444444"/>
          <w:sz w:val="20"/>
        </w:rPr>
        <w:t xml:space="preserve">Obbligatorio - Art. 21, par. 2, lett. a): politiche di analisi dei rischi come misura minima vincolante. Approccio multirischio esplicitamente richiesto dal cappello del par. 2.</w:t>
      </w:r>
      <w:r/>
    </w:p>
    <w:p>
      <w:pPr>
        <w:pBdr/>
        <w:spacing w:after="160" w:before="40"/>
        <w:ind/>
        <w:rPr/>
      </w:pPr>
      <w:r>
        <w:rPr>
          <w:rFonts w:ascii="Arial" w:hAnsi="Arial"/>
          <w:b/>
          <w:color w:val="444444"/>
          <w:sz w:val="20"/>
        </w:rPr>
        <w:t xml:space="preserve">Riferimento ufficiale: </w:t>
      </w:r>
      <w:hyperlink r:id="rId24" w:tooltip="https://eur-lex.europa.eu/legal-content/IT/TXT/HTML/?uri=CELEX:32022L2555#d1e3352-80-1" w:history="1">
        <w:r>
          <w:rPr>
            <w:rFonts w:ascii="Arial" w:hAnsi="Arial"/>
            <w:color w:val="0563c1"/>
            <w:sz w:val="20"/>
            <w:szCs w:val="20"/>
            <w:u w:val="single"/>
          </w:rPr>
          <w:t xml:space="preserve">Direttiva (UE) 2022/2555 - Art. 21, par. 2, lett. a) (Analisi dei rischi e sicurezza dei sistemi)</w:t>
        </w:r>
      </w:hyperlink>
      <w:r/>
      <w:r/>
    </w:p>
    <w:p>
      <w:pPr>
        <w:pBdr/>
        <w:spacing w:after="80" w:before="280"/>
        <w:ind/>
        <w:rPr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TS-1 – Penetration test sui sistemi critici</w:t>
      </w:r>
      <w:r/>
    </w:p>
    <w:tbl>
      <w:tblPr>
        <w:tblW w:w="9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75"/>
      </w:tblGrid>
      <w:tr>
        <w:trPr/>
        <w:tc>
          <w:tcPr>
            <w:shd w:val="clear" w:color="auto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 xml:space="preserve">TS-1 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 xml:space="preserve">Art. 21, par. 1  </w:t>
            </w: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Penetration test sui sistemi critici</w:t>
            </w:r>
            <w:r/>
          </w:p>
          <w:p>
            <w:pPr>
              <w:pBdr/>
              <w:spacing w:after="6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</w:rPr>
              <w:t xml:space="preserve">Domanda: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È stato eseguito almeno un penetration test sui sistemi critici nell’ultimo anno, con risultati documentati e azioni correttive pianificate?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Conforme: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Sì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No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Parziale    </w:t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rFonts w:ascii="Arial" w:hAnsi="Arial" w:eastAsia="Arial" w:cs="Arial"/>
                <w:sz w:val="20"/>
                <w:szCs w:val="20"/>
              </w:rPr>
              <w:t xml:space="preserve"> N/A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975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Note / Evidenze: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9975" w:type="dxa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/>
                <w:b/>
                <w:i w:val="0"/>
                <w:color w:val="555555"/>
                <w:sz w:val="20"/>
              </w:rPr>
            </w:r>
            <w:r>
              <w:rPr>
                <w:rFonts w:ascii="Arial" w:hAnsi="Arial"/>
                <w:b/>
                <w:i w:val="0"/>
                <w:color w:val="555555"/>
                <w:sz w:val="20"/>
                <w:lang w:val="it-IT"/>
              </w:rPr>
              <w:t xml:space="preserve">Requisito normativo</w:t>
            </w:r>
            <w:r>
              <w:rPr>
                <w:rFonts w:ascii="Arial" w:hAnsi="Arial"/>
                <w:b/>
                <w:i w:val="0"/>
                <w:color w:val="555555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/>
                <w:color w:val="555555"/>
                <w:sz w:val="18"/>
              </w:rPr>
              <w:t xml:space="preserve">L'Art. 21.2(f) richiede la valutazione regolare dell'efficacia delle misure di gestione dei rischi. Un Penetration Test periodico simula un vero attacco per scovare vulnerabilità sfruttabili.</w:t>
            </w:r>
            <w:r/>
          </w:p>
        </w:tc>
      </w:tr>
    </w:tbl>
    <w:p w14:paraId="71339043">
      <w:pPr>
        <w:pStyle w:val="906"/>
        <w:pBdr/>
        <w:spacing w:after="120" w:before="200"/>
        <w:ind/>
        <w:rPr/>
      </w:pP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/>
    </w:p>
    <w:p w14:paraId="27408EA1">
      <w:pPr>
        <w:pStyle w:val="906"/>
        <w:pBdr/>
        <w:spacing w:after="120" w:before="200"/>
        <w:ind/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</w:p>
    <w:p w14:paraId="7CA24AFB">
      <w:pPr>
        <w:pStyle w:val="906"/>
        <w:pBdr/>
        <w:spacing w:after="120" w:before="200"/>
        <w:ind/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 xml:space="preserve">Riepilogo Valutazione</w:t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28"/>
          <w:szCs w:val="28"/>
          <w:highlight w:val="none"/>
        </w:rPr>
      </w:r>
    </w:p>
    <w:p w14:paraId="62A197B4">
      <w:pPr>
        <w:pBdr/>
        <w:spacing w:after="60" w:before="60"/>
        <w:ind/>
        <w:jc w:val="left"/>
        <w:rPr/>
      </w:pPr>
      <w:r>
        <w:rPr>
          <w:rFonts w:ascii="Arial" w:hAnsi="Arial" w:eastAsia="Arial" w:cs="Arial"/>
          <w:b w:val="0"/>
          <w:bCs w:val="0"/>
          <w:i/>
          <w:iCs/>
          <w:color w:val="555555"/>
          <w:sz w:val="20"/>
          <w:szCs w:val="20"/>
        </w:rPr>
        <w:t xml:space="preserve">Compilare la tabella di riepilogo al termine dell'audit, conteggiando le risposte per ciascuna categoria.</w:t>
      </w:r>
      <w:r/>
    </w:p>
    <w:p w14:paraId="71AB1FDF">
      <w:pPr>
        <w:pBdr/>
        <w:spacing w:after="60" w:before="60"/>
        <w:ind/>
        <w:rPr/>
      </w:pPr>
      <w:r/>
      <w:r/>
    </w:p>
    <w:tbl>
      <w:tblPr>
        <w:tblW w:w="90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200"/>
        <w:gridCol w:w="1400"/>
        <w:gridCol w:w="1400"/>
        <w:gridCol w:w="1536"/>
        <w:gridCol w:w="1536"/>
      </w:tblGrid>
      <w:tr>
        <w:trPr>
          <w:tblHeader/>
        </w:trPr>
        <w:tc>
          <w:tcPr>
            <w:shd w:val="clear" w:color="auto" w:fill="1f3864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32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Categoria</w:t>
            </w:r>
            <w:r/>
          </w:p>
        </w:tc>
        <w:tc>
          <w:tcPr>
            <w:shd w:val="clear" w:color="auto" w:fill="1f3864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14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Sì</w:t>
            </w:r>
            <w:r/>
          </w:p>
        </w:tc>
        <w:tc>
          <w:tcPr>
            <w:shd w:val="clear" w:color="auto" w:fill="1f3864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14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No</w:t>
            </w:r>
            <w:r/>
          </w:p>
        </w:tc>
        <w:tc>
          <w:tcPr>
            <w:shd w:val="clear" w:color="auto" w:fill="1f3864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1536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Parziale</w:t>
            </w:r>
            <w:r/>
          </w:p>
        </w:tc>
        <w:tc>
          <w:tcPr>
            <w:shd w:val="clear" w:color="auto" w:fill="1f3864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1536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N/A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32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GR – Governance e Responsabilità</w:t>
            </w:r>
            <w:r/>
          </w:p>
        </w:tc>
        <w:tc>
          <w:tcPr>
            <w:shd w:val="clear" w:color="auto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14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  <w:tc>
          <w:tcPr>
            <w:shd w:val="clear" w:color="auto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14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  <w:tc>
          <w:tcPr>
            <w:shd w:val="clear" w:color="auto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1536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  <w:tc>
          <w:tcPr>
            <w:shd w:val="clear" w:color="auto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1536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32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RI – Gestione del Rischio</w:t>
            </w:r>
            <w:r/>
          </w:p>
        </w:tc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14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14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1536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1536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32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TO – Sicurezza Tecnologica e Operativa</w:t>
            </w:r>
            <w:r/>
          </w:p>
        </w:tc>
        <w:tc>
          <w:tcPr>
            <w:shd w:val="clear" w:color="auto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14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  <w:tc>
          <w:tcPr>
            <w:shd w:val="clear" w:color="auto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14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  <w:tc>
          <w:tcPr>
            <w:shd w:val="clear" w:color="auto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1536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  <w:tc>
          <w:tcPr>
            <w:shd w:val="clear" w:color="auto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1536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32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IN – Gestione degli Incidenti</w:t>
            </w:r>
            <w:r/>
          </w:p>
        </w:tc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14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14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1536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1536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32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SC – Sicurezza della Supply Chain</w:t>
            </w:r>
            <w:r/>
          </w:p>
        </w:tc>
        <w:tc>
          <w:tcPr>
            <w:shd w:val="clear" w:color="auto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14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  <w:tc>
          <w:tcPr>
            <w:shd w:val="clear" w:color="auto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14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  <w:tc>
          <w:tcPr>
            <w:shd w:val="clear" w:color="auto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1536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  <w:tc>
          <w:tcPr>
            <w:shd w:val="clear" w:color="auto" w:fill="d6e4f0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1536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CO – Continuità Operativa e Disaster Recovery</w:t>
            </w:r>
            <w:r/>
          </w:p>
        </w:tc>
        <w:tc>
          <w:tcPr>
            <w:shd w:val="clear" w:color="auto" w:fill="ffffff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  <w:tc>
          <w:tcPr>
            <w:shd w:val="clear" w:color="auto" w:fill="ffffff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  <w:tc>
          <w:tcPr>
            <w:shd w:val="clear" w:color="auto" w:fill="ffffff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53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  <w:tc>
          <w:tcPr>
            <w:shd w:val="clear" w:color="auto" w:fill="ffffff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53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</w:tr>
      <w:tr>
        <w:trPr/>
        <w:tc>
          <w:tcPr>
            <w:shd w:val="clear" w:color="auto" w:fill="d6e4f0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FO – Formazione e Sensibilizzazione</w:t>
            </w:r>
            <w:r/>
          </w:p>
        </w:tc>
        <w:tc>
          <w:tcPr>
            <w:shd w:val="clear" w:color="auto" w:fill="d6e4f0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  <w:tc>
          <w:tcPr>
            <w:shd w:val="clear" w:color="auto" w:fill="d6e4f0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  <w:tc>
          <w:tcPr>
            <w:shd w:val="clear" w:color="auto" w:fill="d6e4f0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53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  <w:tc>
          <w:tcPr>
            <w:shd w:val="clear" w:color="auto" w:fill="d6e4f0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53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DA – Documentazione e Audit</w:t>
            </w:r>
            <w:r/>
          </w:p>
        </w:tc>
        <w:tc>
          <w:tcPr>
            <w:shd w:val="clear" w:color="auto" w:fill="ffffff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  <w:tc>
          <w:tcPr>
            <w:shd w:val="clear" w:color="auto" w:fill="ffffff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  <w:tc>
          <w:tcPr>
            <w:shd w:val="clear" w:color="auto" w:fill="ffffff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53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  <w:tc>
          <w:tcPr>
            <w:shd w:val="clear" w:color="auto" w:fill="ffffff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53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</w:tr>
      <w:tr>
        <w:trPr/>
        <w:tc>
          <w:tcPr>
            <w:shd w:val="clear" w:color="auto" w:fill="d6e4f0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VU – Gestione delle Vulnerabilità</w:t>
            </w:r>
            <w:r/>
          </w:p>
        </w:tc>
        <w:tc>
          <w:tcPr>
            <w:shd w:val="clear" w:color="auto" w:fill="d6e4f0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  <w:tc>
          <w:tcPr>
            <w:shd w:val="clear" w:color="auto" w:fill="d6e4f0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  <w:tc>
          <w:tcPr>
            <w:shd w:val="clear" w:color="auto" w:fill="d6e4f0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53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  <w:tc>
          <w:tcPr>
            <w:shd w:val="clear" w:color="auto" w:fill="d6e4f0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53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MO – Monitoraggio e Rilevamento</w:t>
            </w:r>
            <w:r/>
          </w:p>
        </w:tc>
        <w:tc>
          <w:tcPr>
            <w:shd w:val="clear" w:color="auto" w:fill="ffffff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  <w:tc>
          <w:tcPr>
            <w:shd w:val="clear" w:color="auto" w:fill="ffffff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  <w:tc>
          <w:tcPr>
            <w:shd w:val="clear" w:color="auto" w:fill="ffffff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53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  <w:tc>
          <w:tcPr>
            <w:shd w:val="clear" w:color="auto" w:fill="ffffff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53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</w:tr>
      <w:tr>
        <w:trPr/>
        <w:tc>
          <w:tcPr>
            <w:shd w:val="clear" w:color="auto" w:fill="d6e4f0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AP – Gestione degli Accessi e Privilegi</w:t>
            </w:r>
            <w:r/>
          </w:p>
        </w:tc>
        <w:tc>
          <w:tcPr>
            <w:shd w:val="clear" w:color="auto" w:fill="d6e4f0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  <w:tc>
          <w:tcPr>
            <w:shd w:val="clear" w:color="auto" w:fill="d6e4f0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  <w:tc>
          <w:tcPr>
            <w:shd w:val="clear" w:color="auto" w:fill="d6e4f0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53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  <w:tc>
          <w:tcPr>
            <w:shd w:val="clear" w:color="auto" w:fill="d6e4f0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53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PD – Protezione dei Dati</w:t>
            </w:r>
            <w:r/>
          </w:p>
        </w:tc>
        <w:tc>
          <w:tcPr>
            <w:shd w:val="clear" w:color="auto" w:fill="ffffff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  <w:tc>
          <w:tcPr>
            <w:shd w:val="clear" w:color="auto" w:fill="ffffff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  <w:tc>
          <w:tcPr>
            <w:shd w:val="clear" w:color="auto" w:fill="ffffff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53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  <w:tc>
          <w:tcPr>
            <w:shd w:val="clear" w:color="auto" w:fill="ffffff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53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</w:tr>
      <w:tr>
        <w:trPr/>
        <w:tc>
          <w:tcPr>
            <w:shd w:val="clear" w:color="auto" w:fill="d6e4f0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color w:val="000000"/>
                <w:sz w:val="20"/>
              </w:rPr>
              <w:t xml:space="preserve">TS – Test di Sicurezza</w:t>
            </w:r>
            <w:r/>
          </w:p>
        </w:tc>
        <w:tc>
          <w:tcPr>
            <w:shd w:val="clear" w:color="auto" w:fill="d6e4f0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  <w:tc>
          <w:tcPr>
            <w:shd w:val="clear" w:color="auto" w:fill="d6e4f0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  <w:tc>
          <w:tcPr>
            <w:shd w:val="clear" w:color="auto" w:fill="d6e4f0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53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  <w:tc>
          <w:tcPr>
            <w:shd w:val="clear" w:color="auto" w:fill="d6e4f0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53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000000"/>
                <w:sz w:val="20"/>
              </w:rPr>
            </w:r>
            <w:r/>
          </w:p>
        </w:tc>
      </w:tr>
      <w:tr>
        <w:trPr/>
        <w:tc>
          <w:tcPr>
            <w:shd w:val="clear" w:color="auto" w:fill="2e75b6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TOTALE</w:t>
            </w:r>
            <w:r/>
          </w:p>
        </w:tc>
        <w:tc>
          <w:tcPr>
            <w:shd w:val="clear" w:color="auto" w:fill="2e75b6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ffffff"/>
                <w:sz w:val="20"/>
              </w:rPr>
            </w:r>
            <w:r/>
          </w:p>
        </w:tc>
        <w:tc>
          <w:tcPr>
            <w:shd w:val="clear" w:color="auto" w:fill="2e75b6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ffffff"/>
                <w:sz w:val="20"/>
              </w:rPr>
            </w:r>
            <w:r/>
          </w:p>
        </w:tc>
        <w:tc>
          <w:tcPr>
            <w:shd w:val="clear" w:color="auto" w:fill="2e75b6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53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ffffff"/>
                <w:sz w:val="20"/>
              </w:rPr>
            </w:r>
            <w:r/>
          </w:p>
        </w:tc>
        <w:tc>
          <w:tcPr>
            <w:shd w:val="clear" w:color="auto" w:fill="2e75b6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53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color w:val="ffffff"/>
                <w:sz w:val="20"/>
              </w:rPr>
            </w:r>
            <w:r/>
          </w:p>
        </w:tc>
      </w:tr>
    </w:tbl>
    <w:p w14:paraId="6741E85A">
      <w:pPr>
        <w:pBdr/>
        <w:spacing w:after="60" w:before="240"/>
        <w:ind/>
        <w:rPr/>
      </w:pPr>
      <w:r/>
      <w:r/>
    </w:p>
    <w:tbl>
      <w:tblPr>
        <w:tblW w:w="90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9072"/>
      </w:tblGrid>
      <w:tr>
        <w:trPr/>
        <w:tc>
          <w:tcPr>
            <w:shd w:val="clear" w:color="ffffff" w:fill="d6e4f0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72" w:type="dxa"/>
            <w:vAlign w:val="top"/>
          </w:tcPr>
          <w:p w14:paraId="21935FE0">
            <w:pPr>
              <w:pBdr/>
              <w:spacing w:after="6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20"/>
                <w:szCs w:val="20"/>
              </w:rPr>
              <w:t xml:space="preserve">Valutazione complessiva</w:t>
            </w:r>
            <w:r/>
          </w:p>
          <w:p w14:paraId="4CC8A9B7"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 w14:paraId="6E1B8506"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  <w:p w14:paraId="4A8B45D0"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bfbfbf"/>
                <w:sz w:val="18"/>
                <w:szCs w:val="18"/>
              </w:rPr>
              <w:t xml:space="preserve">_______________________________________________</w:t>
            </w:r>
            <w:r/>
          </w:p>
        </w:tc>
      </w:tr>
      <w:tr>
        <w:trPr/>
        <w:tc>
          <w:tcPr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9072" w:type="dxa"/>
          </w:tcPr>
          <w:p w14:paraId="350CAE62"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</w: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Data: </w:t>
            </w:r>
            <w:r>
              <w:rPr>
                <w:rFonts w:ascii="Arial" w:hAnsi="Arial" w:eastAsia="Arial" w:cs="Arial"/>
                <w:color w:val="bfbfbf"/>
                <w:sz w:val="20"/>
                <w:szCs w:val="20"/>
              </w:rPr>
              <w:t xml:space="preserve">____________</w:t>
            </w:r>
            <w:r/>
          </w:p>
          <w:p w14:paraId="11C145D4"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 xml:space="preserve">Versione documento: </w:t>
            </w:r>
            <w:r>
              <w:rPr>
                <w:rFonts w:ascii="Arial" w:hAnsi="Arial" w:eastAsia="Arial" w:cs="Arial"/>
                <w:sz w:val="20"/>
                <w:szCs w:val="20"/>
                <w:lang w:val="it-IT"/>
              </w:rPr>
              <w:t xml:space="preserve">1.3</w:t>
            </w:r>
            <w:r>
              <w:rPr>
                <w:rFonts w:ascii="Arial" w:hAnsi="Arial" w:eastAsia="Arial" w:cs="Arial"/>
                <w:color w:val="bfbfbf"/>
                <w:sz w:val="20"/>
                <w:szCs w:val="20"/>
              </w:rPr>
            </w:r>
            <w:r/>
          </w:p>
        </w:tc>
      </w:tr>
    </w:tbl>
    <w:p>
      <w:pPr>
        <w:pBdr/>
        <w:spacing w:after="80" w:before="200"/>
        <w:ind/>
        <w:rPr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080" w:right="1080" w:bottom="1080" w:left="108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S Gothic">
    <w:panose1 w:val="020B060907020508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2e75b6" w:sz="6" w:space="1"/>
      </w:pBdr>
      <w:spacing w:after="0" w:before="80"/>
      <w:ind/>
      <w:jc w:val="center"/>
      <w:rPr/>
    </w:pPr>
    <w:r>
      <w:rPr>
        <w:rFonts w:ascii="Arial" w:hAnsi="Arial" w:eastAsia="Arial" w:cs="Arial"/>
        <w:color w:val="555555"/>
        <w:sz w:val="18"/>
        <w:szCs w:val="18"/>
      </w:rPr>
      <w:t xml:space="preserve">Pagina </w:t>
    </w:r>
    <w:r>
      <w:rPr>
        <w:rFonts w:ascii="Arial" w:hAnsi="Arial" w:eastAsia="Arial" w:cs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 w:eastAsia="Arial" w:cs="Arial"/>
        <w:color w:val="555555"/>
        <w:sz w:val="18"/>
        <w:szCs w:val="18"/>
      </w:rPr>
      <w:t xml:space="preserve"> di </w:t>
    </w:r>
    <w:r>
      <w:rPr>
        <w:rFonts w:ascii="Arial" w:hAnsi="Arial" w:eastAsia="Arial" w:cs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hAnsi="Arial" w:eastAsia="Arial" w:cs="Arial"/>
        <w:color w:val="bfbfbf"/>
        <w:sz w:val="18"/>
        <w:szCs w:val="18"/>
      </w:rPr>
      <w:t xml:space="preserve">   |   NIS2 – Direttiva UE 2022/2555   |   Uso riservato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2e75b6" w:sz="6" w:space="1"/>
      </w:pBdr>
      <w:spacing w:after="100" w:before="0"/>
      <w:ind/>
      <w:jc w:val="right"/>
      <w:rPr/>
    </w:pPr>
    <w:r>
      <w:rPr>
        <w:rFonts w:ascii="Arial" w:hAnsi="Arial" w:eastAsia="Arial" w:cs="Arial"/>
        <w:i/>
        <w:iCs/>
        <w:color w:val="555555"/>
        <w:sz w:val="18"/>
        <w:szCs w:val="18"/>
      </w:rPr>
      <w:t xml:space="preserve">Questionario di Verifica NIS2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nsid w:val="2CC0C51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6F3D6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Table Grid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Table Grid Light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1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2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1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2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3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4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5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6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1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2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3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4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5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6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1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2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3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4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5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6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8" w:default="1">
    <w:name w:val="Normal"/>
    <w:qFormat/>
    <w:pPr>
      <w:pBdr/>
      <w:spacing/>
      <w:ind/>
    </w:pPr>
  </w:style>
  <w:style w:type="paragraph" w:styleId="859">
    <w:name w:val="Heading 7"/>
    <w:basedOn w:val="858"/>
    <w:next w:val="858"/>
    <w:link w:val="87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0">
    <w:name w:val="Heading 8"/>
    <w:basedOn w:val="858"/>
    <w:next w:val="858"/>
    <w:link w:val="87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1">
    <w:name w:val="Heading 9"/>
    <w:basedOn w:val="858"/>
    <w:next w:val="858"/>
    <w:link w:val="87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2" w:default="1">
    <w:name w:val="Default Paragraph Font"/>
    <w:uiPriority w:val="1"/>
    <w:semiHidden/>
    <w:unhideWhenUsed/>
    <w:pPr>
      <w:pBdr/>
      <w:spacing/>
      <w:ind/>
    </w:pPr>
  </w:style>
  <w:style w:type="numbering" w:styleId="863" w:default="1">
    <w:name w:val="No List"/>
    <w:uiPriority w:val="99"/>
    <w:semiHidden/>
    <w:unhideWhenUsed/>
    <w:pPr>
      <w:pBdr/>
      <w:spacing/>
      <w:ind/>
    </w:pPr>
  </w:style>
  <w:style w:type="character" w:styleId="864">
    <w:name w:val="Heading 1 Char"/>
    <w:basedOn w:val="862"/>
    <w:link w:val="9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5">
    <w:name w:val="Heading 2 Char"/>
    <w:basedOn w:val="862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6">
    <w:name w:val="Heading 3 Char"/>
    <w:basedOn w:val="862"/>
    <w:link w:val="9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7">
    <w:name w:val="Heading 4 Char"/>
    <w:basedOn w:val="862"/>
    <w:link w:val="9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8">
    <w:name w:val="Heading 5 Char"/>
    <w:basedOn w:val="862"/>
    <w:link w:val="9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9">
    <w:name w:val="Heading 6 Char"/>
    <w:basedOn w:val="862"/>
    <w:link w:val="9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0">
    <w:name w:val="Heading 7 Char"/>
    <w:basedOn w:val="862"/>
    <w:link w:val="85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1">
    <w:name w:val="Heading 8 Char"/>
    <w:basedOn w:val="862"/>
    <w:link w:val="86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2">
    <w:name w:val="Heading 9 Char"/>
    <w:basedOn w:val="862"/>
    <w:link w:val="8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3">
    <w:name w:val="Title Char"/>
    <w:basedOn w:val="862"/>
    <w:link w:val="9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4">
    <w:name w:val="Subtitle"/>
    <w:basedOn w:val="858"/>
    <w:next w:val="858"/>
    <w:link w:val="87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5">
    <w:name w:val="Subtitle Char"/>
    <w:basedOn w:val="862"/>
    <w:link w:val="87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6">
    <w:name w:val="Quote"/>
    <w:basedOn w:val="858"/>
    <w:next w:val="858"/>
    <w:link w:val="87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7">
    <w:name w:val="Quote Char"/>
    <w:basedOn w:val="862"/>
    <w:link w:val="87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Intense Emphasis"/>
    <w:basedOn w:val="86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9">
    <w:name w:val="Intense Quote"/>
    <w:basedOn w:val="858"/>
    <w:next w:val="858"/>
    <w:link w:val="88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0">
    <w:name w:val="Intense Quote Char"/>
    <w:basedOn w:val="862"/>
    <w:link w:val="87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1">
    <w:name w:val="Intense Reference"/>
    <w:basedOn w:val="86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2">
    <w:name w:val="No Spacing"/>
    <w:basedOn w:val="858"/>
    <w:uiPriority w:val="1"/>
    <w:qFormat/>
    <w:pPr>
      <w:pBdr/>
      <w:spacing w:after="0" w:line="240" w:lineRule="auto"/>
      <w:ind/>
    </w:pPr>
  </w:style>
  <w:style w:type="character" w:styleId="883">
    <w:name w:val="Subtle Emphasis"/>
    <w:basedOn w:val="8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Emphasis"/>
    <w:basedOn w:val="862"/>
    <w:uiPriority w:val="20"/>
    <w:qFormat/>
    <w:pPr>
      <w:pBdr/>
      <w:spacing/>
      <w:ind/>
    </w:pPr>
    <w:rPr>
      <w:i/>
      <w:iCs/>
    </w:rPr>
  </w:style>
  <w:style w:type="character" w:styleId="885">
    <w:name w:val="Subtle Reference"/>
    <w:basedOn w:val="8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6">
    <w:name w:val="Book Title"/>
    <w:basedOn w:val="86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7">
    <w:name w:val="Header"/>
    <w:basedOn w:val="858"/>
    <w:link w:val="88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8">
    <w:name w:val="Header Char"/>
    <w:basedOn w:val="862"/>
    <w:link w:val="887"/>
    <w:uiPriority w:val="99"/>
    <w:pPr>
      <w:pBdr/>
      <w:spacing/>
      <w:ind/>
    </w:pPr>
  </w:style>
  <w:style w:type="paragraph" w:styleId="889">
    <w:name w:val="Footer"/>
    <w:basedOn w:val="858"/>
    <w:link w:val="89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0">
    <w:name w:val="Footer Char"/>
    <w:basedOn w:val="862"/>
    <w:link w:val="889"/>
    <w:uiPriority w:val="99"/>
    <w:pPr>
      <w:pBdr/>
      <w:spacing/>
      <w:ind/>
    </w:pPr>
  </w:style>
  <w:style w:type="paragraph" w:styleId="891">
    <w:name w:val="Caption"/>
    <w:basedOn w:val="858"/>
    <w:next w:val="85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92">
    <w:name w:val="FollowedHyperlink"/>
    <w:basedOn w:val="8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3">
    <w:name w:val="toc 1"/>
    <w:basedOn w:val="858"/>
    <w:next w:val="858"/>
    <w:uiPriority w:val="39"/>
    <w:unhideWhenUsed/>
    <w:pPr>
      <w:pBdr/>
      <w:spacing w:after="100"/>
      <w:ind/>
    </w:pPr>
  </w:style>
  <w:style w:type="paragraph" w:styleId="894">
    <w:name w:val="toc 2"/>
    <w:basedOn w:val="858"/>
    <w:next w:val="858"/>
    <w:uiPriority w:val="39"/>
    <w:unhideWhenUsed/>
    <w:pPr>
      <w:pBdr/>
      <w:spacing w:after="100"/>
      <w:ind w:left="220"/>
    </w:pPr>
  </w:style>
  <w:style w:type="paragraph" w:styleId="895">
    <w:name w:val="toc 3"/>
    <w:basedOn w:val="858"/>
    <w:next w:val="858"/>
    <w:uiPriority w:val="39"/>
    <w:unhideWhenUsed/>
    <w:pPr>
      <w:pBdr/>
      <w:spacing w:after="100"/>
      <w:ind w:left="440"/>
    </w:pPr>
  </w:style>
  <w:style w:type="paragraph" w:styleId="896">
    <w:name w:val="toc 4"/>
    <w:basedOn w:val="858"/>
    <w:next w:val="858"/>
    <w:uiPriority w:val="39"/>
    <w:unhideWhenUsed/>
    <w:pPr>
      <w:pBdr/>
      <w:spacing w:after="100"/>
      <w:ind w:left="660"/>
    </w:pPr>
  </w:style>
  <w:style w:type="paragraph" w:styleId="897">
    <w:name w:val="toc 5"/>
    <w:basedOn w:val="858"/>
    <w:next w:val="858"/>
    <w:uiPriority w:val="39"/>
    <w:unhideWhenUsed/>
    <w:pPr>
      <w:pBdr/>
      <w:spacing w:after="100"/>
      <w:ind w:left="880"/>
    </w:pPr>
  </w:style>
  <w:style w:type="paragraph" w:styleId="898">
    <w:name w:val="toc 6"/>
    <w:basedOn w:val="858"/>
    <w:next w:val="858"/>
    <w:uiPriority w:val="39"/>
    <w:unhideWhenUsed/>
    <w:pPr>
      <w:pBdr/>
      <w:spacing w:after="100"/>
      <w:ind w:left="1100"/>
    </w:pPr>
  </w:style>
  <w:style w:type="paragraph" w:styleId="899">
    <w:name w:val="toc 7"/>
    <w:basedOn w:val="858"/>
    <w:next w:val="858"/>
    <w:uiPriority w:val="39"/>
    <w:unhideWhenUsed/>
    <w:pPr>
      <w:pBdr/>
      <w:spacing w:after="100"/>
      <w:ind w:left="1320"/>
    </w:pPr>
  </w:style>
  <w:style w:type="paragraph" w:styleId="900">
    <w:name w:val="toc 8"/>
    <w:basedOn w:val="858"/>
    <w:next w:val="858"/>
    <w:uiPriority w:val="39"/>
    <w:unhideWhenUsed/>
    <w:pPr>
      <w:pBdr/>
      <w:spacing w:after="100"/>
      <w:ind w:left="1540"/>
    </w:pPr>
  </w:style>
  <w:style w:type="paragraph" w:styleId="901">
    <w:name w:val="toc 9"/>
    <w:basedOn w:val="858"/>
    <w:next w:val="858"/>
    <w:uiPriority w:val="39"/>
    <w:unhideWhenUsed/>
    <w:pPr>
      <w:pBdr/>
      <w:spacing w:after="100"/>
      <w:ind w:left="1760"/>
    </w:pPr>
  </w:style>
  <w:style w:type="character" w:styleId="902">
    <w:name w:val="Placeholder Text"/>
    <w:basedOn w:val="862"/>
    <w:uiPriority w:val="99"/>
    <w:semiHidden/>
    <w:pPr>
      <w:pBdr/>
      <w:spacing/>
      <w:ind/>
    </w:pPr>
    <w:rPr>
      <w:color w:val="666666"/>
    </w:rPr>
  </w:style>
  <w:style w:type="paragraph" w:styleId="903">
    <w:name w:val="TOC Heading"/>
    <w:uiPriority w:val="39"/>
    <w:unhideWhenUsed/>
    <w:pPr>
      <w:pBdr/>
      <w:spacing/>
      <w:ind/>
    </w:pPr>
  </w:style>
  <w:style w:type="paragraph" w:styleId="904">
    <w:name w:val="table of figures"/>
    <w:basedOn w:val="858"/>
    <w:next w:val="858"/>
    <w:uiPriority w:val="99"/>
    <w:unhideWhenUsed/>
    <w:pPr>
      <w:pBdr/>
      <w:spacing w:after="0" w:afterAutospacing="0"/>
      <w:ind/>
    </w:pPr>
  </w:style>
  <w:style w:type="paragraph" w:styleId="905">
    <w:name w:val="Title"/>
    <w:qFormat/>
    <w:pPr>
      <w:pBdr/>
      <w:spacing/>
      <w:ind/>
    </w:pPr>
    <w:rPr>
      <w:sz w:val="56"/>
      <w:szCs w:val="56"/>
    </w:rPr>
  </w:style>
  <w:style w:type="paragraph" w:styleId="90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90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90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909">
    <w:name w:val="Heading 4"/>
    <w:qFormat/>
    <w:pPr>
      <w:pBdr/>
      <w:spacing/>
      <w:ind/>
    </w:pPr>
    <w:rPr>
      <w:i/>
      <w:iCs/>
      <w:color w:val="2e74b5"/>
    </w:rPr>
  </w:style>
  <w:style w:type="paragraph" w:styleId="910">
    <w:name w:val="Heading 5"/>
    <w:qFormat/>
    <w:pPr>
      <w:pBdr/>
      <w:spacing/>
      <w:ind/>
    </w:pPr>
    <w:rPr>
      <w:color w:val="2e74b5"/>
    </w:rPr>
  </w:style>
  <w:style w:type="paragraph" w:styleId="911">
    <w:name w:val="Heading 6"/>
    <w:qFormat/>
    <w:pPr>
      <w:pBdr/>
      <w:spacing/>
      <w:ind/>
    </w:pPr>
    <w:rPr>
      <w:color w:val="1f4d78"/>
    </w:rPr>
  </w:style>
  <w:style w:type="paragraph" w:styleId="912">
    <w:name w:val="Strong"/>
    <w:qFormat/>
    <w:pPr>
      <w:pBdr/>
      <w:spacing/>
      <w:ind/>
    </w:pPr>
    <w:rPr>
      <w:b/>
      <w:bCs/>
    </w:rPr>
  </w:style>
  <w:style w:type="paragraph" w:styleId="913">
    <w:name w:val="List Paragraph"/>
    <w:qFormat/>
    <w:pPr>
      <w:pBdr/>
      <w:spacing/>
      <w:ind/>
    </w:pPr>
  </w:style>
  <w:style w:type="character" w:styleId="91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1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16">
    <w:name w:val="footnote text"/>
    <w:link w:val="9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7">
    <w:name w:val="Footnote Text Char"/>
    <w:link w:val="91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19">
    <w:name w:val="endnote text"/>
    <w:link w:val="9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0">
    <w:name w:val="Endnote Text Char"/>
    <w:link w:val="91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hyperlink" Target="https://eur-lex.europa.eu/legal-content/IT/TXT/?uri=CELEX%3A32022L2555" TargetMode="External"/><Relationship Id="rId12" Type="http://schemas.openxmlformats.org/officeDocument/2006/relationships/hyperlink" Target="https://eur-lex.europa.eu/legal-content/IT/TXT/HTML/?uri=CELEX:32022L2555#d1e3335-80-1" TargetMode="External"/><Relationship Id="rId13" Type="http://schemas.openxmlformats.org/officeDocument/2006/relationships/hyperlink" Target="https://eur-lex.europa.eu/legal-content/IT/TXT/HTML/?uri=CELEX:32022L2555#d1e3352-80-1" TargetMode="External"/><Relationship Id="rId14" Type="http://schemas.openxmlformats.org/officeDocument/2006/relationships/hyperlink" Target="https://eur-lex.europa.eu/legal-content/IT/TXT/HTML/?uri=CELEX:32022L2555#d1e3352-80-1" TargetMode="External"/><Relationship Id="rId15" Type="http://schemas.openxmlformats.org/officeDocument/2006/relationships/hyperlink" Target="https://eur-lex.europa.eu/legal-content/IT/TXT/HTML/?uri=CELEX:32022L2555#d1e3470-80-1" TargetMode="External"/><Relationship Id="rId16" Type="http://schemas.openxmlformats.org/officeDocument/2006/relationships/hyperlink" Target="https://eur-lex.europa.eu/legal-content/IT/TXT/HTML/?uri=CELEX:32022L2555#d1e3352-80-1" TargetMode="External"/><Relationship Id="rId17" Type="http://schemas.openxmlformats.org/officeDocument/2006/relationships/hyperlink" Target="https://eur-lex.europa.eu/legal-content/IT/TXT/HTML/?uri=CELEX:32022L2555#d1e3352-80-1" TargetMode="External"/><Relationship Id="rId18" Type="http://schemas.openxmlformats.org/officeDocument/2006/relationships/hyperlink" Target="https://eur-lex.europa.eu/legal-content/IT/TXT/HTML/?uri=CELEX:32022L2555#d1e3335-80-1" TargetMode="External"/><Relationship Id="rId19" Type="http://schemas.openxmlformats.org/officeDocument/2006/relationships/hyperlink" Target="https://eur-lex.europa.eu/legal-content/IT/TXT/HTML/?uri=CELEX:32022L2555#d1e3964-80-1" TargetMode="External"/><Relationship Id="rId20" Type="http://schemas.openxmlformats.org/officeDocument/2006/relationships/hyperlink" Target="https://eur-lex.europa.eu/legal-content/IT/TXT/HTML/?uri=CELEX:32022L2555#d1e3352-80-1" TargetMode="External"/><Relationship Id="rId21" Type="http://schemas.openxmlformats.org/officeDocument/2006/relationships/hyperlink" Target="https://eur-lex.europa.eu/legal-content/IT/TXT/HTML/?uri=CELEX:32022L2555#d1e3352-80-1" TargetMode="External"/><Relationship Id="rId22" Type="http://schemas.openxmlformats.org/officeDocument/2006/relationships/hyperlink" Target="https://eur-lex.europa.eu/legal-content/IT/TXT/HTML/?uri=CELEX:32022L2555#d1e3352-80-1" TargetMode="External"/><Relationship Id="rId23" Type="http://schemas.openxmlformats.org/officeDocument/2006/relationships/hyperlink" Target="https://eur-lex.europa.eu/legal-content/IT/TXT/HTML/?uri=CELEX:32022L2555#d1e3352-80-1" TargetMode="External"/><Relationship Id="rId24" Type="http://schemas.openxmlformats.org/officeDocument/2006/relationships/hyperlink" Target="https://eur-lex.europa.eu/legal-content/IT/TXT/HTML/?uri=CELEX:32022L2555#d1e3352-80-1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11</cp:revision>
  <dcterms:created xsi:type="dcterms:W3CDTF">2026-06-17T08:30:15Z</dcterms:created>
  <dcterms:modified xsi:type="dcterms:W3CDTF">2026-06-24T15:43:52Z</dcterms:modified>
</cp:coreProperties>
</file>