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8D0A" w14:textId="77777777" w:rsidR="00727352" w:rsidRDefault="00727352" w:rsidP="00793E18">
      <w:pPr>
        <w:jc w:val="both"/>
        <w:rPr>
          <w:rFonts w:ascii="Times New Roman" w:hAnsi="Times New Roman"/>
          <w:b/>
          <w:lang w:eastAsia="fr-FR"/>
        </w:rPr>
      </w:pPr>
    </w:p>
    <w:p w14:paraId="2DF98D0B" w14:textId="158FD179" w:rsidR="00B045CE" w:rsidRDefault="00B045CE" w:rsidP="00547772">
      <w:pPr>
        <w:jc w:val="center"/>
        <w:rPr>
          <w:rFonts w:ascii="Times New Roman" w:hAnsi="Times New Roman"/>
          <w:b/>
          <w:color w:val="7F7F7F"/>
          <w:sz w:val="28"/>
          <w:szCs w:val="28"/>
        </w:rPr>
      </w:pPr>
      <w:r w:rsidRPr="00B045CE">
        <w:rPr>
          <w:rFonts w:ascii="Times New Roman" w:hAnsi="Times New Roman"/>
          <w:b/>
          <w:color w:val="7F7F7F"/>
          <w:sz w:val="28"/>
          <w:szCs w:val="28"/>
        </w:rPr>
        <w:t>Analyse de texte</w:t>
      </w:r>
      <w:r>
        <w:rPr>
          <w:rFonts w:ascii="Times New Roman" w:hAnsi="Times New Roman"/>
          <w:b/>
          <w:color w:val="7F7F7F"/>
          <w:sz w:val="28"/>
          <w:szCs w:val="28"/>
        </w:rPr>
        <w:t xml:space="preserve"> </w:t>
      </w:r>
      <w:r w:rsidR="00AD1604">
        <w:rPr>
          <w:rFonts w:ascii="Times New Roman" w:hAnsi="Times New Roman"/>
          <w:b/>
          <w:color w:val="7F7F7F"/>
          <w:sz w:val="28"/>
          <w:szCs w:val="28"/>
        </w:rPr>
        <w:t>2</w:t>
      </w:r>
      <w:r w:rsidR="008E409E">
        <w:rPr>
          <w:rFonts w:ascii="Times New Roman" w:hAnsi="Times New Roman"/>
          <w:b/>
          <w:color w:val="7F7F7F"/>
          <w:sz w:val="28"/>
          <w:szCs w:val="28"/>
        </w:rPr>
        <w:t xml:space="preserve"> « Culture Numérique »</w:t>
      </w:r>
    </w:p>
    <w:p w14:paraId="6586A3E6" w14:textId="3A548653" w:rsidR="00AE667E" w:rsidRDefault="00AE667E" w:rsidP="00793E18">
      <w:pPr>
        <w:jc w:val="both"/>
        <w:rPr>
          <w:rFonts w:ascii="Times New Roman" w:hAnsi="Times New Roman"/>
          <w:sz w:val="24"/>
          <w:szCs w:val="24"/>
        </w:rPr>
      </w:pPr>
    </w:p>
    <w:p w14:paraId="131EA581" w14:textId="77777777" w:rsidR="00575306" w:rsidRDefault="000F3FE2" w:rsidP="00575306">
      <w:pPr>
        <w:jc w:val="center"/>
        <w:rPr>
          <w:rFonts w:ascii="Times New Roman" w:hAnsi="Times New Roman"/>
          <w:b/>
          <w:sz w:val="28"/>
          <w:szCs w:val="28"/>
        </w:rPr>
      </w:pPr>
      <w:r w:rsidRPr="00575306">
        <w:rPr>
          <w:rFonts w:ascii="Times New Roman" w:hAnsi="Times New Roman"/>
          <w:b/>
          <w:sz w:val="28"/>
          <w:szCs w:val="28"/>
        </w:rPr>
        <w:t xml:space="preserve">Victor </w:t>
      </w:r>
      <w:proofErr w:type="spellStart"/>
      <w:r w:rsidRPr="00575306">
        <w:rPr>
          <w:rFonts w:ascii="Times New Roman" w:hAnsi="Times New Roman"/>
          <w:b/>
          <w:sz w:val="28"/>
          <w:szCs w:val="28"/>
        </w:rPr>
        <w:t>Scardigli</w:t>
      </w:r>
      <w:proofErr w:type="spellEnd"/>
      <w:r w:rsidRPr="00575306">
        <w:rPr>
          <w:rFonts w:ascii="Times New Roman" w:hAnsi="Times New Roman"/>
          <w:b/>
          <w:sz w:val="28"/>
          <w:szCs w:val="28"/>
        </w:rPr>
        <w:t>,</w:t>
      </w:r>
      <w:r w:rsidRPr="00575306">
        <w:rPr>
          <w:rFonts w:ascii="Times New Roman" w:hAnsi="Times New Roman"/>
          <w:sz w:val="28"/>
          <w:szCs w:val="28"/>
        </w:rPr>
        <w:t xml:space="preserve"> « </w:t>
      </w:r>
      <w:r w:rsidRPr="00575306">
        <w:rPr>
          <w:rFonts w:ascii="Times New Roman" w:hAnsi="Times New Roman"/>
          <w:b/>
          <w:sz w:val="28"/>
          <w:szCs w:val="28"/>
        </w:rPr>
        <w:t xml:space="preserve">La société digitale et les acteurs de la diversité en Europe », </w:t>
      </w:r>
      <w:r w:rsidRPr="00575306">
        <w:rPr>
          <w:rFonts w:ascii="Times New Roman" w:hAnsi="Times New Roman"/>
          <w:b/>
          <w:i/>
          <w:sz w:val="28"/>
          <w:szCs w:val="28"/>
        </w:rPr>
        <w:t>Vers la Société de l’Information</w:t>
      </w:r>
      <w:r w:rsidRPr="00575306">
        <w:rPr>
          <w:rFonts w:ascii="Times New Roman" w:hAnsi="Times New Roman"/>
          <w:b/>
          <w:sz w:val="28"/>
          <w:szCs w:val="28"/>
        </w:rPr>
        <w:t xml:space="preserve">, </w:t>
      </w:r>
    </w:p>
    <w:p w14:paraId="716F9CCD" w14:textId="0A01A1B7" w:rsidR="000F3FE2" w:rsidRPr="00575306" w:rsidRDefault="00575306" w:rsidP="00575306">
      <w:pPr>
        <w:jc w:val="center"/>
        <w:rPr>
          <w:rFonts w:ascii="Times New Roman" w:hAnsi="Times New Roman"/>
          <w:b/>
          <w:color w:val="808080" w:themeColor="background1" w:themeShade="80"/>
        </w:rPr>
      </w:pPr>
      <w:r w:rsidRPr="00575306">
        <w:rPr>
          <w:rFonts w:ascii="Times New Roman" w:hAnsi="Times New Roman"/>
          <w:b/>
          <w:color w:val="808080" w:themeColor="background1" w:themeShade="80"/>
        </w:rPr>
        <w:t>(Éditions</w:t>
      </w:r>
      <w:r w:rsidR="000F3FE2" w:rsidRPr="00575306">
        <w:rPr>
          <w:rFonts w:ascii="Times New Roman" w:hAnsi="Times New Roman"/>
          <w:b/>
          <w:color w:val="808080" w:themeColor="background1" w:themeShade="80"/>
        </w:rPr>
        <w:t xml:space="preserve"> Apogée,</w:t>
      </w:r>
      <w:r w:rsidRPr="00575306">
        <w:rPr>
          <w:rFonts w:ascii="Times New Roman" w:hAnsi="Times New Roman"/>
          <w:b/>
          <w:color w:val="808080" w:themeColor="background1" w:themeShade="80"/>
        </w:rPr>
        <w:t xml:space="preserve"> Rennes,</w:t>
      </w:r>
      <w:r w:rsidR="000F3FE2" w:rsidRPr="00575306">
        <w:rPr>
          <w:rFonts w:ascii="Times New Roman" w:hAnsi="Times New Roman"/>
          <w:b/>
          <w:color w:val="808080" w:themeColor="background1" w:themeShade="80"/>
        </w:rPr>
        <w:t xml:space="preserve"> 1995, p. 157</w:t>
      </w:r>
      <w:r w:rsidRPr="00575306">
        <w:rPr>
          <w:rFonts w:ascii="Times New Roman" w:hAnsi="Times New Roman"/>
          <w:b/>
          <w:color w:val="808080" w:themeColor="background1" w:themeShade="80"/>
        </w:rPr>
        <w:t>)</w:t>
      </w:r>
    </w:p>
    <w:p w14:paraId="61DF4C8C" w14:textId="77777777" w:rsidR="000F3FE2" w:rsidRDefault="000F3FE2" w:rsidP="000F3FE2">
      <w:pPr>
        <w:widowControl w:val="0"/>
        <w:autoSpaceDE w:val="0"/>
        <w:autoSpaceDN w:val="0"/>
        <w:adjustRightInd w:val="0"/>
        <w:jc w:val="both"/>
        <w:rPr>
          <w:rFonts w:ascii="Times New Roman" w:hAnsi="Times New Roman"/>
          <w:color w:val="222222"/>
          <w:sz w:val="24"/>
          <w:szCs w:val="24"/>
        </w:rPr>
      </w:pPr>
      <w:r>
        <w:rPr>
          <w:rFonts w:ascii="Times New Roman" w:hAnsi="Times New Roman"/>
          <w:color w:val="222222"/>
          <w:sz w:val="24"/>
          <w:szCs w:val="24"/>
        </w:rPr>
        <w:t xml:space="preserve">A l’occasion de n’importe quelle avancée de la technique réapparaît à peu de choses près le même imaginaire collectif qui exprime les préoccupations de notre époque et véhicule une utopie de société meilleure ; cette utopie peut motiver l’action de certains acteurs sociaux. </w:t>
      </w:r>
    </w:p>
    <w:p w14:paraId="4E887C3D" w14:textId="6142513D" w:rsidR="000F3FE2" w:rsidRDefault="000F3FE2" w:rsidP="000F3FE2">
      <w:pPr>
        <w:widowControl w:val="0"/>
        <w:autoSpaceDE w:val="0"/>
        <w:autoSpaceDN w:val="0"/>
        <w:adjustRightInd w:val="0"/>
        <w:jc w:val="both"/>
        <w:rPr>
          <w:rFonts w:ascii="Times New Roman" w:hAnsi="Times New Roman"/>
          <w:color w:val="222222"/>
          <w:sz w:val="24"/>
          <w:szCs w:val="24"/>
        </w:rPr>
      </w:pPr>
      <w:r>
        <w:rPr>
          <w:rFonts w:ascii="Times New Roman" w:hAnsi="Times New Roman"/>
          <w:color w:val="222222"/>
          <w:sz w:val="24"/>
          <w:szCs w:val="24"/>
        </w:rPr>
        <w:t xml:space="preserve">Un décalage considérable s’est progressivement affirmé entre ces prophéties et les réalisations effectives (…) : les nouvelles technologies, seules, n’avaient pas le pouvoir de rétablir le lien social et la convivialité, de rendre nos enfants plus intelligents ou plus créatifs, de réduire les inégalités en France et encore moins à l’échelle de la planète ; les « petits acteurs » (les « usagers ») gardent bien un pouvoir face à la technique. Plutôt que de conclure hâtivement à un échec ou une sous-utilisation par rapport aux potentialités offertes par l’innovation, il apparaît une différence de temporalité entre offre et demande. Le temps des utilisateurs potentiels suit un pas bien plus lent que celui des industriels (…) poussés par la nécessité de conquérir les marchés avant leurs concurrents. </w:t>
      </w:r>
    </w:p>
    <w:p w14:paraId="651300C8" w14:textId="77777777" w:rsidR="000F3FE2" w:rsidRDefault="000F3FE2" w:rsidP="000F3FE2">
      <w:pPr>
        <w:widowControl w:val="0"/>
        <w:autoSpaceDE w:val="0"/>
        <w:autoSpaceDN w:val="0"/>
        <w:adjustRightInd w:val="0"/>
        <w:jc w:val="both"/>
        <w:rPr>
          <w:rFonts w:ascii="Times New Roman" w:hAnsi="Times New Roman"/>
          <w:color w:val="222222"/>
          <w:sz w:val="24"/>
          <w:szCs w:val="24"/>
        </w:rPr>
      </w:pPr>
      <w:r>
        <w:rPr>
          <w:rFonts w:ascii="Times New Roman" w:hAnsi="Times New Roman"/>
          <w:color w:val="222222"/>
          <w:sz w:val="24"/>
          <w:szCs w:val="24"/>
        </w:rPr>
        <w:t>Le processus de diffusion sociale comporte en réalité trois temps. Dans la première étape (…) les grands acteurs (</w:t>
      </w:r>
      <w:proofErr w:type="spellStart"/>
      <w:r>
        <w:rPr>
          <w:rFonts w:ascii="Times New Roman" w:hAnsi="Times New Roman"/>
          <w:color w:val="222222"/>
          <w:sz w:val="24"/>
          <w:szCs w:val="24"/>
        </w:rPr>
        <w:t>Etats</w:t>
      </w:r>
      <w:proofErr w:type="spellEnd"/>
      <w:r>
        <w:rPr>
          <w:rFonts w:ascii="Times New Roman" w:hAnsi="Times New Roman"/>
          <w:color w:val="222222"/>
          <w:sz w:val="24"/>
          <w:szCs w:val="24"/>
        </w:rPr>
        <w:t>, secteurs industriels) tentent d’imposer le changement social par la technique, à travers les usages qu’ils définissent comme normaux. Puis entrent en scène les gens qui vont effectivement utiliser les technologies (…) dans leur vie quotidienne au travail, dans la vie de la cité ou leur vie privée ; c’est un moment privilégié d’ « ouverture au changement » de la société : les utilisateurs éventuels interviennent pour (…) adapter l’innovation à leurs usages antérieurs, inventer des usages nouveaux. C’est le début de l’appropriation à la fois sociale et culturelle. Enfin, à travers l’interaction entre offre et demande, entre grands et petits acteurs, se met parfois en place une technicisation des cadres sociaux de la vie quotidienne : cette « société digitale », au bout d’un temps beaucoup plus long, peut éventuellement déboucher sur un changement social réel. »</w:t>
      </w:r>
    </w:p>
    <w:p w14:paraId="360FEA65" w14:textId="77777777" w:rsidR="001B47E4" w:rsidRDefault="001B47E4" w:rsidP="00AE667E">
      <w:pPr>
        <w:jc w:val="center"/>
        <w:outlineLvl w:val="0"/>
        <w:rPr>
          <w:rFonts w:ascii="Times New Roman" w:hAnsi="Times New Roman"/>
          <w:b/>
          <w:color w:val="7F7F7F"/>
          <w:sz w:val="28"/>
          <w:szCs w:val="28"/>
        </w:rPr>
      </w:pPr>
    </w:p>
    <w:p w14:paraId="5FE10806" w14:textId="77777777" w:rsidR="001B47E4" w:rsidRDefault="001B47E4" w:rsidP="00AE667E">
      <w:pPr>
        <w:jc w:val="center"/>
        <w:outlineLvl w:val="0"/>
        <w:rPr>
          <w:rFonts w:ascii="Times New Roman" w:hAnsi="Times New Roman"/>
          <w:b/>
          <w:color w:val="7F7F7F"/>
          <w:sz w:val="28"/>
          <w:szCs w:val="28"/>
        </w:rPr>
      </w:pPr>
    </w:p>
    <w:p w14:paraId="5C09BAA7" w14:textId="77777777" w:rsidR="001B47E4" w:rsidRDefault="001B47E4" w:rsidP="00AE667E">
      <w:pPr>
        <w:jc w:val="center"/>
        <w:outlineLvl w:val="0"/>
        <w:rPr>
          <w:rFonts w:ascii="Times New Roman" w:hAnsi="Times New Roman"/>
          <w:b/>
          <w:color w:val="7F7F7F"/>
          <w:sz w:val="28"/>
          <w:szCs w:val="28"/>
        </w:rPr>
      </w:pPr>
    </w:p>
    <w:p w14:paraId="4ED599DF" w14:textId="77777777" w:rsidR="001B47E4" w:rsidRDefault="001B47E4" w:rsidP="00AE667E">
      <w:pPr>
        <w:jc w:val="center"/>
        <w:outlineLvl w:val="0"/>
        <w:rPr>
          <w:rFonts w:ascii="Times New Roman" w:hAnsi="Times New Roman"/>
          <w:b/>
          <w:color w:val="7F7F7F"/>
          <w:sz w:val="28"/>
          <w:szCs w:val="28"/>
        </w:rPr>
      </w:pPr>
    </w:p>
    <w:p w14:paraId="1A64B359" w14:textId="77777777" w:rsidR="001B47E4" w:rsidRDefault="001B47E4" w:rsidP="00AE667E">
      <w:pPr>
        <w:jc w:val="center"/>
        <w:outlineLvl w:val="0"/>
        <w:rPr>
          <w:rFonts w:ascii="Times New Roman" w:hAnsi="Times New Roman"/>
          <w:b/>
          <w:color w:val="7F7F7F"/>
          <w:sz w:val="28"/>
          <w:szCs w:val="28"/>
        </w:rPr>
      </w:pPr>
    </w:p>
    <w:p w14:paraId="26F52036" w14:textId="737CEB88" w:rsidR="00AE667E" w:rsidRDefault="00AE667E" w:rsidP="00AE667E">
      <w:pPr>
        <w:jc w:val="center"/>
        <w:outlineLvl w:val="0"/>
        <w:rPr>
          <w:rFonts w:ascii="Times New Roman" w:hAnsi="Times New Roman"/>
          <w:b/>
          <w:color w:val="7F7F7F"/>
          <w:sz w:val="28"/>
          <w:szCs w:val="28"/>
        </w:rPr>
      </w:pPr>
      <w:r>
        <w:rPr>
          <w:rFonts w:ascii="Times New Roman" w:hAnsi="Times New Roman"/>
          <w:b/>
          <w:color w:val="7F7F7F"/>
          <w:sz w:val="28"/>
          <w:szCs w:val="28"/>
        </w:rPr>
        <w:t>Webographie</w:t>
      </w:r>
    </w:p>
    <w:p w14:paraId="3C4B11C2" w14:textId="2F16B773" w:rsidR="00AE667E" w:rsidRPr="00AE667E" w:rsidRDefault="001B47E4" w:rsidP="00AE667E">
      <w:pPr>
        <w:jc w:val="center"/>
        <w:outlineLvl w:val="0"/>
        <w:rPr>
          <w:rFonts w:ascii="Times New Roman" w:hAnsi="Times New Roman"/>
          <w:b/>
          <w:color w:val="7F7F7F"/>
          <w:sz w:val="28"/>
          <w:szCs w:val="28"/>
        </w:rPr>
      </w:pPr>
      <w:r>
        <w:rPr>
          <w:rFonts w:ascii="Times New Roman" w:hAnsi="Times New Roman"/>
          <w:b/>
          <w:color w:val="7F7F7F"/>
          <w:sz w:val="28"/>
          <w:szCs w:val="28"/>
        </w:rPr>
        <w:t>Pour restitution et</w:t>
      </w:r>
      <w:r w:rsidR="00AE667E">
        <w:rPr>
          <w:rFonts w:ascii="Times New Roman" w:hAnsi="Times New Roman"/>
          <w:b/>
          <w:color w:val="7F7F7F"/>
          <w:sz w:val="28"/>
          <w:szCs w:val="28"/>
        </w:rPr>
        <w:t xml:space="preserve"> discussion  </w:t>
      </w:r>
    </w:p>
    <w:p w14:paraId="2DF98D14" w14:textId="77777777" w:rsidR="00E420D6" w:rsidRDefault="00E420D6"/>
    <w:p w14:paraId="2DF98D15" w14:textId="59CDF807" w:rsidR="001B0933" w:rsidRDefault="00000000">
      <w:hyperlink r:id="rId6" w:history="1">
        <w:r w:rsidR="008843BD" w:rsidRPr="00864F18">
          <w:rPr>
            <w:rStyle w:val="Lienhypertexte"/>
          </w:rPr>
          <w:t>https://fr.wikipedia.org/wiki/L%27Utopie_de_la_communication</w:t>
        </w:r>
      </w:hyperlink>
      <w:r w:rsidR="008843BD">
        <w:t xml:space="preserve"> </w:t>
      </w:r>
    </w:p>
    <w:p w14:paraId="4DB10F2A" w14:textId="11B8DD8C" w:rsidR="00876E7E" w:rsidRDefault="00000000">
      <w:hyperlink r:id="rId7" w:history="1">
        <w:r w:rsidR="00876E7E" w:rsidRPr="00864F18">
          <w:rPr>
            <w:rStyle w:val="Lienhypertexte"/>
          </w:rPr>
          <w:t>https://www.cairn.info/revue-projet-2019-4-page-6.htm</w:t>
        </w:r>
      </w:hyperlink>
      <w:r w:rsidR="00876E7E">
        <w:t xml:space="preserve"> (Qu’est devenue l’utopie d’Internet ?)</w:t>
      </w:r>
    </w:p>
    <w:p w14:paraId="7E537443" w14:textId="232CD40F" w:rsidR="008843BD" w:rsidRDefault="00000000">
      <w:hyperlink r:id="rId8" w:history="1">
        <w:r w:rsidR="00876E7E" w:rsidRPr="00864F18">
          <w:rPr>
            <w:rStyle w:val="Lienhypertexte"/>
          </w:rPr>
          <w:t>https://www.cairn.info/l-imaginaire-d-internet--9782707135377-page-19.htm</w:t>
        </w:r>
      </w:hyperlink>
      <w:r w:rsidR="00876E7E">
        <w:t xml:space="preserve"> </w:t>
      </w:r>
    </w:p>
    <w:p w14:paraId="09D00338" w14:textId="7C180BDD" w:rsidR="00876E7E" w:rsidRDefault="00000000">
      <w:hyperlink r:id="rId9" w:history="1">
        <w:r w:rsidR="00876E7E" w:rsidRPr="00864F18">
          <w:rPr>
            <w:rStyle w:val="Lienhypertexte"/>
          </w:rPr>
          <w:t>https://www.lebigdata.fr/gafam-tout-savoir</w:t>
        </w:r>
      </w:hyperlink>
      <w:r w:rsidR="00876E7E">
        <w:t xml:space="preserve"> </w:t>
      </w:r>
    </w:p>
    <w:p w14:paraId="418C0C7B" w14:textId="2EA3E8D5" w:rsidR="00876E7E" w:rsidRDefault="00000000">
      <w:hyperlink r:id="rId10" w:history="1">
        <w:r w:rsidR="00876E7E" w:rsidRPr="00864F18">
          <w:rPr>
            <w:rStyle w:val="Lienhypertexte"/>
          </w:rPr>
          <w:t>https://larevuedesmedias.ina.fr/numerique-les-nouveaux-usages-sont-ils-si-nouveaux</w:t>
        </w:r>
      </w:hyperlink>
      <w:r w:rsidR="00876E7E">
        <w:t xml:space="preserve"> </w:t>
      </w:r>
    </w:p>
    <w:p w14:paraId="6128123D" w14:textId="6C78F472" w:rsidR="00FE5B95" w:rsidRDefault="00000000">
      <w:hyperlink r:id="rId11" w:history="1">
        <w:r w:rsidR="00AC4547" w:rsidRPr="00864F18">
          <w:rPr>
            <w:rStyle w:val="Lienhypertexte"/>
          </w:rPr>
          <w:t>https://siecledigital.fr/2021/07/26/usage-internet-et-mobile-en-2021/</w:t>
        </w:r>
      </w:hyperlink>
      <w:r w:rsidR="00AC4547">
        <w:t xml:space="preserve"> </w:t>
      </w:r>
    </w:p>
    <w:p w14:paraId="013EFC85" w14:textId="0012EEEF" w:rsidR="00FE5B95" w:rsidRDefault="00000000">
      <w:hyperlink r:id="rId12" w:history="1">
        <w:r w:rsidR="00FE5B95" w:rsidRPr="00864F18">
          <w:rPr>
            <w:rStyle w:val="Lienhypertexte"/>
          </w:rPr>
          <w:t>https://archive-ouverte.unige.ch/unige:46581</w:t>
        </w:r>
      </w:hyperlink>
      <w:r w:rsidR="00FE5B95">
        <w:t xml:space="preserve"> </w:t>
      </w:r>
    </w:p>
    <w:p w14:paraId="7AD1E4AD" w14:textId="3F5B833A" w:rsidR="00FE5B95" w:rsidRPr="00FE5B95" w:rsidRDefault="00FE5B95" w:rsidP="00FE5B95">
      <w:pPr>
        <w:spacing w:before="45" w:after="45" w:line="240" w:lineRule="auto"/>
        <w:outlineLvl w:val="0"/>
        <w:rPr>
          <w:rFonts w:ascii="Times New Roman" w:eastAsia="Times New Roman" w:hAnsi="Times New Roman"/>
          <w:bCs/>
          <w:kern w:val="36"/>
          <w:sz w:val="20"/>
          <w:szCs w:val="20"/>
          <w:lang w:eastAsia="fr-FR"/>
        </w:rPr>
      </w:pPr>
      <w:r>
        <w:rPr>
          <w:rFonts w:ascii="Times New Roman" w:eastAsia="Times New Roman" w:hAnsi="Times New Roman"/>
          <w:bCs/>
          <w:kern w:val="36"/>
          <w:sz w:val="20"/>
          <w:szCs w:val="20"/>
          <w:lang w:eastAsia="fr-FR"/>
        </w:rPr>
        <w:t>(</w:t>
      </w:r>
      <w:r w:rsidRPr="00FE5B95">
        <w:rPr>
          <w:rFonts w:ascii="Times New Roman" w:eastAsia="Times New Roman" w:hAnsi="Times New Roman"/>
          <w:bCs/>
          <w:kern w:val="36"/>
          <w:sz w:val="20"/>
          <w:szCs w:val="20"/>
          <w:lang w:eastAsia="fr-FR"/>
        </w:rPr>
        <w:t>Détournements d'usages et nouvelles pratiques numériques : l’expérience des étudiants d’</w:t>
      </w:r>
      <w:proofErr w:type="spellStart"/>
      <w:r w:rsidRPr="00FE5B95">
        <w:rPr>
          <w:rFonts w:ascii="Times New Roman" w:eastAsia="Times New Roman" w:hAnsi="Times New Roman"/>
          <w:bCs/>
          <w:kern w:val="36"/>
          <w:sz w:val="20"/>
          <w:szCs w:val="20"/>
          <w:lang w:eastAsia="fr-FR"/>
        </w:rPr>
        <w:t>Ingémédia</w:t>
      </w:r>
      <w:proofErr w:type="spellEnd"/>
      <w:r w:rsidRPr="00FE5B95">
        <w:rPr>
          <w:rFonts w:ascii="Times New Roman" w:eastAsia="Times New Roman" w:hAnsi="Times New Roman"/>
          <w:bCs/>
          <w:kern w:val="36"/>
          <w:sz w:val="20"/>
          <w:szCs w:val="20"/>
          <w:lang w:eastAsia="fr-FR"/>
        </w:rPr>
        <w:t xml:space="preserve"> à l’Université de Toulon</w:t>
      </w:r>
      <w:r>
        <w:rPr>
          <w:rFonts w:ascii="Times New Roman" w:eastAsia="Times New Roman" w:hAnsi="Times New Roman"/>
          <w:bCs/>
          <w:kern w:val="36"/>
          <w:sz w:val="20"/>
          <w:szCs w:val="20"/>
          <w:lang w:eastAsia="fr-FR"/>
        </w:rPr>
        <w:t>)</w:t>
      </w:r>
    </w:p>
    <w:p w14:paraId="14593C07" w14:textId="77777777" w:rsidR="00876E7E" w:rsidRDefault="00876E7E"/>
    <w:p w14:paraId="34BC2C8A" w14:textId="37C9708F" w:rsidR="008843BD" w:rsidRDefault="008843BD"/>
    <w:p w14:paraId="45EFE20F" w14:textId="1EC03790" w:rsidR="00876E7E" w:rsidRDefault="00876E7E"/>
    <w:p w14:paraId="4F20482F" w14:textId="77777777" w:rsidR="00876E7E" w:rsidRDefault="00876E7E"/>
    <w:p w14:paraId="2DF98D16" w14:textId="77777777" w:rsidR="00241820" w:rsidRDefault="00241820"/>
    <w:p w14:paraId="2DF98D17" w14:textId="77777777" w:rsidR="00416938" w:rsidRDefault="00416938"/>
    <w:sectPr w:rsidR="00416938">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F1C9" w14:textId="77777777" w:rsidR="00203408" w:rsidRDefault="00203408" w:rsidP="00727352">
      <w:pPr>
        <w:spacing w:after="0" w:line="240" w:lineRule="auto"/>
      </w:pPr>
      <w:r>
        <w:separator/>
      </w:r>
    </w:p>
  </w:endnote>
  <w:endnote w:type="continuationSeparator" w:id="0">
    <w:p w14:paraId="4BE10E02" w14:textId="77777777" w:rsidR="00203408" w:rsidRDefault="00203408" w:rsidP="0072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3244" w14:textId="77777777" w:rsidR="00203408" w:rsidRDefault="00203408" w:rsidP="00727352">
      <w:pPr>
        <w:spacing w:after="0" w:line="240" w:lineRule="auto"/>
      </w:pPr>
      <w:r>
        <w:separator/>
      </w:r>
    </w:p>
  </w:footnote>
  <w:footnote w:type="continuationSeparator" w:id="0">
    <w:p w14:paraId="170AB9D2" w14:textId="77777777" w:rsidR="00203408" w:rsidRDefault="00203408" w:rsidP="0072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8D1C" w14:textId="63DB3C05" w:rsidR="00727352" w:rsidRPr="00727352" w:rsidRDefault="00727352" w:rsidP="00727352">
    <w:pPr>
      <w:tabs>
        <w:tab w:val="center" w:pos="4536"/>
        <w:tab w:val="right" w:pos="9072"/>
      </w:tabs>
      <w:spacing w:after="0" w:line="240" w:lineRule="auto"/>
      <w:rPr>
        <w:b/>
        <w:sz w:val="20"/>
        <w:szCs w:val="20"/>
      </w:rPr>
    </w:pPr>
    <w:r w:rsidRPr="00727352">
      <w:rPr>
        <w:b/>
        <w:sz w:val="20"/>
        <w:szCs w:val="20"/>
      </w:rPr>
      <w:t>MMI 1</w:t>
    </w:r>
    <w:r w:rsidRPr="00727352">
      <w:rPr>
        <w:b/>
        <w:sz w:val="20"/>
        <w:szCs w:val="20"/>
        <w:vertAlign w:val="superscript"/>
      </w:rPr>
      <w:t>ère</w:t>
    </w:r>
    <w:r>
      <w:rPr>
        <w:b/>
        <w:sz w:val="20"/>
        <w:szCs w:val="20"/>
      </w:rPr>
      <w:t xml:space="preserve"> année – </w:t>
    </w:r>
    <w:r w:rsidR="008E409E">
      <w:rPr>
        <w:b/>
        <w:sz w:val="20"/>
        <w:szCs w:val="20"/>
      </w:rPr>
      <w:t>R104 – TD1</w:t>
    </w:r>
    <w:r w:rsidRPr="00727352">
      <w:rPr>
        <w:b/>
        <w:sz w:val="20"/>
        <w:szCs w:val="20"/>
      </w:rPr>
      <w:t xml:space="preserve">                </w:t>
    </w:r>
    <w:r w:rsidR="007F1897">
      <w:rPr>
        <w:b/>
        <w:sz w:val="20"/>
        <w:szCs w:val="20"/>
      </w:rPr>
      <w:tab/>
    </w:r>
    <w:r w:rsidR="007F1897">
      <w:rPr>
        <w:b/>
        <w:sz w:val="20"/>
        <w:szCs w:val="20"/>
      </w:rPr>
      <w:tab/>
    </w:r>
    <w:r w:rsidRPr="00727352">
      <w:rPr>
        <w:b/>
        <w:sz w:val="20"/>
        <w:szCs w:val="20"/>
      </w:rPr>
      <w:t xml:space="preserve">          </w:t>
    </w:r>
    <w:r w:rsidR="007F1897">
      <w:rPr>
        <w:noProof/>
      </w:rPr>
      <w:drawing>
        <wp:inline distT="0" distB="0" distL="0" distR="0" wp14:anchorId="03A942DB" wp14:editId="0F767BAA">
          <wp:extent cx="723900" cy="72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inline>
      </w:drawing>
    </w:r>
    <w:r w:rsidRPr="00727352">
      <w:rPr>
        <w:b/>
        <w:sz w:val="20"/>
        <w:szCs w:val="20"/>
      </w:rPr>
      <w:t xml:space="preserve">                                                                                                             </w:t>
    </w:r>
  </w:p>
  <w:p w14:paraId="2DF98D1D" w14:textId="754041F0" w:rsidR="00727352" w:rsidRDefault="0072735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7DF"/>
    <w:rsid w:val="00031022"/>
    <w:rsid w:val="000F3FE2"/>
    <w:rsid w:val="001533F5"/>
    <w:rsid w:val="001A321D"/>
    <w:rsid w:val="001B0933"/>
    <w:rsid w:val="001B47E4"/>
    <w:rsid w:val="00203408"/>
    <w:rsid w:val="00212272"/>
    <w:rsid w:val="00241820"/>
    <w:rsid w:val="0025163E"/>
    <w:rsid w:val="002C5F52"/>
    <w:rsid w:val="00300685"/>
    <w:rsid w:val="0032162C"/>
    <w:rsid w:val="00334FEE"/>
    <w:rsid w:val="00416938"/>
    <w:rsid w:val="0042341B"/>
    <w:rsid w:val="00486CDB"/>
    <w:rsid w:val="005349C3"/>
    <w:rsid w:val="005429F4"/>
    <w:rsid w:val="00547772"/>
    <w:rsid w:val="00551C69"/>
    <w:rsid w:val="00575306"/>
    <w:rsid w:val="005D609E"/>
    <w:rsid w:val="006524EB"/>
    <w:rsid w:val="00727352"/>
    <w:rsid w:val="00793E18"/>
    <w:rsid w:val="007D4F7A"/>
    <w:rsid w:val="007F1897"/>
    <w:rsid w:val="007F6128"/>
    <w:rsid w:val="008103F5"/>
    <w:rsid w:val="008503C0"/>
    <w:rsid w:val="00850CEA"/>
    <w:rsid w:val="00876E7E"/>
    <w:rsid w:val="008843BD"/>
    <w:rsid w:val="008E409E"/>
    <w:rsid w:val="009A1D45"/>
    <w:rsid w:val="009D1CF5"/>
    <w:rsid w:val="00AC4547"/>
    <w:rsid w:val="00AC77DF"/>
    <w:rsid w:val="00AD1604"/>
    <w:rsid w:val="00AD605F"/>
    <w:rsid w:val="00AD6DBD"/>
    <w:rsid w:val="00AE667E"/>
    <w:rsid w:val="00B045CE"/>
    <w:rsid w:val="00B13453"/>
    <w:rsid w:val="00B966E3"/>
    <w:rsid w:val="00C747CB"/>
    <w:rsid w:val="00D91184"/>
    <w:rsid w:val="00E420D6"/>
    <w:rsid w:val="00E607C1"/>
    <w:rsid w:val="00EA32FE"/>
    <w:rsid w:val="00F05C92"/>
    <w:rsid w:val="00FE5B95"/>
    <w:rsid w:val="00FF5F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8D0A"/>
  <w15:chartTrackingRefBased/>
  <w15:docId w15:val="{60890D17-DC05-43EA-A8DE-453D0A29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E18"/>
    <w:pPr>
      <w:spacing w:after="200" w:line="276" w:lineRule="auto"/>
    </w:pPr>
    <w:rPr>
      <w:rFonts w:ascii="Calibri" w:eastAsia="Calibri" w:hAnsi="Calibri" w:cs="Times New Roman"/>
    </w:rPr>
  </w:style>
  <w:style w:type="paragraph" w:styleId="Titre1">
    <w:name w:val="heading 1"/>
    <w:basedOn w:val="Normal"/>
    <w:link w:val="Titre1Car"/>
    <w:uiPriority w:val="9"/>
    <w:qFormat/>
    <w:rsid w:val="00FE5B95"/>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7352"/>
    <w:pPr>
      <w:tabs>
        <w:tab w:val="center" w:pos="4536"/>
        <w:tab w:val="right" w:pos="9072"/>
      </w:tabs>
      <w:spacing w:after="0" w:line="240" w:lineRule="auto"/>
    </w:pPr>
  </w:style>
  <w:style w:type="character" w:customStyle="1" w:styleId="En-tteCar">
    <w:name w:val="En-tête Car"/>
    <w:basedOn w:val="Policepardfaut"/>
    <w:link w:val="En-tte"/>
    <w:uiPriority w:val="99"/>
    <w:rsid w:val="00727352"/>
    <w:rPr>
      <w:rFonts w:ascii="Calibri" w:eastAsia="Calibri" w:hAnsi="Calibri" w:cs="Times New Roman"/>
    </w:rPr>
  </w:style>
  <w:style w:type="paragraph" w:styleId="Pieddepage">
    <w:name w:val="footer"/>
    <w:basedOn w:val="Normal"/>
    <w:link w:val="PieddepageCar"/>
    <w:uiPriority w:val="99"/>
    <w:unhideWhenUsed/>
    <w:rsid w:val="007273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7352"/>
    <w:rPr>
      <w:rFonts w:ascii="Calibri" w:eastAsia="Calibri" w:hAnsi="Calibri" w:cs="Times New Roman"/>
    </w:rPr>
  </w:style>
  <w:style w:type="character" w:styleId="Lienhypertexte">
    <w:name w:val="Hyperlink"/>
    <w:basedOn w:val="Policepardfaut"/>
    <w:uiPriority w:val="99"/>
    <w:unhideWhenUsed/>
    <w:rsid w:val="00E420D6"/>
    <w:rPr>
      <w:color w:val="0563C1" w:themeColor="hyperlink"/>
      <w:u w:val="single"/>
    </w:rPr>
  </w:style>
  <w:style w:type="character" w:styleId="Lienhypertextesuivivisit">
    <w:name w:val="FollowedHyperlink"/>
    <w:basedOn w:val="Policepardfaut"/>
    <w:uiPriority w:val="99"/>
    <w:semiHidden/>
    <w:unhideWhenUsed/>
    <w:rsid w:val="005D609E"/>
    <w:rPr>
      <w:color w:val="954F72" w:themeColor="followedHyperlink"/>
      <w:u w:val="single"/>
    </w:rPr>
  </w:style>
  <w:style w:type="character" w:styleId="Mentionnonrsolue">
    <w:name w:val="Unresolved Mention"/>
    <w:basedOn w:val="Policepardfaut"/>
    <w:uiPriority w:val="99"/>
    <w:semiHidden/>
    <w:unhideWhenUsed/>
    <w:rsid w:val="008843BD"/>
    <w:rPr>
      <w:color w:val="605E5C"/>
      <w:shd w:val="clear" w:color="auto" w:fill="E1DFDD"/>
    </w:rPr>
  </w:style>
  <w:style w:type="character" w:customStyle="1" w:styleId="Titre1Car">
    <w:name w:val="Titre 1 Car"/>
    <w:basedOn w:val="Policepardfaut"/>
    <w:link w:val="Titre1"/>
    <w:uiPriority w:val="9"/>
    <w:rsid w:val="00FE5B95"/>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332760">
      <w:bodyDiv w:val="1"/>
      <w:marLeft w:val="0"/>
      <w:marRight w:val="0"/>
      <w:marTop w:val="0"/>
      <w:marBottom w:val="0"/>
      <w:divBdr>
        <w:top w:val="none" w:sz="0" w:space="0" w:color="auto"/>
        <w:left w:val="none" w:sz="0" w:space="0" w:color="auto"/>
        <w:bottom w:val="none" w:sz="0" w:space="0" w:color="auto"/>
        <w:right w:val="none" w:sz="0" w:space="0" w:color="auto"/>
      </w:divBdr>
    </w:div>
    <w:div w:id="1596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rn.info/l-imaginaire-d-internet--9782707135377-page-19.ht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airn.info/revue-projet-2019-4-page-6.htm" TargetMode="External"/><Relationship Id="rId12" Type="http://schemas.openxmlformats.org/officeDocument/2006/relationships/hyperlink" Target="https://archive-ouverte.unige.ch/unige:465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L%27Utopie_de_la_communication" TargetMode="External"/><Relationship Id="rId11" Type="http://schemas.openxmlformats.org/officeDocument/2006/relationships/hyperlink" Target="https://siecledigital.fr/2021/07/26/usage-internet-et-mobile-en-2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arevuedesmedias.ina.fr/numerique-les-nouveaux-usages-sont-ils-si-nouveaux" TargetMode="External"/><Relationship Id="rId4" Type="http://schemas.openxmlformats.org/officeDocument/2006/relationships/footnotes" Target="footnotes.xml"/><Relationship Id="rId9" Type="http://schemas.openxmlformats.org/officeDocument/2006/relationships/hyperlink" Target="https://www.lebigdata.fr/gafam-tout-savoi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2937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réviseur 1-2</dc:creator>
  <cp:keywords/>
  <dc:description/>
  <cp:lastModifiedBy>Cidicley Miranda Dos Santos</cp:lastModifiedBy>
  <cp:revision>2</cp:revision>
  <dcterms:created xsi:type="dcterms:W3CDTF">2023-09-10T09:23:00Z</dcterms:created>
  <dcterms:modified xsi:type="dcterms:W3CDTF">2023-09-10T09:23:00Z</dcterms:modified>
</cp:coreProperties>
</file>