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98D0A" w14:textId="77777777" w:rsidR="00727352" w:rsidRDefault="00727352" w:rsidP="00793E18">
      <w:pPr>
        <w:jc w:val="both"/>
        <w:rPr>
          <w:rFonts w:ascii="Times New Roman" w:hAnsi="Times New Roman"/>
          <w:b/>
          <w:lang w:eastAsia="fr-FR"/>
        </w:rPr>
      </w:pPr>
    </w:p>
    <w:p w14:paraId="2DF98D0B" w14:textId="789471B7" w:rsidR="00B045CE" w:rsidRDefault="00B045CE" w:rsidP="00547772">
      <w:pPr>
        <w:jc w:val="center"/>
        <w:rPr>
          <w:rFonts w:ascii="Times New Roman" w:hAnsi="Times New Roman"/>
          <w:b/>
          <w:color w:val="7F7F7F"/>
          <w:sz w:val="28"/>
          <w:szCs w:val="28"/>
        </w:rPr>
      </w:pPr>
      <w:r w:rsidRPr="00B045CE">
        <w:rPr>
          <w:rFonts w:ascii="Times New Roman" w:hAnsi="Times New Roman"/>
          <w:b/>
          <w:color w:val="7F7F7F"/>
          <w:sz w:val="28"/>
          <w:szCs w:val="28"/>
        </w:rPr>
        <w:t>Analyse de texte</w:t>
      </w:r>
      <w:r>
        <w:rPr>
          <w:rFonts w:ascii="Times New Roman" w:hAnsi="Times New Roman"/>
          <w:b/>
          <w:color w:val="7F7F7F"/>
          <w:sz w:val="28"/>
          <w:szCs w:val="28"/>
        </w:rPr>
        <w:t xml:space="preserve"> </w:t>
      </w:r>
      <w:r w:rsidR="008E409E">
        <w:rPr>
          <w:rFonts w:ascii="Times New Roman" w:hAnsi="Times New Roman"/>
          <w:b/>
          <w:color w:val="7F7F7F"/>
          <w:sz w:val="28"/>
          <w:szCs w:val="28"/>
        </w:rPr>
        <w:t>1 « Culture Numérique »</w:t>
      </w:r>
    </w:p>
    <w:p w14:paraId="2DF98D0C" w14:textId="77777777" w:rsidR="00547772" w:rsidRPr="00B045CE" w:rsidRDefault="00547772" w:rsidP="00547772">
      <w:pPr>
        <w:jc w:val="center"/>
        <w:rPr>
          <w:rFonts w:ascii="Times New Roman" w:hAnsi="Times New Roman"/>
          <w:b/>
          <w:color w:val="7F7F7F"/>
          <w:sz w:val="28"/>
          <w:szCs w:val="28"/>
        </w:rPr>
      </w:pPr>
    </w:p>
    <w:p w14:paraId="26854D28" w14:textId="5780A7BC" w:rsidR="003F3C05" w:rsidRPr="003F3C05" w:rsidRDefault="003F3C05" w:rsidP="003F3C05">
      <w:pPr>
        <w:spacing w:after="0" w:line="240" w:lineRule="auto"/>
        <w:jc w:val="center"/>
        <w:rPr>
          <w:rFonts w:ascii="Times New Roman" w:eastAsia="Times New Roman" w:hAnsi="Times New Roman"/>
          <w:b/>
          <w:bCs/>
          <w:color w:val="000000" w:themeColor="text1"/>
          <w:sz w:val="28"/>
          <w:szCs w:val="28"/>
          <w:lang w:eastAsia="fr-FR"/>
        </w:rPr>
      </w:pPr>
      <w:r w:rsidRPr="003F3C05">
        <w:rPr>
          <w:rFonts w:ascii="Times New Roman" w:hAnsi="Times New Roman"/>
          <w:b/>
          <w:color w:val="000000" w:themeColor="text1"/>
          <w:sz w:val="28"/>
          <w:szCs w:val="28"/>
          <w:lang w:eastAsia="fr-FR"/>
        </w:rPr>
        <w:t xml:space="preserve">Pascal Ricaud, </w:t>
      </w:r>
      <w:proofErr w:type="spellStart"/>
      <w:r w:rsidRPr="003F3C05">
        <w:rPr>
          <w:rFonts w:ascii="Times New Roman" w:hAnsi="Times New Roman"/>
          <w:b/>
          <w:color w:val="000000" w:themeColor="text1"/>
          <w:sz w:val="28"/>
          <w:szCs w:val="28"/>
          <w:lang w:eastAsia="fr-FR"/>
        </w:rPr>
        <w:t>Nozha</w:t>
      </w:r>
      <w:proofErr w:type="spellEnd"/>
      <w:r w:rsidRPr="003F3C05">
        <w:rPr>
          <w:rFonts w:ascii="Times New Roman" w:hAnsi="Times New Roman"/>
          <w:b/>
          <w:color w:val="000000" w:themeColor="text1"/>
          <w:sz w:val="28"/>
          <w:szCs w:val="28"/>
          <w:lang w:eastAsia="fr-FR"/>
        </w:rPr>
        <w:t xml:space="preserve"> mati, </w:t>
      </w:r>
      <w:r>
        <w:rPr>
          <w:rFonts w:ascii="Times New Roman" w:hAnsi="Times New Roman"/>
          <w:b/>
          <w:color w:val="000000" w:themeColor="text1"/>
          <w:sz w:val="28"/>
          <w:szCs w:val="28"/>
          <w:lang w:eastAsia="fr-FR"/>
        </w:rPr>
        <w:t>« </w:t>
      </w:r>
      <w:r w:rsidRPr="003F3C05">
        <w:rPr>
          <w:rFonts w:ascii="Times New Roman" w:eastAsia="Times New Roman" w:hAnsi="Times New Roman"/>
          <w:b/>
          <w:bCs/>
          <w:color w:val="000000" w:themeColor="text1"/>
          <w:sz w:val="28"/>
          <w:szCs w:val="28"/>
          <w:lang w:eastAsia="fr-FR"/>
        </w:rPr>
        <w:t>Numérisation de la radio : effets sur les pratiques des professionnels de l’information et la participation des publics</w:t>
      </w:r>
      <w:r>
        <w:rPr>
          <w:rFonts w:ascii="Times New Roman" w:eastAsia="Times New Roman" w:hAnsi="Times New Roman"/>
          <w:b/>
          <w:bCs/>
          <w:color w:val="000000" w:themeColor="text1"/>
          <w:sz w:val="28"/>
          <w:szCs w:val="28"/>
          <w:lang w:eastAsia="fr-FR"/>
        </w:rPr>
        <w:t> »</w:t>
      </w:r>
    </w:p>
    <w:p w14:paraId="2DF98D0D" w14:textId="3C0F8C23" w:rsidR="00B045CE" w:rsidRPr="003F3C05" w:rsidRDefault="00B045CE" w:rsidP="00B045CE">
      <w:pPr>
        <w:jc w:val="center"/>
        <w:rPr>
          <w:rFonts w:ascii="Times New Roman" w:hAnsi="Times New Roman"/>
          <w:b/>
          <w:color w:val="ED7D31" w:themeColor="accent2"/>
          <w:sz w:val="28"/>
          <w:szCs w:val="28"/>
          <w:lang w:eastAsia="fr-FR"/>
        </w:rPr>
      </w:pPr>
    </w:p>
    <w:p w14:paraId="2DF98D0E" w14:textId="61C1D25B" w:rsidR="00B045CE" w:rsidRPr="003F3C05" w:rsidRDefault="00B045CE" w:rsidP="00547772">
      <w:pPr>
        <w:jc w:val="center"/>
        <w:rPr>
          <w:rFonts w:ascii="Times New Roman" w:hAnsi="Times New Roman"/>
          <w:b/>
          <w:color w:val="ED7D31" w:themeColor="accent2"/>
          <w:lang w:eastAsia="fr-FR"/>
        </w:rPr>
      </w:pPr>
      <w:r w:rsidRPr="003F3C05">
        <w:rPr>
          <w:rFonts w:ascii="Times New Roman" w:hAnsi="Times New Roman"/>
          <w:b/>
          <w:color w:val="ED7D31" w:themeColor="accent2"/>
          <w:lang w:eastAsia="fr-FR"/>
        </w:rPr>
        <w:t>(</w:t>
      </w:r>
      <w:r w:rsidR="003F3C05">
        <w:rPr>
          <w:rFonts w:ascii="Times New Roman" w:hAnsi="Times New Roman"/>
          <w:b/>
          <w:color w:val="ED7D31" w:themeColor="accent2"/>
          <w:lang w:eastAsia="fr-FR"/>
        </w:rPr>
        <w:t xml:space="preserve">Revue </w:t>
      </w:r>
      <w:r w:rsidR="003F3C05">
        <w:rPr>
          <w:rFonts w:ascii="Times New Roman" w:hAnsi="Times New Roman"/>
          <w:b/>
          <w:i/>
          <w:color w:val="ED7D31" w:themeColor="accent2"/>
          <w:lang w:eastAsia="fr-FR"/>
        </w:rPr>
        <w:t>Les enjeux de l’information et de la communication,</w:t>
      </w:r>
      <w:r w:rsidR="003F3C05">
        <w:rPr>
          <w:rFonts w:ascii="Times New Roman" w:hAnsi="Times New Roman"/>
          <w:b/>
          <w:color w:val="ED7D31" w:themeColor="accent2"/>
          <w:lang w:eastAsia="fr-FR"/>
        </w:rPr>
        <w:t xml:space="preserve"> </w:t>
      </w:r>
      <w:r w:rsidR="00793E18" w:rsidRPr="003F3C05">
        <w:rPr>
          <w:rFonts w:ascii="Times New Roman" w:hAnsi="Times New Roman"/>
          <w:b/>
          <w:color w:val="ED7D31" w:themeColor="accent2"/>
          <w:lang w:eastAsia="fr-FR"/>
        </w:rPr>
        <w:t>201</w:t>
      </w:r>
      <w:r w:rsidR="003F3C05">
        <w:rPr>
          <w:rFonts w:ascii="Times New Roman" w:hAnsi="Times New Roman"/>
          <w:b/>
          <w:color w:val="ED7D31" w:themeColor="accent2"/>
          <w:lang w:eastAsia="fr-FR"/>
        </w:rPr>
        <w:t>7/2</w:t>
      </w:r>
      <w:r w:rsidR="00793E18" w:rsidRPr="003F3C05">
        <w:rPr>
          <w:rFonts w:ascii="Times New Roman" w:hAnsi="Times New Roman"/>
          <w:b/>
          <w:color w:val="ED7D31" w:themeColor="accent2"/>
          <w:lang w:eastAsia="fr-FR"/>
        </w:rPr>
        <w:t>,</w:t>
      </w:r>
      <w:r w:rsidR="003F3C05">
        <w:rPr>
          <w:rFonts w:ascii="Times New Roman" w:hAnsi="Times New Roman"/>
          <w:b/>
          <w:color w:val="ED7D31" w:themeColor="accent2"/>
          <w:lang w:eastAsia="fr-FR"/>
        </w:rPr>
        <w:t xml:space="preserve"> N°18/2, pp. 33-46</w:t>
      </w:r>
      <w:r w:rsidRPr="003F3C05">
        <w:rPr>
          <w:rFonts w:ascii="Times New Roman" w:hAnsi="Times New Roman"/>
          <w:b/>
          <w:color w:val="ED7D31" w:themeColor="accent2"/>
          <w:lang w:eastAsia="fr-FR"/>
        </w:rPr>
        <w:t>)</w:t>
      </w:r>
    </w:p>
    <w:p w14:paraId="6586A3E6" w14:textId="548972C4" w:rsidR="00AE667E" w:rsidRDefault="003F3C05" w:rsidP="003F3C05">
      <w:pPr>
        <w:jc w:val="both"/>
        <w:rPr>
          <w:rFonts w:ascii="Times New Roman" w:hAnsi="Times New Roman"/>
          <w:sz w:val="24"/>
          <w:szCs w:val="24"/>
        </w:rPr>
      </w:pPr>
      <w:r>
        <w:rPr>
          <w:rFonts w:ascii="Times New Roman" w:hAnsi="Times New Roman"/>
          <w:sz w:val="24"/>
          <w:szCs w:val="24"/>
        </w:rPr>
        <w:t xml:space="preserve"> </w:t>
      </w:r>
    </w:p>
    <w:p w14:paraId="72063187" w14:textId="09BB81FB" w:rsidR="003F3C05" w:rsidRPr="003F3C05" w:rsidRDefault="003F3C05" w:rsidP="003F3C05">
      <w:pPr>
        <w:jc w:val="both"/>
        <w:outlineLvl w:val="0"/>
        <w:rPr>
          <w:rFonts w:ascii="Times New Roman" w:hAnsi="Times New Roman"/>
          <w:color w:val="000000" w:themeColor="text1"/>
          <w:sz w:val="24"/>
          <w:szCs w:val="24"/>
        </w:rPr>
      </w:pPr>
      <w:r w:rsidRPr="003F3C05">
        <w:rPr>
          <w:rFonts w:ascii="Times New Roman" w:hAnsi="Times New Roman"/>
          <w:color w:val="000000" w:themeColor="text1"/>
          <w:sz w:val="24"/>
          <w:szCs w:val="24"/>
        </w:rPr>
        <w:t xml:space="preserve">Certains modes de participation des auditeurs s’inscrivent dans une tradition renouvelée, réorganisée notamment à travers l’usage de réseaux sociaux, comme on peut l’observer par exemple à propos des correspondants locaux des (web)radios communautaires (Ricaud, 2015).  Les réseaux sociaux permettent alors une prise directe et « permanente » avec le local. Et l’exemple des diasporas, à propos des webradios tunisiennes (Smati, 2013), permet de mieux saisir toute l’importance de ce rapprochement avec le territoire d’origine. </w:t>
      </w:r>
    </w:p>
    <w:p w14:paraId="360FEA65" w14:textId="72A6F330" w:rsidR="001B47E4" w:rsidRPr="003F3C05" w:rsidRDefault="003F3C05" w:rsidP="003F3C05">
      <w:pPr>
        <w:jc w:val="both"/>
        <w:outlineLvl w:val="0"/>
        <w:rPr>
          <w:rFonts w:ascii="Times New Roman" w:hAnsi="Times New Roman"/>
          <w:color w:val="000000" w:themeColor="text1"/>
          <w:sz w:val="24"/>
          <w:szCs w:val="24"/>
        </w:rPr>
      </w:pPr>
      <w:r w:rsidRPr="003F3C05">
        <w:rPr>
          <w:rFonts w:ascii="Times New Roman" w:hAnsi="Times New Roman"/>
          <w:color w:val="000000" w:themeColor="text1"/>
          <w:sz w:val="24"/>
          <w:szCs w:val="24"/>
        </w:rPr>
        <w:t>Des correspondants locaux connectés, des auxiliaires d’information régulièrement sollicités, des informateurs occasionnels répondant à des appels à témoignage de la part des médias eux-mêmes ou livrant spontanément des photos, des vidéos moyennant rétribution ; tout cela n’est finalement pas si nouveau, si on excepte le fait qu’ils disposent de nos jours de moyens technologiques autrement plus efficaces en termes de captation, de communication et de diffusion.</w:t>
      </w:r>
    </w:p>
    <w:p w14:paraId="5FE10806" w14:textId="12C6E578" w:rsidR="001B47E4" w:rsidRPr="003F3C05" w:rsidRDefault="003F3C05" w:rsidP="003F3C05">
      <w:pPr>
        <w:jc w:val="both"/>
        <w:outlineLvl w:val="0"/>
        <w:rPr>
          <w:rFonts w:ascii="Times New Roman" w:hAnsi="Times New Roman"/>
          <w:color w:val="000000" w:themeColor="text1"/>
          <w:sz w:val="24"/>
          <w:szCs w:val="24"/>
        </w:rPr>
      </w:pPr>
      <w:r w:rsidRPr="003F3C05">
        <w:rPr>
          <w:rFonts w:ascii="Times New Roman" w:hAnsi="Times New Roman"/>
          <w:color w:val="000000" w:themeColor="text1"/>
          <w:sz w:val="24"/>
          <w:szCs w:val="24"/>
        </w:rPr>
        <w:t>(…)</w:t>
      </w:r>
    </w:p>
    <w:p w14:paraId="510ED19E" w14:textId="77777777" w:rsidR="003F3C05" w:rsidRPr="003F3C05" w:rsidRDefault="003F3C05" w:rsidP="003F3C05">
      <w:pPr>
        <w:spacing w:after="0" w:line="240" w:lineRule="auto"/>
        <w:jc w:val="both"/>
        <w:rPr>
          <w:rFonts w:ascii="Times New Roman" w:eastAsia="Times New Roman" w:hAnsi="Times New Roman"/>
          <w:sz w:val="24"/>
          <w:szCs w:val="24"/>
          <w:lang w:eastAsia="fr-FR"/>
        </w:rPr>
      </w:pPr>
      <w:r w:rsidRPr="003F3C05">
        <w:rPr>
          <w:rFonts w:ascii="Times New Roman" w:eastAsia="Times New Roman" w:hAnsi="Times New Roman"/>
          <w:sz w:val="24"/>
          <w:szCs w:val="24"/>
          <w:lang w:eastAsia="fr-FR"/>
        </w:rPr>
        <w:t>Les différents contributeurs réguliers à l’information, ou « </w:t>
      </w:r>
      <w:proofErr w:type="spellStart"/>
      <w:r w:rsidRPr="003F3C05">
        <w:rPr>
          <w:rFonts w:ascii="Times New Roman" w:eastAsia="Times New Roman" w:hAnsi="Times New Roman"/>
          <w:sz w:val="24"/>
          <w:szCs w:val="24"/>
          <w:lang w:eastAsia="fr-FR"/>
        </w:rPr>
        <w:t>intermédiateurs</w:t>
      </w:r>
      <w:proofErr w:type="spellEnd"/>
      <w:r w:rsidRPr="003F3C05">
        <w:rPr>
          <w:rFonts w:ascii="Times New Roman" w:eastAsia="Times New Roman" w:hAnsi="Times New Roman"/>
          <w:sz w:val="24"/>
          <w:szCs w:val="24"/>
          <w:lang w:eastAsia="fr-FR"/>
        </w:rPr>
        <w:t xml:space="preserve"> », se distinguent de tous ceux qui, plus ou moins anonymes, apportent une participation non rétribuée et non sollicitée assimilable à un </w:t>
      </w:r>
      <w:r w:rsidRPr="003F3C05">
        <w:rPr>
          <w:rFonts w:ascii="Times New Roman" w:eastAsia="Times New Roman" w:hAnsi="Times New Roman"/>
          <w:i/>
          <w:iCs/>
          <w:sz w:val="24"/>
          <w:szCs w:val="24"/>
          <w:lang w:eastAsia="fr-FR"/>
        </w:rPr>
        <w:t xml:space="preserve">digital </w:t>
      </w:r>
      <w:proofErr w:type="spellStart"/>
      <w:r w:rsidRPr="003F3C05">
        <w:rPr>
          <w:rFonts w:ascii="Times New Roman" w:eastAsia="Times New Roman" w:hAnsi="Times New Roman"/>
          <w:i/>
          <w:iCs/>
          <w:sz w:val="24"/>
          <w:szCs w:val="24"/>
          <w:lang w:eastAsia="fr-FR"/>
        </w:rPr>
        <w:t>labor</w:t>
      </w:r>
      <w:proofErr w:type="spellEnd"/>
      <w:r w:rsidRPr="003F3C05">
        <w:rPr>
          <w:rFonts w:ascii="Times New Roman" w:eastAsia="Times New Roman" w:hAnsi="Times New Roman"/>
          <w:i/>
          <w:iCs/>
          <w:sz w:val="24"/>
          <w:szCs w:val="24"/>
          <w:lang w:eastAsia="fr-FR"/>
        </w:rPr>
        <w:t xml:space="preserve"> </w:t>
      </w:r>
      <w:r w:rsidRPr="003F3C05">
        <w:rPr>
          <w:rFonts w:ascii="Times New Roman" w:eastAsia="Times New Roman" w:hAnsi="Times New Roman"/>
          <w:sz w:val="24"/>
          <w:szCs w:val="24"/>
          <w:lang w:eastAsia="fr-FR"/>
        </w:rPr>
        <w:t xml:space="preserve">(Cardon et </w:t>
      </w:r>
      <w:proofErr w:type="spellStart"/>
      <w:r w:rsidRPr="003F3C05">
        <w:rPr>
          <w:rFonts w:ascii="Times New Roman" w:eastAsia="Times New Roman" w:hAnsi="Times New Roman"/>
          <w:sz w:val="24"/>
          <w:szCs w:val="24"/>
          <w:lang w:eastAsia="fr-FR"/>
        </w:rPr>
        <w:t>Casili</w:t>
      </w:r>
      <w:proofErr w:type="spellEnd"/>
      <w:r w:rsidRPr="003F3C05">
        <w:rPr>
          <w:rFonts w:ascii="Times New Roman" w:eastAsia="Times New Roman" w:hAnsi="Times New Roman"/>
          <w:sz w:val="24"/>
          <w:szCs w:val="24"/>
          <w:lang w:eastAsia="fr-FR"/>
        </w:rPr>
        <w:t xml:space="preserve">, 2015) (dont elle remplit toutes les conditions de production, d’encadrement/ imposition de contraintes de production et d’évaluation/ valorisation), en apportant de manière consciente une information, une définition, une correction… La dimension participative de ces nouveaux modes de contribution reste à analyser au-delà des poncifs d’une « agora virtuelle » ou d’un nouvel « espace public médiatique ». Chaque participant est le chaînon plus ou moins anonyme d’une chaîne de l’information dont il ne maîtrise rien ou si peu finalement. Certains seront fascinés par l’audience que leur offre les réseaux sociaux et la perspective d’être repris, cités dans les médias réputés les plus sérieux. Une célébrité acquise le temps d’une traînée de poudre informationnelle n’excédant pas un ou deux jours le plus souvent. </w:t>
      </w:r>
    </w:p>
    <w:p w14:paraId="735DDCB2" w14:textId="77777777" w:rsidR="003F3C05" w:rsidRPr="003F3C05" w:rsidRDefault="003F3C05" w:rsidP="003F3C05">
      <w:pPr>
        <w:jc w:val="both"/>
        <w:outlineLvl w:val="0"/>
        <w:rPr>
          <w:rFonts w:ascii="Times New Roman" w:hAnsi="Times New Roman"/>
          <w:color w:val="000000" w:themeColor="text1"/>
          <w:sz w:val="24"/>
          <w:szCs w:val="24"/>
        </w:rPr>
      </w:pPr>
    </w:p>
    <w:p w14:paraId="5C09BAA7" w14:textId="77777777" w:rsidR="001B47E4" w:rsidRPr="003F3C05" w:rsidRDefault="001B47E4" w:rsidP="003F3C05">
      <w:pPr>
        <w:jc w:val="both"/>
        <w:outlineLvl w:val="0"/>
        <w:rPr>
          <w:rFonts w:ascii="Times New Roman" w:hAnsi="Times New Roman"/>
          <w:color w:val="000000" w:themeColor="text1"/>
          <w:sz w:val="24"/>
          <w:szCs w:val="24"/>
        </w:rPr>
      </w:pPr>
    </w:p>
    <w:p w14:paraId="4ED599DF" w14:textId="77777777" w:rsidR="001B47E4" w:rsidRDefault="001B47E4" w:rsidP="00AE667E">
      <w:pPr>
        <w:jc w:val="center"/>
        <w:outlineLvl w:val="0"/>
        <w:rPr>
          <w:rFonts w:ascii="Times New Roman" w:hAnsi="Times New Roman"/>
          <w:b/>
          <w:color w:val="7F7F7F"/>
          <w:sz w:val="28"/>
          <w:szCs w:val="28"/>
        </w:rPr>
      </w:pPr>
    </w:p>
    <w:p w14:paraId="1A64B359" w14:textId="77777777" w:rsidR="001B47E4" w:rsidRDefault="001B47E4" w:rsidP="00AE667E">
      <w:pPr>
        <w:jc w:val="center"/>
        <w:outlineLvl w:val="0"/>
        <w:rPr>
          <w:rFonts w:ascii="Times New Roman" w:hAnsi="Times New Roman"/>
          <w:b/>
          <w:color w:val="7F7F7F"/>
          <w:sz w:val="28"/>
          <w:szCs w:val="28"/>
        </w:rPr>
      </w:pPr>
    </w:p>
    <w:p w14:paraId="26F52036" w14:textId="737CEB88" w:rsidR="00AE667E" w:rsidRDefault="00AE667E" w:rsidP="00AE667E">
      <w:pPr>
        <w:jc w:val="center"/>
        <w:outlineLvl w:val="0"/>
        <w:rPr>
          <w:rFonts w:ascii="Times New Roman" w:hAnsi="Times New Roman"/>
          <w:b/>
          <w:color w:val="7F7F7F"/>
          <w:sz w:val="28"/>
          <w:szCs w:val="28"/>
        </w:rPr>
      </w:pPr>
      <w:r>
        <w:rPr>
          <w:rFonts w:ascii="Times New Roman" w:hAnsi="Times New Roman"/>
          <w:b/>
          <w:color w:val="7F7F7F"/>
          <w:sz w:val="28"/>
          <w:szCs w:val="28"/>
        </w:rPr>
        <w:t>Webographie</w:t>
      </w:r>
    </w:p>
    <w:p w14:paraId="3C4B11C2" w14:textId="2F16B773" w:rsidR="00AE667E" w:rsidRPr="00AE667E" w:rsidRDefault="001B47E4" w:rsidP="00AE667E">
      <w:pPr>
        <w:jc w:val="center"/>
        <w:outlineLvl w:val="0"/>
        <w:rPr>
          <w:rFonts w:ascii="Times New Roman" w:hAnsi="Times New Roman"/>
          <w:b/>
          <w:color w:val="7F7F7F"/>
          <w:sz w:val="28"/>
          <w:szCs w:val="28"/>
        </w:rPr>
      </w:pPr>
      <w:r>
        <w:rPr>
          <w:rFonts w:ascii="Times New Roman" w:hAnsi="Times New Roman"/>
          <w:b/>
          <w:color w:val="7F7F7F"/>
          <w:sz w:val="28"/>
          <w:szCs w:val="28"/>
        </w:rPr>
        <w:t>Pour restitution et</w:t>
      </w:r>
      <w:r w:rsidR="00AE667E">
        <w:rPr>
          <w:rFonts w:ascii="Times New Roman" w:hAnsi="Times New Roman"/>
          <w:b/>
          <w:color w:val="7F7F7F"/>
          <w:sz w:val="28"/>
          <w:szCs w:val="28"/>
        </w:rPr>
        <w:t xml:space="preserve"> discussion  </w:t>
      </w:r>
    </w:p>
    <w:p w14:paraId="2DF98D13" w14:textId="2711D619" w:rsidR="00E420D6" w:rsidRPr="00636479" w:rsidRDefault="003F3C05">
      <w:pPr>
        <w:rPr>
          <w:color w:val="ED7D31" w:themeColor="accent2"/>
        </w:rPr>
      </w:pPr>
      <w:r>
        <w:t xml:space="preserve"> </w:t>
      </w:r>
    </w:p>
    <w:p w14:paraId="2DF98D14" w14:textId="1AD9705F" w:rsidR="00E420D6" w:rsidRPr="00D36C94" w:rsidRDefault="00000000">
      <w:pPr>
        <w:rPr>
          <w:color w:val="ED7D31" w:themeColor="accent2"/>
        </w:rPr>
      </w:pPr>
      <w:hyperlink r:id="rId6" w:history="1">
        <w:r w:rsidR="003F3C05" w:rsidRPr="00D36C94">
          <w:rPr>
            <w:rStyle w:val="Lienhypertexte"/>
            <w:color w:val="ED7D31" w:themeColor="accent2"/>
          </w:rPr>
          <w:t>https://www.cairn.info/revue-les-enjeux-de-l-information-et-de-la-communication-2017-2-page-33.htm?contenu=article</w:t>
        </w:r>
      </w:hyperlink>
    </w:p>
    <w:p w14:paraId="4B624C9E" w14:textId="3069B7A4" w:rsidR="003F3C05" w:rsidRPr="00D36C94" w:rsidRDefault="00000000">
      <w:pPr>
        <w:rPr>
          <w:color w:val="ED7D31" w:themeColor="accent2"/>
        </w:rPr>
      </w:pPr>
      <w:hyperlink r:id="rId7" w:history="1">
        <w:r w:rsidR="00DA0A6A" w:rsidRPr="00D36C94">
          <w:rPr>
            <w:rStyle w:val="Lienhypertexte"/>
            <w:color w:val="ED7D31" w:themeColor="accent2"/>
          </w:rPr>
          <w:t>https://www.cairn.info/revue-les-cahiers-du-numerique-2010-1-page-157.htm</w:t>
        </w:r>
      </w:hyperlink>
      <w:r w:rsidR="00DA0A6A" w:rsidRPr="00D36C94">
        <w:rPr>
          <w:color w:val="ED7D31" w:themeColor="accent2"/>
        </w:rPr>
        <w:t xml:space="preserve"> </w:t>
      </w:r>
    </w:p>
    <w:p w14:paraId="12245162" w14:textId="0147A97A" w:rsidR="00D36C94" w:rsidRPr="00D36C94" w:rsidRDefault="00000000">
      <w:pPr>
        <w:rPr>
          <w:color w:val="ED7D31" w:themeColor="accent2"/>
        </w:rPr>
      </w:pPr>
      <w:hyperlink r:id="rId8" w:history="1">
        <w:r w:rsidR="00DA0A6A" w:rsidRPr="00D36C94">
          <w:rPr>
            <w:rStyle w:val="Lienhypertexte"/>
            <w:color w:val="ED7D31" w:themeColor="accent2"/>
          </w:rPr>
          <w:t>http://publictionnaire.huma-num.fr/notice/journalisme-participatif/</w:t>
        </w:r>
      </w:hyperlink>
      <w:r w:rsidR="00DA0A6A" w:rsidRPr="00D36C94">
        <w:rPr>
          <w:color w:val="ED7D31" w:themeColor="accent2"/>
        </w:rPr>
        <w:t xml:space="preserve"> </w:t>
      </w:r>
    </w:p>
    <w:p w14:paraId="62B0C02C" w14:textId="3912C75C" w:rsidR="00D36C94" w:rsidRPr="00D36C94" w:rsidRDefault="00000000">
      <w:pPr>
        <w:rPr>
          <w:color w:val="ED7D31" w:themeColor="accent2"/>
        </w:rPr>
      </w:pPr>
      <w:hyperlink r:id="rId9" w:history="1">
        <w:r w:rsidR="00D36C94" w:rsidRPr="00D36C94">
          <w:rPr>
            <w:rStyle w:val="Lienhypertexte"/>
            <w:color w:val="ED7D31" w:themeColor="accent2"/>
          </w:rPr>
          <w:t>https://www.agoravox.fr/</w:t>
        </w:r>
      </w:hyperlink>
      <w:r w:rsidR="00D36C94" w:rsidRPr="00D36C94">
        <w:rPr>
          <w:color w:val="ED7D31" w:themeColor="accent2"/>
        </w:rPr>
        <w:t xml:space="preserve"> </w:t>
      </w:r>
    </w:p>
    <w:p w14:paraId="3C6F2D89" w14:textId="1645BD9D" w:rsidR="00DA0A6A" w:rsidRPr="00D36C94" w:rsidRDefault="00000000">
      <w:pPr>
        <w:rPr>
          <w:color w:val="ED7D31" w:themeColor="accent2"/>
        </w:rPr>
      </w:pPr>
      <w:hyperlink r:id="rId10" w:history="1">
        <w:r w:rsidR="00DA0A6A" w:rsidRPr="00D36C94">
          <w:rPr>
            <w:rStyle w:val="Lienhypertexte"/>
            <w:color w:val="ED7D31" w:themeColor="accent2"/>
          </w:rPr>
          <w:t>https://larevuedesmedias.ina.fr/quest-ce-que-le-digital-labor</w:t>
        </w:r>
      </w:hyperlink>
      <w:r w:rsidR="00DA0A6A" w:rsidRPr="00D36C94">
        <w:rPr>
          <w:color w:val="ED7D31" w:themeColor="accent2"/>
        </w:rPr>
        <w:t xml:space="preserve"> </w:t>
      </w:r>
    </w:p>
    <w:p w14:paraId="0C87E84F" w14:textId="320578A9" w:rsidR="00DA0A6A" w:rsidRPr="00D36C94" w:rsidRDefault="00000000">
      <w:pPr>
        <w:rPr>
          <w:color w:val="ED7D31" w:themeColor="accent2"/>
        </w:rPr>
      </w:pPr>
      <w:hyperlink r:id="rId11" w:history="1">
        <w:r w:rsidR="00DA0A6A" w:rsidRPr="00D36C94">
          <w:rPr>
            <w:rStyle w:val="Lienhypertexte"/>
            <w:color w:val="ED7D31" w:themeColor="accent2"/>
          </w:rPr>
          <w:t>https://www.master-journalisme-gennevilliers.fr/nous-pratiquons-tous-le-digital-labor/</w:t>
        </w:r>
      </w:hyperlink>
      <w:r w:rsidR="00DA0A6A" w:rsidRPr="00D36C94">
        <w:rPr>
          <w:color w:val="ED7D31" w:themeColor="accent2"/>
        </w:rPr>
        <w:t xml:space="preserve"> </w:t>
      </w:r>
    </w:p>
    <w:p w14:paraId="16F2ACA9" w14:textId="6EEDB5F0" w:rsidR="00DA0A6A" w:rsidRPr="00D36C94" w:rsidRDefault="00000000">
      <w:pPr>
        <w:rPr>
          <w:color w:val="ED7D31" w:themeColor="accent2"/>
        </w:rPr>
      </w:pPr>
      <w:hyperlink r:id="rId12" w:history="1">
        <w:r w:rsidR="00DA0A6A" w:rsidRPr="00D36C94">
          <w:rPr>
            <w:rStyle w:val="Lienhypertexte"/>
            <w:color w:val="ED7D31" w:themeColor="accent2"/>
          </w:rPr>
          <w:t>https://journals.openedition.org/nrt/2767</w:t>
        </w:r>
      </w:hyperlink>
      <w:r w:rsidR="00DA0A6A" w:rsidRPr="00D36C94">
        <w:rPr>
          <w:color w:val="ED7D31" w:themeColor="accent2"/>
        </w:rPr>
        <w:t xml:space="preserve"> </w:t>
      </w:r>
    </w:p>
    <w:p w14:paraId="5ED55EBB" w14:textId="77777777" w:rsidR="00DA0A6A" w:rsidRDefault="00DA0A6A"/>
    <w:p w14:paraId="209C360C" w14:textId="77777777" w:rsidR="003F3C05" w:rsidRDefault="003F3C05"/>
    <w:p w14:paraId="2DF98D15" w14:textId="77777777" w:rsidR="001B0933" w:rsidRDefault="001B0933"/>
    <w:p w14:paraId="2DF98D16" w14:textId="77777777" w:rsidR="00241820" w:rsidRDefault="00241820"/>
    <w:p w14:paraId="2DF98D17" w14:textId="77777777" w:rsidR="00416938" w:rsidRDefault="00416938"/>
    <w:sectPr w:rsidR="00416938">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5AE13" w14:textId="77777777" w:rsidR="004F3CC3" w:rsidRDefault="004F3CC3" w:rsidP="00727352">
      <w:pPr>
        <w:spacing w:after="0" w:line="240" w:lineRule="auto"/>
      </w:pPr>
      <w:r>
        <w:separator/>
      </w:r>
    </w:p>
  </w:endnote>
  <w:endnote w:type="continuationSeparator" w:id="0">
    <w:p w14:paraId="7281FF70" w14:textId="77777777" w:rsidR="004F3CC3" w:rsidRDefault="004F3CC3" w:rsidP="00727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F1658" w14:textId="77777777" w:rsidR="004F3CC3" w:rsidRDefault="004F3CC3" w:rsidP="00727352">
      <w:pPr>
        <w:spacing w:after="0" w:line="240" w:lineRule="auto"/>
      </w:pPr>
      <w:r>
        <w:separator/>
      </w:r>
    </w:p>
  </w:footnote>
  <w:footnote w:type="continuationSeparator" w:id="0">
    <w:p w14:paraId="50EB29E3" w14:textId="77777777" w:rsidR="004F3CC3" w:rsidRDefault="004F3CC3" w:rsidP="007273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98D1C" w14:textId="63DB3C05" w:rsidR="00727352" w:rsidRPr="00727352" w:rsidRDefault="00727352" w:rsidP="00727352">
    <w:pPr>
      <w:tabs>
        <w:tab w:val="center" w:pos="4536"/>
        <w:tab w:val="right" w:pos="9072"/>
      </w:tabs>
      <w:spacing w:after="0" w:line="240" w:lineRule="auto"/>
      <w:rPr>
        <w:b/>
        <w:sz w:val="20"/>
        <w:szCs w:val="20"/>
      </w:rPr>
    </w:pPr>
    <w:r w:rsidRPr="00727352">
      <w:rPr>
        <w:b/>
        <w:sz w:val="20"/>
        <w:szCs w:val="20"/>
      </w:rPr>
      <w:t>MMI 1</w:t>
    </w:r>
    <w:r w:rsidRPr="00727352">
      <w:rPr>
        <w:b/>
        <w:sz w:val="20"/>
        <w:szCs w:val="20"/>
        <w:vertAlign w:val="superscript"/>
      </w:rPr>
      <w:t>ère</w:t>
    </w:r>
    <w:r>
      <w:rPr>
        <w:b/>
        <w:sz w:val="20"/>
        <w:szCs w:val="20"/>
      </w:rPr>
      <w:t xml:space="preserve"> année – </w:t>
    </w:r>
    <w:r w:rsidR="008E409E">
      <w:rPr>
        <w:b/>
        <w:sz w:val="20"/>
        <w:szCs w:val="20"/>
      </w:rPr>
      <w:t>R104 – TD1</w:t>
    </w:r>
    <w:r w:rsidRPr="00727352">
      <w:rPr>
        <w:b/>
        <w:sz w:val="20"/>
        <w:szCs w:val="20"/>
      </w:rPr>
      <w:t xml:space="preserve">                </w:t>
    </w:r>
    <w:r w:rsidR="007F1897">
      <w:rPr>
        <w:b/>
        <w:sz w:val="20"/>
        <w:szCs w:val="20"/>
      </w:rPr>
      <w:tab/>
    </w:r>
    <w:r w:rsidR="007F1897">
      <w:rPr>
        <w:b/>
        <w:sz w:val="20"/>
        <w:szCs w:val="20"/>
      </w:rPr>
      <w:tab/>
    </w:r>
    <w:r w:rsidRPr="00727352">
      <w:rPr>
        <w:b/>
        <w:sz w:val="20"/>
        <w:szCs w:val="20"/>
      </w:rPr>
      <w:t xml:space="preserve">          </w:t>
    </w:r>
    <w:r w:rsidR="007F1897">
      <w:rPr>
        <w:noProof/>
      </w:rPr>
      <w:drawing>
        <wp:inline distT="0" distB="0" distL="0" distR="0" wp14:anchorId="03A942DB" wp14:editId="0F767BAA">
          <wp:extent cx="723900" cy="7239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pic:spPr>
              </pic:pic>
            </a:graphicData>
          </a:graphic>
        </wp:inline>
      </w:drawing>
    </w:r>
    <w:r w:rsidRPr="00727352">
      <w:rPr>
        <w:b/>
        <w:sz w:val="20"/>
        <w:szCs w:val="20"/>
      </w:rPr>
      <w:t xml:space="preserve">                                                                                                             </w:t>
    </w:r>
  </w:p>
  <w:p w14:paraId="2DF98D1D" w14:textId="754041F0" w:rsidR="00727352" w:rsidRDefault="00727352">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5"/>
  <w:proofState w:spelling="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7DF"/>
    <w:rsid w:val="00031022"/>
    <w:rsid w:val="001533F5"/>
    <w:rsid w:val="001A321D"/>
    <w:rsid w:val="001B0933"/>
    <w:rsid w:val="001B47E4"/>
    <w:rsid w:val="00212272"/>
    <w:rsid w:val="00241820"/>
    <w:rsid w:val="0025163E"/>
    <w:rsid w:val="002C5F52"/>
    <w:rsid w:val="00334FEE"/>
    <w:rsid w:val="003F3C05"/>
    <w:rsid w:val="00416938"/>
    <w:rsid w:val="0042341B"/>
    <w:rsid w:val="004768A2"/>
    <w:rsid w:val="00486CDB"/>
    <w:rsid w:val="004F3CC3"/>
    <w:rsid w:val="005349C3"/>
    <w:rsid w:val="005429F4"/>
    <w:rsid w:val="00547772"/>
    <w:rsid w:val="00551C69"/>
    <w:rsid w:val="005D609E"/>
    <w:rsid w:val="00636479"/>
    <w:rsid w:val="006524EB"/>
    <w:rsid w:val="00727352"/>
    <w:rsid w:val="00793E18"/>
    <w:rsid w:val="007D4F7A"/>
    <w:rsid w:val="007E5440"/>
    <w:rsid w:val="007F1897"/>
    <w:rsid w:val="007F6128"/>
    <w:rsid w:val="008103F5"/>
    <w:rsid w:val="008503C0"/>
    <w:rsid w:val="00850CEA"/>
    <w:rsid w:val="008E409E"/>
    <w:rsid w:val="0095677E"/>
    <w:rsid w:val="009A1D45"/>
    <w:rsid w:val="00AC77DF"/>
    <w:rsid w:val="00AD605F"/>
    <w:rsid w:val="00AD6DBD"/>
    <w:rsid w:val="00AE667E"/>
    <w:rsid w:val="00B045CE"/>
    <w:rsid w:val="00B13453"/>
    <w:rsid w:val="00B966E3"/>
    <w:rsid w:val="00C747CB"/>
    <w:rsid w:val="00D36C94"/>
    <w:rsid w:val="00D91184"/>
    <w:rsid w:val="00DA0A6A"/>
    <w:rsid w:val="00E420D6"/>
    <w:rsid w:val="00E607C1"/>
    <w:rsid w:val="00EA32FE"/>
    <w:rsid w:val="00F05C92"/>
    <w:rsid w:val="00FF5F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F98D0A"/>
  <w15:chartTrackingRefBased/>
  <w15:docId w15:val="{60890D17-DC05-43EA-A8DE-453D0A294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E18"/>
    <w:pPr>
      <w:spacing w:after="200" w:line="276" w:lineRule="auto"/>
    </w:pPr>
    <w:rPr>
      <w:rFonts w:ascii="Calibri" w:eastAsia="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27352"/>
    <w:pPr>
      <w:tabs>
        <w:tab w:val="center" w:pos="4536"/>
        <w:tab w:val="right" w:pos="9072"/>
      </w:tabs>
      <w:spacing w:after="0" w:line="240" w:lineRule="auto"/>
    </w:pPr>
  </w:style>
  <w:style w:type="character" w:customStyle="1" w:styleId="En-tteCar">
    <w:name w:val="En-tête Car"/>
    <w:basedOn w:val="Policepardfaut"/>
    <w:link w:val="En-tte"/>
    <w:uiPriority w:val="99"/>
    <w:rsid w:val="00727352"/>
    <w:rPr>
      <w:rFonts w:ascii="Calibri" w:eastAsia="Calibri" w:hAnsi="Calibri" w:cs="Times New Roman"/>
    </w:rPr>
  </w:style>
  <w:style w:type="paragraph" w:styleId="Pieddepage">
    <w:name w:val="footer"/>
    <w:basedOn w:val="Normal"/>
    <w:link w:val="PieddepageCar"/>
    <w:uiPriority w:val="99"/>
    <w:unhideWhenUsed/>
    <w:rsid w:val="0072735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27352"/>
    <w:rPr>
      <w:rFonts w:ascii="Calibri" w:eastAsia="Calibri" w:hAnsi="Calibri" w:cs="Times New Roman"/>
    </w:rPr>
  </w:style>
  <w:style w:type="character" w:styleId="Lienhypertexte">
    <w:name w:val="Hyperlink"/>
    <w:basedOn w:val="Policepardfaut"/>
    <w:uiPriority w:val="99"/>
    <w:unhideWhenUsed/>
    <w:rsid w:val="00E420D6"/>
    <w:rPr>
      <w:color w:val="0563C1" w:themeColor="hyperlink"/>
      <w:u w:val="single"/>
    </w:rPr>
  </w:style>
  <w:style w:type="character" w:styleId="Lienhypertextesuivivisit">
    <w:name w:val="FollowedHyperlink"/>
    <w:basedOn w:val="Policepardfaut"/>
    <w:uiPriority w:val="99"/>
    <w:semiHidden/>
    <w:unhideWhenUsed/>
    <w:rsid w:val="005D609E"/>
    <w:rPr>
      <w:color w:val="954F72" w:themeColor="followedHyperlink"/>
      <w:u w:val="single"/>
    </w:rPr>
  </w:style>
  <w:style w:type="character" w:styleId="Accentuation">
    <w:name w:val="Emphasis"/>
    <w:basedOn w:val="Policepardfaut"/>
    <w:uiPriority w:val="20"/>
    <w:qFormat/>
    <w:rsid w:val="003F3C05"/>
    <w:rPr>
      <w:i/>
      <w:iCs/>
    </w:rPr>
  </w:style>
  <w:style w:type="character" w:styleId="Mentionnonrsolue">
    <w:name w:val="Unresolved Mention"/>
    <w:basedOn w:val="Policepardfaut"/>
    <w:uiPriority w:val="99"/>
    <w:semiHidden/>
    <w:unhideWhenUsed/>
    <w:rsid w:val="003F3C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665970">
      <w:bodyDiv w:val="1"/>
      <w:marLeft w:val="0"/>
      <w:marRight w:val="0"/>
      <w:marTop w:val="0"/>
      <w:marBottom w:val="0"/>
      <w:divBdr>
        <w:top w:val="none" w:sz="0" w:space="0" w:color="auto"/>
        <w:left w:val="none" w:sz="0" w:space="0" w:color="auto"/>
        <w:bottom w:val="none" w:sz="0" w:space="0" w:color="auto"/>
        <w:right w:val="none" w:sz="0" w:space="0" w:color="auto"/>
      </w:divBdr>
    </w:div>
    <w:div w:id="1618875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ublictionnaire.huma-num.fr/notice/journalisme-participatif/"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cairn.info/revue-les-cahiers-du-numerique-2010-1-page-157.htm" TargetMode="External"/><Relationship Id="rId12" Type="http://schemas.openxmlformats.org/officeDocument/2006/relationships/hyperlink" Target="https://journals.openedition.org/nrt/276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airn.info/revue-les-enjeux-de-l-information-et-de-la-communication-2017-2-page-33.htm?contenu=article" TargetMode="External"/><Relationship Id="rId11" Type="http://schemas.openxmlformats.org/officeDocument/2006/relationships/hyperlink" Target="https://www.master-journalisme-gennevilliers.fr/nous-pratiquons-tous-le-digital-labor/"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larevuedesmedias.ina.fr/quest-ce-que-le-digital-labor" TargetMode="External"/><Relationship Id="rId4" Type="http://schemas.openxmlformats.org/officeDocument/2006/relationships/footnotes" Target="footnotes.xml"/><Relationship Id="rId9" Type="http://schemas.openxmlformats.org/officeDocument/2006/relationships/hyperlink" Target="https://www.agoravox.fr/"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532</Words>
  <Characters>2926</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réviseur 1-2</dc:creator>
  <cp:keywords/>
  <dc:description/>
  <cp:lastModifiedBy>Cidicley Miranda Dos Santos</cp:lastModifiedBy>
  <cp:revision>2</cp:revision>
  <dcterms:created xsi:type="dcterms:W3CDTF">2023-09-10T09:25:00Z</dcterms:created>
  <dcterms:modified xsi:type="dcterms:W3CDTF">2023-09-10T09:25:00Z</dcterms:modified>
</cp:coreProperties>
</file>