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Pricing</w:t>
      </w:r>
      <w:r>
        <w:t xml:space="preserve"> </w:t>
      </w:r>
      <w:r>
        <w:t xml:space="preserve">Models</w:t>
      </w:r>
      <w:r>
        <w:t xml:space="preserve"> </w:t>
      </w:r>
      <w:r>
        <w:t xml:space="preserve">for</w:t>
      </w:r>
      <w:r>
        <w:t xml:space="preserve"> </w:t>
      </w:r>
      <w:r>
        <w:t xml:space="preserve">Agentic</w:t>
      </w:r>
      <w:r>
        <w:t xml:space="preserve"> </w:t>
      </w:r>
      <w:r>
        <w:t xml:space="preserve">AI</w:t>
      </w:r>
      <w:r>
        <w:t xml:space="preserve"> </w:t>
      </w:r>
      <w:r>
        <w:t xml:space="preserve">Systems:</w:t>
      </w:r>
      <w:r>
        <w:t xml:space="preserve"> </w:t>
      </w:r>
      <w:r>
        <w:t xml:space="preserve">From</w:t>
      </w:r>
      <w:r>
        <w:t xml:space="preserve"> </w:t>
      </w:r>
      <w:r>
        <w:t xml:space="preserve">Token-Based</w:t>
      </w:r>
      <w:r>
        <w:t xml:space="preserve"> </w:t>
      </w:r>
      <w:r>
        <w:t xml:space="preserve">to</w:t>
      </w:r>
      <w:r>
        <w:t xml:space="preserve"> </w:t>
      </w:r>
      <w:r>
        <w:t xml:space="preserve">Value-Based</w:t>
      </w:r>
      <w:r>
        <w:t xml:space="preserve"> </w:t>
      </w:r>
      <w:r>
        <w:t xml:space="preserve">Approaches</w:t>
      </w:r>
    </w:p>
    <w:p>
      <w:pPr>
        <w:pStyle w:val="Subtitle"/>
      </w:pPr>
      <w:r>
        <w:t xml:space="preserve">AI-Generated</w:t>
      </w:r>
      <w:r>
        <w:t xml:space="preserve"> </w:t>
      </w:r>
      <w:r>
        <w:t xml:space="preserve">Academic</w:t>
      </w:r>
      <w:r>
        <w:t xml:space="preserve"> </w:t>
      </w:r>
      <w:r>
        <w:t xml:space="preserve">Thesis</w:t>
      </w:r>
      <w:r>
        <w:t xml:space="preserve"> </w:t>
      </w:r>
      <w:r>
        <w:t xml:space="preserve">Showcase</w:t>
      </w:r>
    </w:p>
    <w:p>
      <w:pPr>
        <w:pStyle w:val="Author"/>
      </w:pPr>
      <w:r>
        <w:t xml:space="preserve">Academic</w:t>
      </w:r>
      <w:r>
        <w:t xml:space="preserve"> </w:t>
      </w:r>
      <w:r>
        <w:t xml:space="preserve">Thesis</w:t>
      </w:r>
      <w:r>
        <w:t xml:space="preserve"> </w:t>
      </w:r>
      <w:r>
        <w:t xml:space="preserve">AI</w:t>
      </w:r>
      <w:r>
        <w:t xml:space="preserve"> </w:t>
      </w:r>
      <w:r>
        <w:t xml:space="preserve">(Multi-Agent</w:t>
      </w:r>
      <w:r>
        <w:t xml:space="preserve"> </w:t>
      </w:r>
      <w:r>
        <w:t xml:space="preserve">System)</w:t>
      </w:r>
    </w:p>
    <w:p>
      <w:pPr>
        <w:pStyle w:val="Date"/>
      </w:pPr>
      <w:r>
        <w:t xml:space="preserve">January</w:t>
      </w:r>
      <w:r>
        <w:t xml:space="preserve"> </w:t>
      </w:r>
      <w:r>
        <w:t xml:space="preserve">2025</w:t>
      </w:r>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Table of Contents</w:t>
      </w:r>
    </w:p>
    <w:p>
      <w:pPr/>
      <w:r>
        <w:t xml:space="preserve">  Abstract</w:t>
      </w:r>
    </w:p>
    <w:p>
      <w:pPr/>
      <w:r>
        <w:t xml:space="preserve">  Introduction</w:t>
      </w:r>
    </w:p>
    <w:p>
      <w:pPr/>
      <w:r>
        <w:t>Literature Review</w:t>
      </w:r>
    </w:p>
    <w:p>
      <w:pPr/>
      <w:r>
        <w:t xml:space="preserve">    The Emergence and Capabilities of AI Agents</w:t>
      </w:r>
    </w:p>
    <w:p>
      <w:pPr/>
      <w:r>
        <w:t xml:space="preserve">    Foundations of Dynamic Pricing</w:t>
      </w:r>
    </w:p>
    <w:p>
      <w:pPr/>
      <w:r>
        <w:t xml:space="preserve">    Pricing Models for AI Services</w:t>
      </w:r>
    </w:p>
    <w:p>
      <w:pPr/>
      <w:r>
        <w:t xml:space="preserve">    Architectural Considerations for Agentic AI Systems</w:t>
      </w:r>
    </w:p>
    <w:p>
      <w:pPr/>
      <w:r>
        <w:t xml:space="preserve">    Economic and Societal Implications of AI-Driven Dynamic Pricing</w:t>
      </w:r>
    </w:p>
    <w:p>
      <w:pPr/>
      <w:r>
        <w:t xml:space="preserve">    Synthesis and Gaps in the Literature</w:t>
      </w:r>
    </w:p>
    <w:p>
      <w:pPr/>
      <w:r>
        <w:t xml:space="preserve">    Comparative Analysis of AI Pricing Model Features</w:t>
      </w:r>
    </w:p>
    <w:p>
      <w:pPr/>
      <w:r>
        <w:t>Methodology</w:t>
      </w:r>
    </w:p>
    <w:p>
      <w:pPr/>
      <w:r>
        <w:t xml:space="preserve">  Research Design and Approach</w:t>
      </w:r>
    </w:p>
    <w:p>
      <w:pPr/>
      <w:r>
        <w:t xml:space="preserve">    Conceptual Framework for AI-Driven Pricing Model Comparison</w:t>
      </w:r>
    </w:p>
    <w:p>
      <w:pPr/>
      <w:r>
        <w:t xml:space="preserve">    Conceptual Framework for AI-Driven Pricing Model Comparison</w:t>
      </w:r>
    </w:p>
    <w:p>
      <w:pPr/>
      <w:r>
        <w:t xml:space="preserve">    Case Study Selection Criteria.</w:t>
      </w:r>
    </w:p>
    <w:p>
      <w:pPr/>
      <w:r>
        <w:t xml:space="preserve">    Data Collection Methods.</w:t>
      </w:r>
    </w:p>
    <w:p>
      <w:pPr/>
      <w:r>
        <w:t xml:space="preserve">    Analysis Approach.</w:t>
      </w:r>
    </w:p>
    <w:p>
      <w:pPr/>
      <w:r>
        <w:t>Analysis</w:t>
      </w:r>
    </w:p>
    <w:p>
      <w:pPr/>
      <w:r>
        <w:t xml:space="preserve">    Comparison of Pricing Models for AI Services</w:t>
      </w:r>
    </w:p>
    <w:p>
      <w:pPr/>
      <w:r>
        <w:t xml:space="preserve">    Advantages and Disadvantages of Pricing Models in the AI Context</w:t>
      </w:r>
    </w:p>
    <w:p>
      <w:pPr/>
      <w:r>
        <w:t xml:space="preserve">    Real-World Examples of AI Service Pricing</w:t>
      </w:r>
    </w:p>
    <w:p>
      <w:pPr/>
      <w:r>
        <w:t xml:space="preserve">    Key Metrics for Evaluating AI Pricing Model Performance</w:t>
      </w:r>
    </w:p>
    <w:p>
      <w:pPr/>
      <w:r>
        <w:t xml:space="preserve">    Hybrid Pricing Approaches for AI Services</w:t>
      </w:r>
    </w:p>
    <w:p>
      <w:pPr/>
      <w:r>
        <w:t xml:space="preserve">    Hybrid Pricing Model Combinations and their Benefits</w:t>
      </w:r>
    </w:p>
    <w:p>
      <w:pPr/>
      <w:r>
        <w:t>Discussion</w:t>
      </w:r>
    </w:p>
    <w:p>
      <w:pPr/>
      <w:r>
        <w:t xml:space="preserve">    Implications for AI Companies</w:t>
      </w:r>
    </w:p>
    <w:p>
      <w:pPr/>
      <w:r>
        <w:t xml:space="preserve">    Customer Adoption Considerations</w:t>
      </w:r>
    </w:p>
    <w:p>
      <w:pPr/>
      <w:r>
        <w:t xml:space="preserve">    Future Pricing Trends</w:t>
      </w:r>
    </w:p>
    <w:p>
      <w:pPr/>
      <w:r>
        <w:t xml:space="preserve">    Recommendations</w:t>
      </w:r>
    </w:p>
    <w:p>
      <w:pPr/>
      <w:r>
        <w:t xml:space="preserve">  Limitations</w:t>
      </w:r>
    </w:p>
    <w:p>
      <w:pPr/>
      <w:r>
        <w:t xml:space="preserve">    Methodological Limitations</w:t>
      </w:r>
    </w:p>
    <w:p>
      <w:pPr/>
      <w:r>
        <w:t xml:space="preserve">    Scope and Generalizability</w:t>
      </w:r>
    </w:p>
    <w:p>
      <w:pPr/>
      <w:r>
        <w:t xml:space="preserve">    Temporal and Contextual Constraints</w:t>
      </w:r>
    </w:p>
    <w:p>
      <w:pPr/>
      <w:r>
        <w:t xml:space="preserve">    Theoretical and Conceptual Limitations</w:t>
      </w:r>
    </w:p>
    <w:p>
      <w:pPr/>
      <w:r>
        <w:t xml:space="preserve">  Future Research Directions</w:t>
      </w:r>
    </w:p>
    <w:p>
      <w:pPr/>
      <w:r>
        <w:t xml:space="preserve">    1. Empirical Validation and Large-Scale Testing</w:t>
      </w:r>
    </w:p>
    <w:p>
      <w:pPr/>
      <w:r>
        <w:t xml:space="preserve">    2. Ethical AI Pricing Algorithms and Frameworks</w:t>
      </w:r>
    </w:p>
    <w:p>
      <w:pPr/>
      <w:r>
        <w:t xml:space="preserve">    3. Impact of Decentralized AI and Blockchain on Pricing</w:t>
      </w:r>
    </w:p>
    <w:p>
      <w:pPr/>
      <w:r>
        <w:t xml:space="preserve">    4. Longitudinal Studies on Market Structure and Competition</w:t>
      </w:r>
    </w:p>
    <w:p>
      <w:pPr/>
      <w:r>
        <w:t xml:space="preserve">    5. Human-AI Teaming and Co-Creation in Pricing Decisions</w:t>
      </w:r>
    </w:p>
    <w:p>
      <w:pPr/>
      <w:r>
        <w:t xml:space="preserve">    6. Regulatory Innovation and Governance Models</w:t>
      </w:r>
    </w:p>
    <w:p>
      <w:pPr/>
      <w:r>
        <w:t xml:space="preserve">    7. Cross-Cultural and Cross-Sectoral Comparative Studies</w:t>
      </w:r>
    </w:p>
    <w:p>
      <w:pPr/>
      <w:r>
        <w:t xml:space="preserve">  Conclusion</w:t>
      </w:r>
    </w:p>
    <w:p>
      <w:pPr/>
      <w:r>
        <w:t xml:space="preserve">  Appendix A: Agentic AI System Architecture for Dynamic Pricing</w:t>
      </w:r>
    </w:p>
    <w:p>
      <w:pPr/>
      <w:r>
        <w:t xml:space="preserve">    A.1 Core Components of an Agentic Pricing System</w:t>
      </w:r>
    </w:p>
    <w:p>
      <w:pPr/>
      <w:r>
        <w:t xml:space="preserve">    A.2 Data Flow and Integration in Dynamic Pricing</w:t>
      </w:r>
    </w:p>
    <w:p>
      <w:pPr/>
      <w:r>
        <w:t xml:space="preserve">    A.3 Pricing Engine Integration with Agentic AI</w:t>
      </w:r>
    </w:p>
    <w:p>
      <w:pPr/>
      <w:r>
        <w:t xml:space="preserve">    A.4 Scalability, Security, and Ethical Considerations</w:t>
      </w:r>
    </w:p>
    <w:p>
      <w:pPr/>
      <w:r>
        <w:t xml:space="preserve">  Appendix C: Detailed Case Study Projections</w:t>
      </w:r>
    </w:p>
    <w:p>
      <w:pPr/>
      <w:r>
        <w:t xml:space="preserve">    C.1 OpenAI: GPT Models Pricing Scenarios</w:t>
      </w:r>
    </w:p>
    <w:p>
      <w:pPr/>
      <w:r>
        <w:t xml:space="preserve">    C.2 Anthropic: Claude Models Context Window Impact</w:t>
      </w:r>
    </w:p>
    <w:p>
      <w:pPr/>
      <w:r>
        <w:t xml:space="preserve">    C.3 Hybrid Model Performance Projections</w:t>
      </w:r>
    </w:p>
    <w:p>
      <w:pPr/>
      <w:r>
        <w:t xml:space="preserve">  Appendix D: Additional References and Resources</w:t>
      </w:r>
    </w:p>
    <w:p>
      <w:pPr/>
      <w:r>
        <w:t xml:space="preserve">    D.1 Foundational Texts</w:t>
      </w:r>
    </w:p>
    <w:p>
      <w:pPr/>
      <w:r>
        <w:t xml:space="preserve">    D.2 Key Research Papers</w:t>
      </w:r>
    </w:p>
    <w:p>
      <w:pPr/>
      <w:r>
        <w:t xml:space="preserve">    D.3 Online Resources</w:t>
      </w:r>
    </w:p>
    <w:p>
      <w:pPr/>
      <w:r>
        <w:t xml:space="preserve">    D.4 Software/Tools</w:t>
      </w:r>
    </w:p>
    <w:p>
      <w:pPr/>
      <w:r>
        <w:t xml:space="preserve">    D.5 Professional Organizations</w:t>
      </w:r>
    </w:p>
    <w:p>
      <w:pPr/>
      <w:r>
        <w:t xml:space="preserve">  Appendix E: Glossary of Terms</w:t>
      </w:r>
    </w:p>
    <w:p>
      <w:pPr/>
      <w:r>
        <w:t xml:space="preserve">  References</w:t>
      </w:r>
      <w:r>
        <w:br w:type="page"/>
      </w:r>
    </w:p>
    <w:p>
      <w:pPr>
        <w:pStyle w:val="Heading2"/>
      </w:pPr>
      <w:bookmarkStart w:id="20" w:name="abstract"/>
      <w:r>
        <w:t xml:space="preserve">Abstract</w:t>
      </w:r>
      <w:bookmarkEnd w:id="20"/>
    </w:p>
    <w:p>
      <w:pPr>
        <w:pStyle w:val="FirstParagraph"/>
      </w:pPr>
      <w:r>
        <w:rPr>
          <w:b/>
        </w:rPr>
        <w:t xml:space="preserve">Research Problem and Approach:</w:t>
      </w:r>
      <w:r>
        <w:t xml:space="preserve"> </w:t>
      </w:r>
      <w:r>
        <w:t xml:space="preserve">The rapid emergence of agentic AI systems presents a fundamental economic challenge: how to accurately and fairly price their dynamic, adaptive, and often opaque value. Traditional pricing models fall short, necessitating a deeper investigation into novel strategies. This thesis addresses this gap by qualitatively analyzing various AI-driven pricing models—token-based, usage-based, and value-based—and their architectural, economic, and societal implications through a comparative case study approach.</w:t>
      </w:r>
    </w:p>
    <w:p>
      <w:pPr>
        <w:pStyle w:val="BodyText"/>
      </w:pPr>
      <w:r>
        <w:rPr>
          <w:b/>
        </w:rPr>
        <w:t xml:space="preserve">Methodology and Findings:</w:t>
      </w:r>
      <w:r>
        <w:t xml:space="preserve"> </w:t>
      </w:r>
      <w:r>
        <w:t xml:space="preserve">Employing a multi-dimensional conceptual framework, the study systematically examines real-world implementations from leading AI providers. Findings reveal that while token-based and usage-based models offer transparency and flexibility, value-based and sophisticated hybrid approaches are increasingly vital for capturing the true economic impact of AI. The analysis highlights the critical interplay between technical architecture, market dynamics, and ethical considerations in determining optimal pricing strategies.</w:t>
      </w:r>
    </w:p>
    <w:p>
      <w:pPr>
        <w:pStyle w:val="BodyText"/>
      </w:pPr>
      <w:r>
        <w:rPr>
          <w:b/>
        </w:rPr>
        <w:t xml:space="preserve">Key Contributions:</w:t>
      </w:r>
      <w:r>
        <w:t xml:space="preserve"> </w:t>
      </w:r>
      <w:r>
        <w:t xml:space="preserve">This research makes three primary contributions: (1) It synthesizes the complex landscape of AI pricing models, offering a nuanced comparative analysis; (2) It proposes a comprehensive framework for evaluating AI-driven pricing, bridging technical and economic dimensions; and (3) It provides actionable recommendations for AI companies, policymakers, and researchers to navigate the ethical and strategic challenges of monetizing AI.</w:t>
      </w:r>
    </w:p>
    <w:p>
      <w:pPr>
        <w:pStyle w:val="BodyText"/>
      </w:pPr>
      <w:r>
        <w:rPr>
          <w:b/>
        </w:rPr>
        <w:t xml:space="preserve">Implications:</w:t>
      </w:r>
      <w:r>
        <w:t xml:space="preserve"> </w:t>
      </w:r>
      <w:r>
        <w:t xml:space="preserve">The study underscores that effective AI pricing demands a strategic blend of economic principles, technological understanding, and ethical foresight. It implies that future success in the AI economy hinges on developing adaptive, transparent, and fair pricing mechanisms that foster innovation while safeguarding consumer welfare and market integrity. This matters for sustainable AI adoption and equitable economic outcomes.</w:t>
      </w:r>
    </w:p>
    <w:p>
      <w:pPr>
        <w:pStyle w:val="BodyText"/>
      </w:pPr>
      <w:r>
        <w:rPr>
          <w:b/>
        </w:rPr>
        <w:t xml:space="preserve">Keywords:</w:t>
      </w:r>
      <w:r>
        <w:t xml:space="preserve"> </w:t>
      </w:r>
      <w:r>
        <w:t xml:space="preserve">Agentic AI, Dynamic Pricing, Value-Based Pricing, Token-Based Pricing, Usage-Based Pricing, AI Governance, Economic Impact, Market Efficiency, Consumer Welfare, Hybrid Pricing, AI Ethics, Algorithmic Architecture, Scalability, Customization, Explainable AI.</w:t>
      </w:r>
    </w:p>
    <w:p>
      <w:pPr>
        <w:pStyle w:val="Heading2"/>
      </w:pPr>
      <w:bookmarkStart w:id="21" w:name="introduction"/>
      <w:r>
        <w:t xml:space="preserve">Introduction</w:t>
      </w:r>
      <w:bookmarkEnd w:id="21"/>
    </w:p>
    <w:p>
      <w:pPr>
        <w:pStyle w:val="FirstParagraph"/>
      </w:pPr>
      <w:r>
        <w:t xml:space="preserve">Artificial intelligence (AI) is rapidly evolving, integrating into almost every part of our lives. This marks a truly transformative era in technology. From streamlining complex logistics to tailoring consumer experiences and even revolutionizing scientific discovery, AI is dramatically reshaping industries, economies, and societies (Ranjan et al., 2025)</w:t>
      </w:r>
      <w:hyperlink r:id="rId22">
        <w:r>
          <w:rPr>
            <w:rStyle w:val="Hyperlink"/>
          </w:rPr>
          <w:t xml:space="preserve">MISSING: cite_002</w:t>
        </w:r>
      </w:hyperlink>
      <w:r>
        <w:t xml:space="preserve">. It’s more than just automation; we’re seeing sophisticated, autonomous systems emerge—systems that can learn, adapt, and make decisions with growing independence. But here’s the catch: as these AI systems become more</w:t>
      </w:r>
      <w:r>
        <w:t xml:space="preserve"> </w:t>
      </w:r>
      <w:r>
        <w:t xml:space="preserve">‘</w:t>
      </w:r>
      <w:r>
        <w:t xml:space="preserve">agentic</w:t>
      </w:r>
      <w:r>
        <w:t xml:space="preserve">’</w:t>
      </w:r>
      <w:r>
        <w:t xml:space="preserve"> </w:t>
      </w:r>
      <w:r>
        <w:t xml:space="preserve">(think goal-oriented, continuously learning, and interactive), a core economic problem surfaces. How do we accurately and fairly price their services and outputs? Traditional economic models, designed for physical goods or unchanging software, often fail to grasp the dynamic, adaptive, and frequently opaque value these advanced AI entities create (Bala &amp; Carr, 2010). This introduces a significant gap in our understanding, hindering the development of sustainable economic frameworks for the fast-growing AI economy. Therefore, a deeper look into the specific challenges and solutions for pricing agentic AI systems is essential.</w:t>
      </w:r>
    </w:p>
    <w:p>
      <w:pPr>
        <w:pStyle w:val="BodyText"/>
      </w:pPr>
      <w:r>
        <w:t xml:space="preserve">AI’s economic impact goes far beyond just cutting costs or boosting efficiency. It’s actually creating whole new markets, business models, and ways to generate value (Joshi, 2025). Businesses are increasingly using AI to get ahead, make better decisions (Neyyila et al., 2025), and provide customized services (Widono et al., 2024)(Leela.Vemula et al., 2025)(Abdullah &amp; Hasan, 2023). You can see this widespread adoption in many different fields. For instance, in e-commerce, AI-powered data warehouses streamline operations (Hossen, 2024). And in finance, AI is already affecting financial stability and services (Arba KOKALARI, 2025)(Joshi, 2025). Even niche markets…</w:t>
      </w:r>
    </w:p>
    <w:p>
      <w:pPr>
        <w:pStyle w:val="Heading1"/>
      </w:pPr>
      <w:bookmarkStart w:id="23" w:name="literature-review"/>
      <w:r>
        <w:t xml:space="preserve">Literature Review</w:t>
      </w:r>
      <w:bookmarkEnd w:id="23"/>
    </w:p>
    <w:p>
      <w:pPr>
        <w:pStyle w:val="FirstParagraph"/>
      </w:pPr>
      <w:r>
        <w:t xml:space="preserve">The rapid advancements in artificial intelligence (AI), particularly in the realm of agentic systems, are fundamentally reshaping economic landscapes and business models. Central to this transformation is the evolution of pricing strategies, moving beyond traditional static models to sophisticated, dynamic, and AI-driven approaches. This literature review delves into the foundational concepts of AI agents, explores the theoretical underpinnings and practical applications of various dynamic pricing models—including token-based, usage-based, and value-based strategies—and critically examines their architectural, economic, and societal implications. By synthesizing current research, this review aims to identify key trends, highlight existing gaps, and establish a comprehensive understanding of the complex interplay between AI agents and modern pricing paradigms.</w:t>
      </w:r>
    </w:p>
    <w:p>
      <w:pPr>
        <w:pStyle w:val="Heading3"/>
      </w:pPr>
      <w:bookmarkStart w:id="24" w:name="X4f8355acdb27b0f698bc60140db3514f9cc073a"/>
      <w:r>
        <w:t xml:space="preserve">The Emergence and Capabilities of AI Agents</w:t>
      </w:r>
      <w:bookmarkEnd w:id="24"/>
    </w:p>
    <w:p>
      <w:pPr>
        <w:pStyle w:val="FirstParagraph"/>
      </w:pPr>
      <w:r>
        <w:t xml:space="preserve">The concept of artificial intelligence has evolved significantly, progressing from rule-based expert systems to sophisticated machine learning algorithms and, more recently, to the development of autonomous AI agents. These agents are characterized by their ability to perceive their environment, make decisions, and take actions to achieve specific goals, often operating with a degree of independence (Ranjan et al., 2025). The architecture of such systems is crucial for their robustness, scalability, and security, requiring a well-architected framework to ensure optimal performance in diverse applications (Ranjan et al., 2025). Agentic AI systems are not merely tools; they are designed to interact, learn, and adapt, offering unprecedented opportunities for automation and optimization across various sectors. For instance, embodied AI agents are envisioned as key components in co-creation ecosystems, where they can elevate human capabilities by collaborating in complex tasks (Zheng et et al., 2025). This collaborative potential underscores a shift from AI as a computational engine to AI as an interactive partner, capable of engaging in sophisticated decision-making processes.</w:t>
      </w:r>
    </w:p>
    <w:p>
      <w:pPr>
        <w:pStyle w:val="BodyText"/>
      </w:pPr>
      <w:r>
        <w:t xml:space="preserve">The development of AI agents is intrinsically linked to advancements in computational power and algorithmic sophistication. The ability of these agents to process vast amounts of data and identify intricate patterns enables them to perform tasks ranging from personalized learning systems (Widono et al., 2024) to complex financial analyses (Arba KOKALARI, 2025)(Joshi, 2025). The underlying principles often involve leveraging advanced machine learning techniques, including deep learning, which allows agents to learn from experience and improve their performance over time (Hinton, 2008). This continuous learning capability makes them particularly suitable for dynamic environments where conditions are constantly changing, such as in financial markets or e-commerce platforms. The integration of AI agents into business models signifies a paradigm shift, where autonomous entities can drive operational efficiencies, enhance customer experiences, and unlock new revenue streams (Paul, 2023)(Hossen, 2024).</w:t>
      </w:r>
    </w:p>
    <w:p>
      <w:pPr>
        <w:pStyle w:val="BodyText"/>
      </w:pPr>
      <w:r>
        <w:t xml:space="preserve">However, the increasing autonomy and pervasive nature of AI agents also raise significant concerns regarding their societal and ethical implications. The potential for catastrophic risks associated with advanced AI systems necessitates careful consideration of governance frameworks and policy development (Bengio, 2023)(Ericson et al., 2025). As AI agents become more deeply embedded in critical infrastructures and decision-making processes, understanding their architectural vulnerabilities and ensuring ethical deployment becomes paramount (Undheim et al., 2022). Legal frameworks are also evolving to address the implications of AI technology, particularly concerning responsibility, accountability, and the impact on human rights (Haq &amp; Yunanto, 2024). The dual nature of AI agents—as powerful enablers of innovation and potential sources of systemic risk—forms a critical backdrop for understanding their role in shaping future economic strategies, particularly in pricing. The discussion around AI agents is therefore not solely technical but encompasses a broad spectrum of economic, ethical, and regulatory considerations that directly influence how their services are valued and priced. The complexity of these systems, their learning capabilities, and their increasing integration into economic processes demand a sophisticated approach to their economic valuation and the models used to charge for their services.</w:t>
      </w:r>
    </w:p>
    <w:p>
      <w:pPr>
        <w:pStyle w:val="Heading3"/>
      </w:pPr>
      <w:bookmarkStart w:id="25" w:name="foundations-of-dynamic-pricing"/>
      <w:r>
        <w:t xml:space="preserve">Foundations of Dynamic Pricing</w:t>
      </w:r>
      <w:bookmarkEnd w:id="25"/>
    </w:p>
    <w:p>
      <w:pPr>
        <w:pStyle w:val="FirstParagraph"/>
      </w:pPr>
      <w:r>
        <w:t xml:space="preserve">Dynamic pricing, at its core, refers to the strategy of adjusting prices for products or services in real-time in response to market demand, supply, competitor pricing, and other external factors. This approach contrasts sharply with static pricing models, which set a fixed price regardless of fluctuating market conditions. The theoretical underpinnings of dynamic pricing draw heavily from microeconomics, particularly concepts of supply and demand elasticity, consumer surplus, and revenue management (Gopalakrishnan, 2000). Historically, dynamic pricing has been employed in industries with perishable inventory, such as airlines and hotels, where the value of a service diminishes rapidly over time (Malik et al., 2023)(Milton &amp; Dean, 2024). The advent of digital platforms and advanced computational capabilities, however, has extended the applicability of dynamic pricing to virtually every sector, including retail, transportation, and, increasingly, AI services (Senyapar et al., 2025).</w:t>
      </w:r>
    </w:p>
    <w:p>
      <w:pPr>
        <w:pStyle w:val="BodyText"/>
      </w:pPr>
      <w:r>
        <w:t xml:space="preserve">The rationale behind dynamic pricing is rooted in the optimization of revenue and resource allocation. By continuously monitoring market conditions and customer behavior, businesses can maximize profits by charging different prices to different customers or at different times, based on their willingness to pay. This requires sophisticated analytical capabilities to process vast datasets and identify optimal pricing points (Abdullah &amp; Hasan, 2023). The effectiveness of dynamic pricing models is contingent upon several factors, including the availability of granular data, the ability to predict demand accurately, and the flexibility to adjust prices seamlessly (Musabaeva et al., 2024). Early models often relied on statistical methods and predefined rules, but the complexity of modern markets has necessitated the integration of more advanced computational techniques.</w:t>
      </w:r>
    </w:p>
    <w:p>
      <w:pPr>
        <w:pStyle w:val="BodyText"/>
      </w:pPr>
      <w:r>
        <w:t xml:space="preserve">The rise of AI has revolutionized dynamic pricing, transforming it from a rule-based system into a highly adaptive and intelligent process. AI algorithms can analyze complex datasets, including historical sales data, competitor prices, customer demographics, and even real-time sentiment analysis, to determine optimal prices with unprecedented accuracy (Senyapar et al., 2025). This AI-driven approach allows for hyper-personalization, where prices can be tailored to individual customers based on their browsing history, purchasing patterns, and perceived value (Widono et al., 2024)(Leela.Vemula et al., 2025). The ability of AI to learn and adapt means that dynamic pricing models can continuously improve their performance, identifying new opportunities for revenue generation and market penetration. For example, in the context of online advertising, dynamic bidding strategies in pay-per-action auctions already demonstrate the complexity and competitive intensity of real-time pricing mechanisms (Ewerhart, 2009). Similarly, in e-commerce, AI-powered data warehouses provide the necessary infrastructure for rapid price adjustments and inventory management (Hossen, 2024).</w:t>
      </w:r>
    </w:p>
    <w:p>
      <w:pPr>
        <w:pStyle w:val="BodyText"/>
      </w:pPr>
      <w:r>
        <w:t xml:space="preserve">However, the implementation of AI-driven dynamic pricing is not without its challenges. Ethical concerns arise regarding price discrimination and fairness, as algorithms might inadvertently or intentionally charge different customers vastly different prices for the same product or service (Senyapar et al., 2025)(Ericson et al., 2025). Transparency in pricing mechanisms becomes crucial to maintain consumer trust and avoid accusations of predatory practices. Furthermore, the complexity of AI models can make it difficult to explain the rationale behind specific price changes, leading to a</w:t>
      </w:r>
      <w:r>
        <w:t xml:space="preserve"> </w:t>
      </w:r>
      <w:r>
        <w:t xml:space="preserve">“</w:t>
      </w:r>
      <w:r>
        <w:t xml:space="preserve">black box</w:t>
      </w:r>
      <w:r>
        <w:t xml:space="preserve">”</w:t>
      </w:r>
      <w:r>
        <w:t xml:space="preserve"> </w:t>
      </w:r>
      <w:r>
        <w:t xml:space="preserve">problem that complicates regulatory oversight (Undheim et al., 2022). The legal implications of using AI in pricing, particularly concerning antitrust laws and consumer protection, are still being actively debated and developed (Haq &amp; Yunanto, 2024). Therefore, while AI offers immense potential for optimizing dynamic pricing strategies, its deployment requires a careful balance between economic efficiency and societal considerations, ensuring that innovation does not come at the expense of equity or consumer welfare. The shift towards AI-driven dynamic pricing represents a significant evolution, demanding a deeper understanding of its various manifestations and their broader impacts.</w:t>
      </w:r>
    </w:p>
    <w:p>
      <w:pPr>
        <w:pStyle w:val="Heading3"/>
      </w:pPr>
      <w:bookmarkStart w:id="26" w:name="pricing-models-for-ai-services"/>
      <w:r>
        <w:t xml:space="preserve">Pricing Models for AI Services</w:t>
      </w:r>
      <w:bookmarkEnd w:id="26"/>
    </w:p>
    <w:p>
      <w:pPr>
        <w:pStyle w:val="FirstParagraph"/>
      </w:pPr>
      <w:r>
        <w:t xml:space="preserve">The economic valuation of AI services is a multifaceted challenge, given the intangible nature of intelligence and the diverse applications of AI. As AI agents become more sophisticated and integrated into various industries, distinct pricing models have emerged to capture their value. These models include token-based pricing, usage-based pricing, and value-based pricing, each with its own advantages, disadvantages, and implications for both providers and consumers. Understanding these models is critical for developing sustainable AI service markets and fostering innovation.</w:t>
      </w:r>
    </w:p>
    <w:p>
      <w:pPr>
        <w:pStyle w:val="Heading4"/>
      </w:pPr>
      <w:bookmarkStart w:id="27" w:name="token-based-pricing-models"/>
      <w:r>
        <w:t xml:space="preserve">Token-Based Pricing Models</w:t>
      </w:r>
      <w:bookmarkEnd w:id="27"/>
    </w:p>
    <w:p>
      <w:pPr>
        <w:pStyle w:val="FirstParagraph"/>
      </w:pPr>
      <w:r>
        <w:t xml:space="preserve">Token-based pricing has gained prominence with the rise of large language models (LLMs) and generative AI services. In this model, users are charged based on the number of</w:t>
      </w:r>
      <w:r>
        <w:t xml:space="preserve"> </w:t>
      </w:r>
      <w:r>
        <w:t xml:space="preserve">“</w:t>
      </w:r>
      <w:r>
        <w:t xml:space="preserve">tokens</w:t>
      </w:r>
      <w:r>
        <w:t xml:space="preserve">”</w:t>
      </w:r>
      <w:r>
        <w:t xml:space="preserve"> </w:t>
      </w:r>
      <w:r>
        <w:t xml:space="preserve">consumed during an interaction with an AI model. A token typically represents a small unit of text, such as a word, subword, or character, depending on the model’s tokenizer. For instance, platforms like OpenAI and Anthropic employ token-based systems, where the cost is directly proportional to the length of the input prompt and the generated output (openai.com, 2025). This model provides a granular and predictable cost structure for services that involve text generation, summarization, translation, or code generation.</w:t>
      </w:r>
    </w:p>
    <w:p>
      <w:pPr>
        <w:pStyle w:val="BodyText"/>
      </w:pPr>
      <w:r>
        <w:t xml:space="preserve">The primary advantage of token-based pricing is its transparency and direct correlation with the computational effort involved in processing text. Users can estimate costs based on the expected length of their queries and responses, making it suitable for applications where textual input/output is the primary mode of interaction. This model aligns well with the operational costs of running LLMs, which are heavily influenced by the computational resources required for inference, particularly for longer sequences (Molom-Ochir &amp; Shenoy, 2021). For developers building applications on top of these models, token-based pricing allows for precise cost management and optimization, as they can design prompts and filter outputs to minimize token usage.</w:t>
      </w:r>
    </w:p>
    <w:p>
      <w:pPr>
        <w:pStyle w:val="BodyText"/>
      </w:pPr>
      <w:r>
        <w:t xml:space="preserve">However, token-based pricing also presents several challenges. One significant issue is the potential for</w:t>
      </w:r>
      <w:r>
        <w:t xml:space="preserve"> </w:t>
      </w:r>
      <w:r>
        <w:t xml:space="preserve">“</w:t>
      </w:r>
      <w:r>
        <w:t xml:space="preserve">token inflation,</w:t>
      </w:r>
      <w:r>
        <w:t xml:space="preserve">”</w:t>
      </w:r>
      <w:r>
        <w:t xml:space="preserve"> </w:t>
      </w:r>
      <w:r>
        <w:t xml:space="preserve">where verbose or inefficient prompts can quickly accumulate costs without necessarily yielding better results. Users must learn to engineer prompts effectively to optimize for both quality and cost (Alsakran &amp; Alabduljabbar, 2025). Furthermore, the concept of a</w:t>
      </w:r>
      <w:r>
        <w:t xml:space="preserve"> </w:t>
      </w:r>
      <w:r>
        <w:t xml:space="preserve">“</w:t>
      </w:r>
      <w:r>
        <w:t xml:space="preserve">token</w:t>
      </w:r>
      <w:r>
        <w:t xml:space="preserve">”</w:t>
      </w:r>
      <w:r>
        <w:t xml:space="preserve"> </w:t>
      </w:r>
      <w:r>
        <w:t xml:space="preserve">can be abstract for end-users, making it difficult to intuitively understand the direct cost implications of their interactions. Different models may have different tokenization schemes, leading to inconsistencies in pricing across platforms. For example, a single word might translate to one token in one model but multiple tokens in another, complicating comparative cost analysis. The focus on raw token count might also overlook the actual</w:t>
      </w:r>
      <w:r>
        <w:t xml:space="preserve"> </w:t>
      </w:r>
      <w:r>
        <w:rPr>
          <w:i/>
        </w:rPr>
        <w:t xml:space="preserve">value</w:t>
      </w:r>
      <w:r>
        <w:t xml:space="preserve"> </w:t>
      </w:r>
      <w:r>
        <w:t xml:space="preserve">derived from the AI’s output, leading to a disconnect between perceived utility and monetary cost. This can be particularly problematic for tasks where a short, concise output might be extremely valuable, while a lengthy, less useful output costs more. The architectural implications of token-based pricing also extend to the design of agentic systems; developers must consider token efficiency when designing multi-turn conversations or complex reasoning chains for AI agents to ensure cost-effectiveness (Ranjan et al., 2025).</w:t>
      </w:r>
    </w:p>
    <w:p>
      <w:pPr>
        <w:pStyle w:val="Heading4"/>
      </w:pPr>
      <w:bookmarkStart w:id="28" w:name="usage-based-pricing-models"/>
      <w:r>
        <w:t xml:space="preserve">Usage-Based Pricing Models</w:t>
      </w:r>
      <w:bookmarkEnd w:id="28"/>
    </w:p>
    <w:p>
      <w:pPr>
        <w:pStyle w:val="FirstParagraph"/>
      </w:pPr>
      <w:r>
        <w:t xml:space="preserve">Usage-based pricing, often referred to as pay-as-you-go, charges customers based on their actual consumption of a service. This model is ubiquitous in cloud computing, where services like AWS, Google Cloud, and Azure bill users for compute instances, storage, data transfer, and API calls based on specific metrics (aws.amazon.com, 2025). In the context of AI, usage-based pricing can manifest in various forms, such as charging per API call, per hour of GPU usage, per model inference, or per volume of data processed. This model offers flexibility and scalability, allowing users to pay only for what they consume, which is particularly attractive for variable workloads or experimental projects.</w:t>
      </w:r>
    </w:p>
    <w:p>
      <w:pPr>
        <w:pStyle w:val="BodyText"/>
      </w:pPr>
      <w:r>
        <w:t xml:space="preserve">The key advantage of usage-based pricing lies in its alignment with consumption patterns. Businesses with fluctuating demand for AI services can avoid large upfront investments and scale their usage up or down as needed, optimizing operational expenditures. This flexibility is crucial for startups and researchers who may not have predictable resource requirements (Bala &amp; Carr, 2010). For AI service providers, usage-based models can capture revenue directly proportional to the utility provided, incentivizing them to offer efficient and high-performing services. The detailed metering required for usage-based pricing also provides valuable data for service optimization and capacity planning (Yu et al., 2024). For instance, the energy and cost considerations for GPU-accelerated AI inference highlight the direct link between computational usage and operational expenses, making usage-based models a natural fit (Molom-Ochir &amp; Shenoy, 2021).</w:t>
      </w:r>
    </w:p>
    <w:p>
      <w:pPr>
        <w:pStyle w:val="BodyText"/>
      </w:pPr>
      <w:r>
        <w:t xml:space="preserve">However, usage-based pricing can introduce cost unpredictability for consumers. Without careful monitoring and management, costs can escalate rapidly, especially for complex AI tasks or unexpected spikes in demand. This lack of upfront certainty can be a barrier for budgeting and long-term planning. The complexity of metering various usage metrics can also be overwhelming, requiring users to navigate intricate pricing calculators and understand the nuances of different service components. Furthermore, providers might sometimes exploit oversubscription or service pricing to maximize profits, potentially leading to less transparent billing practices (Saxena &amp; Singh, 2024). From an architectural perspective, designing AI systems for usage-based pricing requires robust monitoring and logging capabilities to accurately track consumption across different components and ensure fair billing (Ranjan et al., 2025). The challenge for consumers is to accurately forecast their usage and understand the various cost drivers to prevent bill shock.</w:t>
      </w:r>
    </w:p>
    <w:p>
      <w:pPr>
        <w:pStyle w:val="Heading4"/>
      </w:pPr>
      <w:bookmarkStart w:id="29" w:name="value-based-pricing-theory"/>
      <w:r>
        <w:t xml:space="preserve">Value-Based Pricing Theory</w:t>
      </w:r>
      <w:bookmarkEnd w:id="29"/>
    </w:p>
    <w:p>
      <w:pPr>
        <w:pStyle w:val="FirstParagraph"/>
      </w:pPr>
      <w:r>
        <w:t xml:space="preserve">Value-based pricing (VBP) is a strategy where the price of a product or service is determined by its perceived value to the customer, rather than by its cost of production or market competition. This approach shifts the focus from internal costs to external customer benefits, aiming to capture a portion of the economic value that the customer derives from the offering (Prushan, 1995). In the context of AI services, VBP recognizes that the true worth of an AI solution is not merely its computational cost or token count but its ability to generate tangible business outcomes, enhance decision-making, or create competitive advantages (Neyyila et al., 2025). For example, a comprehensive value-based method has been proposed for new nuclear medical services, highlighting its applicability in high-value, specialized domains (Wang et al., 2024). This principle can be readily adapted to AI, where the output of an AI agent, such as a critical insight or an optimized process, can have immense economic impact.</w:t>
      </w:r>
    </w:p>
    <w:p>
      <w:pPr>
        <w:pStyle w:val="BodyText"/>
      </w:pPr>
      <w:r>
        <w:t xml:space="preserve">The central tenet of VBP for AI services is to quantify the benefits that AI delivers to the user. This could include increased revenue, reduced operational costs, improved efficiency, enhanced customer satisfaction, or superior strategic insights. For instance, AI-driven insights for product marketing can significantly enhance customer engagement and sales, justifying a higher price point based on the value generated (Abdullah &amp; Hasan, 2023). Similarly, AI’s transformative potential in sectors like insurance (Bhattacharya et al., 2025) or financial stability (Joshi, 2025) means that services delivering demonstrable improvements in these areas can command premium pricing. VBP encourages providers to focus on delivering measurable results and communicating the return on investment (ROI) to their clients, fostering a partnership approach rather than a transactional one.</w:t>
      </w:r>
    </w:p>
    <w:p>
      <w:pPr>
        <w:pStyle w:val="BodyText"/>
      </w:pPr>
      <w:r>
        <w:t xml:space="preserve">However, implementing value-based pricing for AI services is inherently challenging. Quantifying the precise value derived from an AI solution can be complex, as it often involves isolating the AI’s contribution from other factors and demonstrating a clear causal link to business outcomes. This often requires robust analytics, baseline measurements, and clear key performance indicators (KPIs) to articulate the value proposition effectively. Furthermore, customer perception of value can be subjective and vary widely, necessitating a deep understanding of customer needs, pain points, and strategic objectives. The ethical implications of VBP also warrant consideration, as it can lead to highly differentiated pricing based on a customer’s ability to pay or the perceived criticality of the service to their operations, potentially raising fairness concerns (Ericson et al., 2025). Despite these challenges, VBP represents a sophisticated approach to pricing AI, moving beyond mere resource consumption to focus on the transformative impact of intelligent systems. This approach aligns with the long-term vision of AI as a strategic asset rather than a commodity, encouraging innovation that delivers profound economic and operational benefits.</w:t>
      </w:r>
    </w:p>
    <w:p>
      <w:pPr>
        <w:pStyle w:val="Heading4"/>
      </w:pPr>
      <w:bookmarkStart w:id="30" w:name="comparative-analysis-of-pricing-models"/>
      <w:r>
        <w:t xml:space="preserve">Comparative Analysis of Pricing Models</w:t>
      </w:r>
      <w:bookmarkEnd w:id="30"/>
    </w:p>
    <w:p>
      <w:pPr>
        <w:pStyle w:val="FirstParagraph"/>
      </w:pPr>
      <w:r>
        <w:t xml:space="preserve">Each of the discussed pricing models—token-based, usage-based, and value-based—offers distinct advantages and is suited for different contexts within the evolving landscape of AI services. A comparative analysis reveals their respective strengths, weaknesses, and the scenarios in which each model is most appropriate.</w:t>
      </w:r>
    </w:p>
    <w:p>
      <w:pPr>
        <w:pStyle w:val="BodyText"/>
      </w:pPr>
      <w:r>
        <w:t xml:space="preserve">Token-based pricing excels in scenarios where the primary output is textual or symbolic, and the computational cost is closely tied to the length of the input and output sequences. It offers a high degree of transparency in terms of cost per unit of content, making it predictable for developers optimizing for textual efficiency. This model is particularly prevalent for foundational large language models where the</w:t>
      </w:r>
      <w:r>
        <w:t xml:space="preserve"> </w:t>
      </w:r>
      <w:r>
        <w:t xml:space="preserve">“</w:t>
      </w:r>
      <w:r>
        <w:t xml:space="preserve">work</w:t>
      </w:r>
      <w:r>
        <w:t xml:space="preserve">”</w:t>
      </w:r>
      <w:r>
        <w:t xml:space="preserve"> </w:t>
      </w:r>
      <w:r>
        <w:t xml:space="preserve">is directly quantifiable by processed tokens. Its main drawback is the potential for token inefficiency and the abstraction of</w:t>
      </w:r>
      <w:r>
        <w:t xml:space="preserve"> </w:t>
      </w:r>
      <w:r>
        <w:t xml:space="preserve">“</w:t>
      </w:r>
      <w:r>
        <w:t xml:space="preserve">token</w:t>
      </w:r>
      <w:r>
        <w:t xml:space="preserve">”</w:t>
      </w:r>
      <w:r>
        <w:t xml:space="preserve"> </w:t>
      </w:r>
      <w:r>
        <w:t xml:space="preserve">from perceived value, which can lead to a disconnect for end-users (Liu &amp; Ge, 2025).</w:t>
      </w:r>
    </w:p>
    <w:p>
      <w:pPr>
        <w:pStyle w:val="BodyText"/>
      </w:pPr>
      <w:r>
        <w:t xml:space="preserve">Usage-based pricing provides unparalleled flexibility and scalability, making it ideal for variable workloads, experimental projects, and services where resource consumption (e.g., compute time, data transfer, API calls) is the most straightforward and measurable metric. It democratizes access to powerful AI infrastructure by allowing users to pay only for what they consume, avoiding large upfront capital expenditures. This model is the standard for cloud-based AI infrastructure and many specialized AI APIs. The principal challenge lies in cost predictability for consumers, as unexpected spikes in usage can lead to significant bills, and the complexity of managing multiple metering metrics can be daunting (Bala &amp; Carr, 2010)(Molom-Ochir &amp; Shenoy, 2021).</w:t>
      </w:r>
    </w:p>
    <w:p>
      <w:pPr>
        <w:pStyle w:val="BodyText"/>
      </w:pPr>
      <w:r>
        <w:t xml:space="preserve">Value-based pricing represents the most sophisticated and potentially lucrative model for highly impactful AI services. It aligns the price directly with the business outcomes and strategic benefits delivered to the customer, shifting the focus from cost to ROI. This model is best suited for customized AI solutions, strategic consulting, or enterprise-level AI deployments where the AI’s contribution to revenue generation, cost reduction, or competitive advantage can be clearly demonstrated (Neyyila et al., 2025)(Wang et al., 2024). The significant hurdle for VBP is the difficulty in accurately quantifying and attributing value, requiring robust measurement frameworks and a deep understanding of the client’s business (Abdullah &amp; Hasan, 2023). Moreover, the subjective nature of value perception can complicate pricing negotiations and raise concerns about fairness if prices vary widely among clients for similar services.</w:t>
      </w:r>
    </w:p>
    <w:p>
      <w:pPr>
        <w:pStyle w:val="BodyText"/>
      </w:pPr>
      <w:r>
        <w:t xml:space="preserve">In practice, many AI service providers employ hybrid pricing models that combine elements of these approaches. For example, a foundational LLM might use token-based pricing for its core API calls but offer enterprise clients a value-based contract for specialized fine-tuning services that guarantee specific performance improvements. Cloud providers might offer usage-based pricing for raw compute but also provide managed AI services with tiered, feature-based pricing that reflects perceived value. The choice of pricing model is a strategic decision influenced by the type of AI service, the target market, the competitive landscape, and the provider’s cost structure. The evolution of AI services, particularly with the increasing autonomy and intelligence of AI agents, further complicates this choice, as agents can dynamically adjust their resource consumption and potentially generate value in unforeseen ways. Therefore, future pricing models may need to incorporate mechanisms that account for the autonomous value creation and self-optimization capabilities of advanced AI agents (Zheng et al., 2025)(Miao et al., 2025). This comparative analysis underscores the necessity for providers to carefully select and potentially combine pricing strategies to effectively capture the diverse and evolving value propositions of AI.</w:t>
      </w:r>
    </w:p>
    <w:p>
      <w:pPr>
        <w:pStyle w:val="Heading3"/>
      </w:pPr>
      <w:bookmarkStart w:id="31" w:name="X58beeebda4d7d2d4f7c25c2e81ec0c3c9057e3a"/>
      <w:r>
        <w:t xml:space="preserve">Architectural Considerations for Agentic AI Systems</w:t>
      </w:r>
      <w:bookmarkEnd w:id="31"/>
    </w:p>
    <w:p>
      <w:pPr>
        <w:pStyle w:val="FirstParagraph"/>
      </w:pPr>
      <w:r>
        <w:t xml:space="preserve">The design and implementation of agentic AI systems are intrinsically linked to their economic viability and the pricing models applied to their services. A robust, scalable, and secure architecture is not merely a technical requirement but a fundamental enabler for efficient operation, cost management, and ultimately, value delivery. The architectural choices made during the development of AI agents directly influence their performance, resource consumption, and the ability to implement and optimize various pricing strategies (Ranjan et al., 2025).</w:t>
      </w:r>
    </w:p>
    <w:p>
      <w:pPr>
        <w:pStyle w:val="BodyText"/>
      </w:pPr>
      <w:r>
        <w:t xml:space="preserve">One critical architectural consideration is the modularity and composability of AI agent components. Agentic systems often consist of multiple sub-agents or modules responsible for different tasks, such as perception, planning, execution, and learning (Zheng et al., 2025). A modular design allows for independent development, deployment, and scaling of these components. From a pricing perspective, this modularity could enable granular usage-based billing, where different components of an agent’s service are metered separately. For instance, a complex AI agent might have a high-cost reasoning module and a lower-cost data retrieval module. If these are architected distinctly, costs can be attributed more accurately, allowing for more precise usage-based or even token-based pricing for specific functionalities. This also facilitates resource optimization; if a particular module is a bottleneck or a significant cost driver, its architecture can be independently refined without impacting the entire system (Molom-Ochir &amp; Shenoy, 2021).</w:t>
      </w:r>
    </w:p>
    <w:p>
      <w:pPr>
        <w:pStyle w:val="BodyText"/>
      </w:pPr>
      <w:r>
        <w:t xml:space="preserve">Scalability is another paramount architectural concern. As demand for AI agent services grows, the underlying infrastructure must be able to scale efficiently to handle increased workloads without significant performance degradation or cost escalation. Cloud-native architectures, leveraging containerization and serverless computing, are often preferred for their inherent scalability and elasticity, which align well with usage-based pricing models (Bala &amp; Carr, 2010). The ability to dynamically provision and de-provision resources ensures that costs are incurred only when resources are actively consumed, which is crucial for unpredictable demand patterns. However, scaling AI inference can be computationally intensive, particularly for large models, necessitating careful optimization of hardware and software to manage energy and cost considerations (Molom-Ochir &amp; Shenoy, 2021). An efficient architecture minimizes the operational costs per unit of service, allowing providers to offer more competitive pricing.</w:t>
      </w:r>
    </w:p>
    <w:p>
      <w:pPr>
        <w:pStyle w:val="BodyText"/>
      </w:pPr>
      <w:r>
        <w:t xml:space="preserve">Security and reliability are non-negotiable architectural requirements for agentic AI systems, especially when they handle sensitive data or perform critical tasks. A well-architected framework includes robust security measures, fault tolerance, and mechanisms for error recovery (Ranjan et al., 2025). Failures or security breaches can lead to significant financial losses, reputational damage, and erosion of trust, ultimately impacting the perceived value and pricing of AI services. Ethical AI design, including considerations for bias, fairness, and transparency, must be embedded into the architecture from the outset (Undheim et al., 2022). This ethical foundation contributes to the long-term sustainability and acceptance of AI agents, which indirectly supports the viability of any pricing model. Policies and governance frameworks for AI are also increasingly focusing on these architectural aspects to ensure responsible deployment (Ericson et al., 2025).</w:t>
      </w:r>
    </w:p>
    <w:p>
      <w:pPr>
        <w:pStyle w:val="BodyText"/>
      </w:pPr>
      <w:r>
        <w:t xml:space="preserve">Furthermore, the architecture must support the dynamic and adaptive nature of AI agents themselves. Agents capable of learning and adapting (Miao et al., 2025) require architectures that can accommodate model updates, data pipelines for continuous learning, and mechanisms for feedback loops. This dynamic capability can enhance the value of the AI service over time, potentially justifying value-based pricing models. The ability of agents to engage in sophisticated interactions, such as those in a co-creation ecosystem (Zheng et al., 2025), necessitates an architecture that supports complex communication protocols, state management, and interaction history. Such architectural sophistication, while increasing initial development costs, can unlock higher value propositions for end-users, thereby influencing the choice and justification of pricing models. The strategic design of personalized learning systems, for example, relies heavily on an architecture that can adapt to individual user needs and preferences (Widono et al., 2024). In essence, the architectural blueprint of an AI agent is not just a technical specification but a strategic document that dictates its operational efficiency, its capacity for value creation, and the suitability of various economic models for its services.</w:t>
      </w:r>
    </w:p>
    <w:p>
      <w:pPr>
        <w:pStyle w:val="Heading3"/>
      </w:pPr>
      <w:bookmarkStart w:id="32" w:name="Xc53f12b4f4a1694d4873250f608c8c87086dafe"/>
      <w:r>
        <w:t xml:space="preserve">Economic and Societal Implications of AI-Driven Dynamic Pricing</w:t>
      </w:r>
      <w:bookmarkEnd w:id="32"/>
    </w:p>
    <w:p>
      <w:pPr>
        <w:pStyle w:val="FirstParagraph"/>
      </w:pPr>
      <w:r>
        <w:t xml:space="preserve">The proliferation of AI-driven dynamic pricing models carries profound economic and societal implications that extend far beyond mere revenue optimization. While these models offer unprecedented efficiency and personalization, they also introduce complex challenges related to market fairness, consumer welfare, regulatory oversight, and even the future of work. Understanding these broader impacts is crucial for developing responsible AI policy and ensuring equitable economic outcomes.</w:t>
      </w:r>
    </w:p>
    <w:p>
      <w:pPr>
        <w:pStyle w:val="BodyText"/>
      </w:pPr>
      <w:r>
        <w:t xml:space="preserve">From an economic perspective, AI-driven dynamic pricing can lead to increased market efficiency by better matching supply and demand, reducing waste, and optimizing resource allocation. For example, in energy markets, AI-driven dynamic pricing can help balance grid loads and promote energy justice by incentivizing consumption during off-peak hours (Senyapar et al., 2025). In e-commerce, AI-powered systems can respond instantly to market shifts, competitor actions, and consumer sentiment, leading to more responsive and competitive markets (Hossen, 2024)(Guo, 2025). This agility can benefit businesses by enhancing profitability and enabling faster innovation (Shin &amp; Kang, 2024). The insurance sector, for instance, is undergoing an AI revolution, leveraging data for dynamic risk assessment and personalized pricing, which can lead to more accurate premiums and potentially fairer outcomes for individual policyholders (Bhattacharya et al., 2025). Similarly, financial stability can be advanced through AI-driven innovation that allows for more sophisticated risk management and market monitoring (Joshi, 2025).</w:t>
      </w:r>
    </w:p>
    <w:p>
      <w:pPr>
        <w:pStyle w:val="BodyText"/>
      </w:pPr>
      <w:r>
        <w:t xml:space="preserve">However, the pursuit of economic efficiency through dynamic pricing can also exacerbate existing inequalities and introduce new forms of market distortions. The ability of AI to personalize prices based on an individual’s perceived willingness to pay can lead to widespread price discrimination, where different consumers pay vastly different amounts for the same product or service (Leela.Vemula et al., 2025)(Ericson et al., 2025). While not always illegal, this practice can erode consumer trust and create a sense of unfairness. Vulnerable populations, who may have fewer alternatives or less bargaining power, could be disproportionately affected by algorithms that identify their higher inelasticity of demand. This raises critical questions about energy justice (Senyapar et al., 2025) and the broader distribution of economic benefits and burdens in an AI-driven economy. The opacity of AI algorithms can further complicate these issues, as the rationale behind specific price adjustments may be difficult for consumers or regulators to understand, leading to a</w:t>
      </w:r>
      <w:r>
        <w:t xml:space="preserve"> </w:t>
      </w:r>
      <w:r>
        <w:t xml:space="preserve">“</w:t>
      </w:r>
      <w:r>
        <w:t xml:space="preserve">black box</w:t>
      </w:r>
      <w:r>
        <w:t xml:space="preserve">”</w:t>
      </w:r>
      <w:r>
        <w:t xml:space="preserve"> </w:t>
      </w:r>
      <w:r>
        <w:t xml:space="preserve">problem (Undheim et al., 2022).</w:t>
      </w:r>
    </w:p>
    <w:p>
      <w:pPr>
        <w:pStyle w:val="BodyText"/>
      </w:pPr>
      <w:r>
        <w:t xml:space="preserve">Societally, the pervasive use of AI in pricing can influence consumer behavior in subtle yet powerful ways. AI agents, leveraging insights from behavioral economics (Neyyila et al., 2025), can nudge consumers towards certain purchasing decisions or times of consumption, potentially manipulating choices rather than merely reflecting demand. This raises ethical concerns about consumer autonomy and the potential for AI systems to exploit cognitive biases. The legal implications of such practices are still being explored, particularly in areas of consumer protection and anti-competitive behavior (Haq &amp; Yunanto, 2024). Furthermore, the data required for sophisticated dynamic pricing models raises significant privacy concerns. The collection and analysis of vast amounts of personal data, from browsing history to purchasing patterns, are essential for personalization but also pose risks to individual privacy and data security.</w:t>
      </w:r>
    </w:p>
    <w:p>
      <w:pPr>
        <w:pStyle w:val="BodyText"/>
      </w:pPr>
      <w:r>
        <w:t xml:space="preserve">The impact on labor markets is another critical consideration. As AI agents automate more tasks, including complex pricing decisions, there could be shifts in employment patterns, requiring new skills and adaptations in the workforce. While AI can create new job categories, it also displaces others, leading to a need for robust social safety nets and educational reforms (Dodig-Crnkovic et al., 2023). The governance of AI, therefore, becomes paramount to ensure that these technologies serve the broader public interest rather than solely maximizing corporate profits (Ericson et al., 2025). Regulatory sandboxes and ethical guidelines are being developed to test and refine AI applications in a controlled environment, aiming to balance innovation with societal safeguards (Undheim et al., 2022). Ultimately, the economic and societal implications of AI-driven dynamic pricing necessitate a multidisciplinary approach, combining insights from economics, computer science, law, ethics, and public policy to navigate this transformative era responsibly. The move towards adaptive co-evolution strategies between humans and AI (Miao et al., 2025) suggests a future where these systems are designed not just for efficiency but for symbiotic societal benefit.</w:t>
      </w:r>
    </w:p>
    <w:p>
      <w:pPr>
        <w:pStyle w:val="Heading3"/>
      </w:pPr>
      <w:bookmarkStart w:id="33" w:name="synthesis-and-gaps-in-the-literature"/>
      <w:r>
        <w:t xml:space="preserve">Synthesis and Gaps in the Literature</w:t>
      </w:r>
      <w:bookmarkEnd w:id="33"/>
    </w:p>
    <w:p>
      <w:pPr>
        <w:pStyle w:val="FirstParagraph"/>
      </w:pPr>
      <w:r>
        <w:t xml:space="preserve">The preceding sections have highlighted the transformative potential of AI agents and dynamic pricing, outlining their architectural underpinnings, various economic models, and broad societal implications. A synthesis of the current literature reveals several key themes and, crucially, identifies significant gaps that warrant further research. The interconnectedness of these areas underscores the complexity of the AI-driven economy and the need for a holistic understanding.</w:t>
      </w:r>
    </w:p>
    <w:p>
      <w:pPr>
        <w:pStyle w:val="BodyText"/>
      </w:pPr>
      <w:r>
        <w:t xml:space="preserve">Firstly, the literature clearly establishes AI agents as pivotal enablers of advanced dynamic pricing strategies. The architectural frameworks proposed for agentic AI systems (Ranjan et al., 2025) provide the foundation for developing scalable, robust, and secure platforms that can support real-time price adjustments and personalized offerings. The concept of embodied AI agents in co-creation ecosystems (Zheng et al., 2025) further emphasizes their potential to generate unique value, which can then be captured through sophisticated pricing mechanisms. However, while the technical architecture for agents is being explored, there is a relative scarcity of research directly linking specific architectural choices to the optimal implementation and performance of different pricing models (token-based, usage-based, value-based). For instance, how does a highly modular agent architecture specifically facilitate more granular token-based billing, or how does a distributed agent system impact the data collection and processing required for value-based pricing? This represents a significant gap in the literature, moving beyond general architectural principles to model-specific design implications.</w:t>
      </w:r>
    </w:p>
    <w:p>
      <w:pPr>
        <w:pStyle w:val="BodyText"/>
      </w:pPr>
      <w:r>
        <w:t xml:space="preserve">Secondly, the three primary pricing models—token-based, usage-based, and value-based—are well-defined individually, with their respective advantages and challenges. Token-based pricing is shown to be transparent for text-based AI, usage-based pricing offers flexibility for variable consumption, and value-based pricing aligns with strategic business outcomes. However, the existing literature provides limited empirical comparative analyses of these models in real-world AI service deployments. Most studies tend to focus on one model in isolation or draw theoretical comparisons (Bala &amp; Carr, 2010)(Molom-Ochir &amp; Shenoy, 2021)(Wang et al., 2024). There is a need for research that empirically evaluates the performance of these different models across various AI applications, considering factors such as revenue generation, customer satisfaction, cost predictability, and market adoption. Furthermore, the development of robust frameworks for designing and optimizing hybrid pricing models—combining elements of all three—is an emerging area that requires more systematic investigation. How do providers effectively blend these approaches to maximize both user value and provider revenue, especially as AI agents become more autonomous and capable of generating value in unforeseen ways? This requires a deeper understanding of the trade-offs and synergies between these models.</w:t>
      </w:r>
    </w:p>
    <w:p>
      <w:pPr>
        <w:pStyle w:val="BodyText"/>
      </w:pPr>
      <w:r>
        <w:t xml:space="preserve">Thirdly, the societal and ethical implications of AI-driven dynamic pricing are widely acknowledged, with concerns ranging from price discrimination and fairness (Senyapar et al., 2025)(Ericson et al., 2025) to consumer autonomy and legal accountability (Haq &amp; Yunanto, 2024). The literature highlights the need for robust governance frameworks (Undheim et al., 2022) and ethical design principles. However, there is a gap in prescriptive solutions and practical implementation strategies for mitigating these risks. Much of the discourse remains at a high-level conceptual or policy-recommendation stage. More research is needed on the development of auditable and explainable AI pricing algorithms that can demonstrate fairness and transparency. How can</w:t>
      </w:r>
      <w:r>
        <w:t xml:space="preserve"> </w:t>
      </w:r>
      <w:r>
        <w:t xml:space="preserve">“</w:t>
      </w:r>
      <w:r>
        <w:t xml:space="preserve">AI Policy for Whom?</w:t>
      </w:r>
      <w:r>
        <w:t xml:space="preserve">”</w:t>
      </w:r>
      <w:r>
        <w:t xml:space="preserve"> </w:t>
      </w:r>
      <w:r>
        <w:t xml:space="preserve">(Ericson et al., 2025) translate into concrete, measurable safeguards within dynamic pricing systems? Furthermore, the long-term economic impact on competition and market concentration due to AI-driven pricing strategies is an area that requires more longitudinal studies. Will these systems lead to hyper-competitive markets that benefit consumers, or will they create new forms of monopolies where AI-powered entities can exert undue market influence? The interplay between AI and behavioral economics (Neyyila et al., 2025) also necessitates further exploration into how pricing algorithms might subtly influence human decision-making and the ethical boundaries of such influence.</w:t>
      </w:r>
    </w:p>
    <w:p>
      <w:pPr>
        <w:pStyle w:val="BodyText"/>
      </w:pPr>
      <w:r>
        <w:t xml:space="preserve">Finally, while the literature touches upon the integration of AI in various business contexts—from e-commerce (Paul, 2023)(Hossen, 2024) to finance (Bhattacharya et al., 2025)(Joshi, 2025) and hospitality (Milton &amp; Dean, 2024)—there is a need for more granular case studies that specifically analyze the impact of AI-driven dynamic pricing within these sectors. Such studies could provide empirical evidence on the effectiveness of different pricing models, the challenges encountered during implementation, and the specific economic and societal outcomes observed. The concept of</w:t>
      </w:r>
      <w:r>
        <w:t xml:space="preserve"> </w:t>
      </w:r>
      <w:r>
        <w:t xml:space="preserve">“</w:t>
      </w:r>
      <w:r>
        <w:t xml:space="preserve">data on the move</w:t>
      </w:r>
      <w:r>
        <w:t xml:space="preserve">”</w:t>
      </w:r>
      <w:r>
        <w:t xml:space="preserve"> </w:t>
      </w:r>
      <w:r>
        <w:t xml:space="preserve">and traffic-oriented data trading platforms (Yu et al., 2024) suggests a future where data itself is a dynamically priced commodity, further complicating the input costs for AI systems and presenting another layer of pricing complexity that needs to be addressed.</w:t>
      </w:r>
    </w:p>
    <w:p>
      <w:pPr>
        <w:pStyle w:val="BodyText"/>
      </w:pPr>
      <w:r>
        <w:t xml:space="preserve">In conclusion, the current literature provides a strong foundation for understanding AI agents and dynamic pricing. However, to fully grasp and responsibly navigate this evolving landscape, future research must focus on the empirical validation of pricing models, the direct architectural implications for model performance, the development of actionable ethical and governance frameworks, and detailed, sector-specific case studies. Addressing these gaps will be crucial for harnessing the full potential of AI-driven dynamic pricing while mitigating its inherent risks and ensuring equitable economic outcomes for all stakeholders. The journey from chaos to symbiosis (Miao et al., 2025) in the co-evolution of AI and human economic systems requires a continuous and critical examination of these complex interactions.</w:t>
      </w:r>
    </w:p>
    <w:p>
      <w:pPr>
        <w:pStyle w:val="Heading3"/>
      </w:pPr>
      <w:bookmarkStart w:id="34" w:name="X35664b7b42a8618f3e284b92ada5f42797c9e3a"/>
      <w:r>
        <w:t xml:space="preserve">Comparative Analysis of AI Pricing Model Features</w:t>
      </w:r>
      <w:bookmarkEnd w:id="34"/>
    </w:p>
    <w:p>
      <w:pPr>
        <w:pStyle w:val="FirstParagraph"/>
      </w:pPr>
      <w:r>
        <w:t xml:space="preserve">To further synthesize the existing understanding of AI pricing models, Table 1 provides a comparative overview of their core features, advantages, and disadvantages. This table helps to clarify the distinct characteristics of each model and highlights why hybrid approaches are becoming increasingly prevalent.</w:t>
      </w:r>
    </w:p>
    <w:p>
      <w:pPr>
        <w:pStyle w:val="BodyText"/>
      </w:pPr>
      <w:r>
        <w:rPr>
          <w:b/>
        </w:rPr>
        <w:t xml:space="preserve">Table 1: Comparative Analysis of Core AI Pricing Model Characteristics</w:t>
      </w:r>
    </w:p>
    <w:tbl>
      <w:tblPr>
        <w:tblStyle w:val="Table"/>
        <w:tblW w:type="pct" w:w="4999.999999999999"/>
        <w:tblLook w:firstRow="1"/>
      </w:tblPr>
      <w:tblGrid>
        <w:gridCol w:w="1021"/>
        <w:gridCol w:w="1341"/>
        <w:gridCol w:w="1341"/>
        <w:gridCol w:w="1341"/>
        <w:gridCol w:w="1788"/>
        <w:gridCol w:w="1085"/>
      </w:tblGrid>
      <w:tr>
        <w:trPr>
          <w:cnfStyle w:firstRow="1"/>
        </w:trPr>
        <w:tc>
          <w:tcPr>
            <w:tcBorders>
              <w:bottom w:val="single"/>
            </w:tcBorders>
            <w:vAlign w:val="bottom"/>
          </w:tcPr>
          <w:p>
            <w:pPr>
              <w:pStyle w:val="Compact"/>
              <w:jc w:val="left"/>
            </w:pPr>
            <w:r>
              <w:t xml:space="preserve">Characteristic</w:t>
            </w:r>
          </w:p>
        </w:tc>
        <w:tc>
          <w:tcPr>
            <w:tcBorders>
              <w:bottom w:val="single"/>
            </w:tcBorders>
            <w:vAlign w:val="bottom"/>
          </w:tcPr>
          <w:p>
            <w:pPr>
              <w:pStyle w:val="Compact"/>
              <w:jc w:val="left"/>
            </w:pPr>
            <w:r>
              <w:t xml:space="preserve">Token-Based Pricing</w:t>
            </w:r>
          </w:p>
        </w:tc>
        <w:tc>
          <w:tcPr>
            <w:tcBorders>
              <w:bottom w:val="single"/>
            </w:tcBorders>
            <w:vAlign w:val="bottom"/>
          </w:tcPr>
          <w:p>
            <w:pPr>
              <w:pStyle w:val="Compact"/>
              <w:jc w:val="left"/>
            </w:pPr>
            <w:r>
              <w:t xml:space="preserve">Usage-Based Pricing</w:t>
            </w:r>
          </w:p>
        </w:tc>
        <w:tc>
          <w:tcPr>
            <w:tcBorders>
              <w:bottom w:val="single"/>
            </w:tcBorders>
            <w:vAlign w:val="bottom"/>
          </w:tcPr>
          <w:p>
            <w:pPr>
              <w:pStyle w:val="Compact"/>
              <w:jc w:val="left"/>
            </w:pPr>
            <w:r>
              <w:t xml:space="preserve">Value-Based Pricing</w:t>
            </w:r>
          </w:p>
        </w:tc>
        <w:tc>
          <w:tcPr>
            <w:tcBorders>
              <w:bottom w:val="single"/>
            </w:tcBorders>
            <w:vAlign w:val="bottom"/>
          </w:tcPr>
          <w:p>
            <w:pPr>
              <w:pStyle w:val="Compact"/>
              <w:jc w:val="left"/>
            </w:pPr>
            <w:r>
              <w:t xml:space="preserve">Subscription-Based Pricing</w:t>
            </w:r>
          </w:p>
        </w:tc>
        <w:tc>
          <w:tcPr>
            <w:tcBorders>
              <w:bottom w:val="single"/>
            </w:tcBorders>
            <w:vAlign w:val="bottom"/>
          </w:tcPr>
          <w:p>
            <w:pPr>
              <w:pStyle w:val="Compact"/>
              <w:jc w:val="left"/>
            </w:pPr>
            <w:r>
              <w:t xml:space="preserve">Dynamic Pricing</w:t>
            </w:r>
          </w:p>
        </w:tc>
      </w:tr>
      <w:tr>
        <w:tc>
          <w:p>
            <w:pPr>
              <w:pStyle w:val="Compact"/>
              <w:jc w:val="left"/>
            </w:pPr>
            <w:r>
              <w:rPr>
                <w:b/>
              </w:rPr>
              <w:t xml:space="preserve">Primary Metric</w:t>
            </w:r>
          </w:p>
        </w:tc>
        <w:tc>
          <w:p>
            <w:pPr>
              <w:pStyle w:val="Compact"/>
              <w:jc w:val="left"/>
            </w:pPr>
            <w:r>
              <w:t xml:space="preserve">Tokens (input/output)</w:t>
            </w:r>
          </w:p>
        </w:tc>
        <w:tc>
          <w:p>
            <w:pPr>
              <w:pStyle w:val="Compact"/>
              <w:jc w:val="left"/>
            </w:pPr>
            <w:r>
              <w:t xml:space="preserve">API calls, compute hrs, data vol</w:t>
            </w:r>
          </w:p>
        </w:tc>
        <w:tc>
          <w:p>
            <w:pPr>
              <w:pStyle w:val="Compact"/>
              <w:jc w:val="left"/>
            </w:pPr>
            <w:r>
              <w:t xml:space="preserve">Value delivered to customer</w:t>
            </w:r>
          </w:p>
        </w:tc>
        <w:tc>
          <w:p>
            <w:pPr>
              <w:pStyle w:val="Compact"/>
              <w:jc w:val="left"/>
            </w:pPr>
            <w:r>
              <w:t xml:space="preserve">Fixed period access</w:t>
            </w:r>
          </w:p>
        </w:tc>
        <w:tc>
          <w:p>
            <w:pPr>
              <w:pStyle w:val="Compact"/>
              <w:jc w:val="left"/>
            </w:pPr>
            <w:r>
              <w:t xml:space="preserve">Real-time market factors</w:t>
            </w:r>
          </w:p>
        </w:tc>
      </w:tr>
      <w:tr>
        <w:tc>
          <w:p>
            <w:pPr>
              <w:pStyle w:val="Compact"/>
              <w:jc w:val="left"/>
            </w:pPr>
            <w:r>
              <w:rPr>
                <w:b/>
              </w:rPr>
              <w:t xml:space="preserve">Cost Predictability (User)</w:t>
            </w:r>
          </w:p>
        </w:tc>
        <w:tc>
          <w:p>
            <w:pPr>
              <w:pStyle w:val="Compact"/>
              <w:jc w:val="left"/>
            </w:pPr>
            <w:r>
              <w:t xml:space="preserve">Moderate (depends on prompt efficiency)</w:t>
            </w:r>
          </w:p>
        </w:tc>
        <w:tc>
          <w:p>
            <w:pPr>
              <w:pStyle w:val="Compact"/>
              <w:jc w:val="left"/>
            </w:pPr>
            <w:r>
              <w:t xml:space="preserve">Low (can spike)</w:t>
            </w:r>
          </w:p>
        </w:tc>
        <w:tc>
          <w:p>
            <w:pPr>
              <w:pStyle w:val="Compact"/>
              <w:jc w:val="left"/>
            </w:pPr>
            <w:r>
              <w:t xml:space="preserve">Varies (negotiated)</w:t>
            </w:r>
          </w:p>
        </w:tc>
        <w:tc>
          <w:p>
            <w:pPr>
              <w:pStyle w:val="Compact"/>
              <w:jc w:val="left"/>
            </w:pPr>
            <w:r>
              <w:t xml:space="preserve">High (fixed)</w:t>
            </w:r>
          </w:p>
        </w:tc>
        <w:tc>
          <w:p>
            <w:pPr>
              <w:pStyle w:val="Compact"/>
              <w:jc w:val="left"/>
            </w:pPr>
            <w:r>
              <w:t xml:space="preserve">Very Low (fluctuates)</w:t>
            </w:r>
          </w:p>
        </w:tc>
      </w:tr>
      <w:tr>
        <w:tc>
          <w:p>
            <w:pPr>
              <w:pStyle w:val="Compact"/>
              <w:jc w:val="left"/>
            </w:pPr>
            <w:r>
              <w:rPr>
                <w:b/>
              </w:rPr>
              <w:t xml:space="preserve">Revenue Predictability (Provider)</w:t>
            </w:r>
          </w:p>
        </w:tc>
        <w:tc>
          <w:p>
            <w:pPr>
              <w:pStyle w:val="Compact"/>
              <w:jc w:val="left"/>
            </w:pPr>
            <w:r>
              <w:t xml:space="preserve">High (scales w. usage)</w:t>
            </w:r>
          </w:p>
        </w:tc>
        <w:tc>
          <w:p>
            <w:pPr>
              <w:pStyle w:val="Compact"/>
              <w:jc w:val="left"/>
            </w:pPr>
            <w:r>
              <w:t xml:space="preserve">High (scales w. usage)</w:t>
            </w:r>
          </w:p>
        </w:tc>
        <w:tc>
          <w:p>
            <w:pPr>
              <w:pStyle w:val="Compact"/>
              <w:jc w:val="left"/>
            </w:pPr>
            <w:r>
              <w:t xml:space="preserve">Moderate (depends on sales)</w:t>
            </w:r>
          </w:p>
        </w:tc>
        <w:tc>
          <w:p>
            <w:pPr>
              <w:pStyle w:val="Compact"/>
              <w:jc w:val="left"/>
            </w:pPr>
            <w:r>
              <w:t xml:space="preserve">High (recurring)</w:t>
            </w:r>
          </w:p>
        </w:tc>
        <w:tc>
          <w:p>
            <w:pPr>
              <w:pStyle w:val="Compact"/>
              <w:jc w:val="left"/>
            </w:pPr>
            <w:r>
              <w:t xml:space="preserve">High (optimized)</w:t>
            </w:r>
          </w:p>
        </w:tc>
      </w:tr>
      <w:tr>
        <w:tc>
          <w:p>
            <w:pPr>
              <w:pStyle w:val="Compact"/>
              <w:jc w:val="left"/>
            </w:pPr>
            <w:r>
              <w:rPr>
                <w:b/>
              </w:rPr>
              <w:t xml:space="preserve">Barrier to Entry</w:t>
            </w:r>
          </w:p>
        </w:tc>
        <w:tc>
          <w:p>
            <w:pPr>
              <w:pStyle w:val="Compact"/>
              <w:jc w:val="left"/>
            </w:pPr>
            <w:r>
              <w:t xml:space="preserve">Low</w:t>
            </w:r>
          </w:p>
        </w:tc>
        <w:tc>
          <w:p>
            <w:pPr>
              <w:pStyle w:val="Compact"/>
              <w:jc w:val="left"/>
            </w:pPr>
            <w:r>
              <w:t xml:space="preserve">Low</w:t>
            </w:r>
          </w:p>
        </w:tc>
        <w:tc>
          <w:p>
            <w:pPr>
              <w:pStyle w:val="Compact"/>
              <w:jc w:val="left"/>
            </w:pPr>
            <w:r>
              <w:t xml:space="preserve">High (requires proof)</w:t>
            </w:r>
          </w:p>
        </w:tc>
        <w:tc>
          <w:p>
            <w:pPr>
              <w:pStyle w:val="Compact"/>
              <w:jc w:val="left"/>
            </w:pPr>
            <w:r>
              <w:t xml:space="preserve">Moderate to High</w:t>
            </w:r>
          </w:p>
        </w:tc>
        <w:tc>
          <w:p>
            <w:pPr>
              <w:pStyle w:val="Compact"/>
              <w:jc w:val="left"/>
            </w:pPr>
            <w:r>
              <w:t xml:space="preserve">Low (for basic use)</w:t>
            </w:r>
          </w:p>
        </w:tc>
      </w:tr>
      <w:tr>
        <w:tc>
          <w:p>
            <w:pPr>
              <w:pStyle w:val="Compact"/>
              <w:jc w:val="left"/>
            </w:pPr>
            <w:r>
              <w:rPr>
                <w:b/>
              </w:rPr>
              <w:t xml:space="preserve">Transparency</w:t>
            </w:r>
          </w:p>
        </w:tc>
        <w:tc>
          <w:p>
            <w:pPr>
              <w:pStyle w:val="Compact"/>
              <w:jc w:val="left"/>
            </w:pPr>
            <w:r>
              <w:t xml:space="preserve">High (tokens visible)</w:t>
            </w:r>
          </w:p>
        </w:tc>
        <w:tc>
          <w:p>
            <w:pPr>
              <w:pStyle w:val="Compact"/>
              <w:jc w:val="left"/>
            </w:pPr>
            <w:r>
              <w:t xml:space="preserve">High (metrics visible)</w:t>
            </w:r>
          </w:p>
        </w:tc>
        <w:tc>
          <w:p>
            <w:pPr>
              <w:pStyle w:val="Compact"/>
              <w:jc w:val="left"/>
            </w:pPr>
            <w:r>
              <w:t xml:space="preserve">Low (value subjective)</w:t>
            </w:r>
          </w:p>
        </w:tc>
        <w:tc>
          <w:p>
            <w:pPr>
              <w:pStyle w:val="Compact"/>
              <w:jc w:val="left"/>
            </w:pPr>
            <w:r>
              <w:t xml:space="preserve">High (fixed fee)</w:t>
            </w:r>
          </w:p>
        </w:tc>
        <w:tc>
          <w:p>
            <w:pPr>
              <w:pStyle w:val="Compact"/>
              <w:jc w:val="left"/>
            </w:pPr>
            <w:r>
              <w:t xml:space="preserve">Low (algos opaque)</w:t>
            </w:r>
          </w:p>
        </w:tc>
      </w:tr>
      <w:tr>
        <w:tc>
          <w:p>
            <w:pPr>
              <w:pStyle w:val="Compact"/>
              <w:jc w:val="left"/>
            </w:pPr>
            <w:r>
              <w:rPr>
                <w:b/>
              </w:rPr>
              <w:t xml:space="preserve">Scalability</w:t>
            </w:r>
          </w:p>
        </w:tc>
        <w:tc>
          <w:p>
            <w:pPr>
              <w:pStyle w:val="Compact"/>
              <w:jc w:val="left"/>
            </w:pPr>
            <w:r>
              <w:t xml:space="preserve">High</w:t>
            </w:r>
          </w:p>
        </w:tc>
        <w:tc>
          <w:p>
            <w:pPr>
              <w:pStyle w:val="Compact"/>
              <w:jc w:val="left"/>
            </w:pPr>
            <w:r>
              <w:t xml:space="preserve">Very High</w:t>
            </w:r>
          </w:p>
        </w:tc>
        <w:tc>
          <w:p>
            <w:pPr>
              <w:pStyle w:val="Compact"/>
              <w:jc w:val="left"/>
            </w:pPr>
            <w:r>
              <w:t xml:space="preserve">Moderate (custom)</w:t>
            </w:r>
          </w:p>
        </w:tc>
        <w:tc>
          <w:p>
            <w:pPr>
              <w:pStyle w:val="Compact"/>
              <w:jc w:val="left"/>
            </w:pPr>
            <w:r>
              <w:t xml:space="preserve">Moderate</w:t>
            </w:r>
          </w:p>
        </w:tc>
        <w:tc>
          <w:p>
            <w:pPr>
              <w:pStyle w:val="Compact"/>
              <w:jc w:val="left"/>
            </w:pPr>
            <w:r>
              <w:t xml:space="preserve">High</w:t>
            </w:r>
          </w:p>
        </w:tc>
      </w:tr>
      <w:tr>
        <w:tc>
          <w:p>
            <w:pPr>
              <w:pStyle w:val="Compact"/>
              <w:jc w:val="left"/>
            </w:pPr>
            <w:r>
              <w:rPr>
                <w:b/>
              </w:rPr>
              <w:t xml:space="preserve">Value Alignment</w:t>
            </w:r>
          </w:p>
        </w:tc>
        <w:tc>
          <w:p>
            <w:pPr>
              <w:pStyle w:val="Compact"/>
              <w:jc w:val="left"/>
            </w:pPr>
            <w:r>
              <w:t xml:space="preserve">Low (raw compute)</w:t>
            </w:r>
          </w:p>
        </w:tc>
        <w:tc>
          <w:p>
            <w:pPr>
              <w:pStyle w:val="Compact"/>
              <w:jc w:val="left"/>
            </w:pPr>
            <w:r>
              <w:t xml:space="preserve">Moderate (resource use)</w:t>
            </w:r>
          </w:p>
        </w:tc>
        <w:tc>
          <w:p>
            <w:pPr>
              <w:pStyle w:val="Compact"/>
              <w:jc w:val="left"/>
            </w:pPr>
            <w:r>
              <w:t xml:space="preserve">Very High (outcomes)</w:t>
            </w:r>
          </w:p>
        </w:tc>
        <w:tc>
          <w:p>
            <w:pPr>
              <w:pStyle w:val="Compact"/>
              <w:jc w:val="left"/>
            </w:pPr>
            <w:r>
              <w:t xml:space="preserve">Moderate (features)</w:t>
            </w:r>
          </w:p>
        </w:tc>
        <w:tc>
          <w:p>
            <w:pPr>
              <w:pStyle w:val="Compact"/>
              <w:jc w:val="left"/>
            </w:pPr>
            <w:r>
              <w:t xml:space="preserve">High (market response)</w:t>
            </w:r>
          </w:p>
        </w:tc>
      </w:tr>
      <w:tr>
        <w:tc>
          <w:p>
            <w:pPr>
              <w:pStyle w:val="Compact"/>
              <w:jc w:val="left"/>
            </w:pPr>
            <w:r>
              <w:rPr>
                <w:b/>
              </w:rPr>
              <w:t xml:space="preserve">Key Advantage</w:t>
            </w:r>
          </w:p>
        </w:tc>
        <w:tc>
          <w:p>
            <w:pPr>
              <w:pStyle w:val="Compact"/>
              <w:jc w:val="left"/>
            </w:pPr>
            <w:r>
              <w:t xml:space="preserve">Granular cost control</w:t>
            </w:r>
          </w:p>
        </w:tc>
        <w:tc>
          <w:p>
            <w:pPr>
              <w:pStyle w:val="Compact"/>
              <w:jc w:val="left"/>
            </w:pPr>
            <w:r>
              <w:t xml:space="preserve">Flexibility, pay-as-you-go</w:t>
            </w:r>
          </w:p>
        </w:tc>
        <w:tc>
          <w:p>
            <w:pPr>
              <w:pStyle w:val="Compact"/>
              <w:jc w:val="left"/>
            </w:pPr>
            <w:r>
              <w:t xml:space="preserve">Maximize revenue from impact</w:t>
            </w:r>
          </w:p>
        </w:tc>
        <w:tc>
          <w:p>
            <w:pPr>
              <w:pStyle w:val="Compact"/>
              <w:jc w:val="left"/>
            </w:pPr>
            <w:r>
              <w:t xml:space="preserve">Predictable costs/revenue</w:t>
            </w:r>
          </w:p>
        </w:tc>
        <w:tc>
          <w:p>
            <w:pPr>
              <w:pStyle w:val="Compact"/>
              <w:jc w:val="left"/>
            </w:pPr>
            <w:r>
              <w:t xml:space="preserve">Real-time optimization</w:t>
            </w:r>
          </w:p>
        </w:tc>
      </w:tr>
      <w:tr>
        <w:tc>
          <w:p>
            <w:pPr>
              <w:pStyle w:val="Compact"/>
              <w:jc w:val="left"/>
            </w:pPr>
            <w:r>
              <w:rPr>
                <w:b/>
              </w:rPr>
              <w:t xml:space="preserve">Key Disadvantage</w:t>
            </w:r>
          </w:p>
        </w:tc>
        <w:tc>
          <w:p>
            <w:pPr>
              <w:pStyle w:val="Compact"/>
              <w:jc w:val="left"/>
            </w:pPr>
            <w:r>
              <w:t xml:space="preserve">Token inflation risk</w:t>
            </w:r>
          </w:p>
        </w:tc>
        <w:tc>
          <w:p>
            <w:pPr>
              <w:pStyle w:val="Compact"/>
              <w:jc w:val="left"/>
            </w:pPr>
            <w:r>
              <w:t xml:space="preserve">Cost unpredictability</w:t>
            </w:r>
          </w:p>
        </w:tc>
        <w:tc>
          <w:p>
            <w:pPr>
              <w:pStyle w:val="Compact"/>
              <w:jc w:val="left"/>
            </w:pPr>
            <w:r>
              <w:t xml:space="preserve">Value quantification hard</w:t>
            </w:r>
          </w:p>
        </w:tc>
        <w:tc>
          <w:p>
            <w:pPr>
              <w:pStyle w:val="Compact"/>
              <w:jc w:val="left"/>
            </w:pPr>
            <w:r>
              <w:t xml:space="preserve">Underutilization risk</w:t>
            </w:r>
          </w:p>
        </w:tc>
        <w:tc>
          <w:p>
            <w:pPr>
              <w:pStyle w:val="Compact"/>
              <w:jc w:val="left"/>
            </w:pPr>
            <w:r>
              <w:t xml:space="preserve">Fairness concerns, complexity</w:t>
            </w:r>
          </w:p>
        </w:tc>
      </w:tr>
    </w:tbl>
    <w:p>
      <w:pPr>
        <w:pStyle w:val="BodyText"/>
      </w:pPr>
      <w:r>
        <w:rPr>
          <w:i/>
        </w:rPr>
        <w:t xml:space="preserve">Note: This table summarizes the general characteristics of each pricing model in the context of AI services. Actual implementation details may vary between providers and specific AI applications.</w:t>
      </w:r>
    </w:p>
    <w:p>
      <w:r>
        <w:pict>
          <v:rect style="width:0;height:1.5pt" o:hralign="center" o:hrstd="t" o:hr="t"/>
        </w:pict>
      </w:r>
    </w:p>
    <w:p>
      <w:pPr>
        <w:pStyle w:val="Heading1"/>
      </w:pPr>
      <w:bookmarkStart w:id="35" w:name="methodology"/>
      <w:r>
        <w:t xml:space="preserve">Methodology</w:t>
      </w:r>
      <w:bookmarkEnd w:id="35"/>
    </w:p>
    <w:p>
      <w:pPr>
        <w:pStyle w:val="FirstParagraph"/>
      </w:pPr>
      <w:r>
        <w:t xml:space="preserve">This section delineates the methodological framework employed to investigate the intricate dynamics of AI-driven pricing models within contemporary business landscapes. The primary objective is to establish a rigorous and transparent approach that facilitates a comprehensive understanding of how these advanced systems are conceptualized, implemented, and impact various economic sectors. Given the novel and rapidly evolving nature of AI in economic decision-making, a qualitative, comparative case study design has been adopted. This approach is particularly suited for exploring complex phenomena within their real-world contexts, allowing for in-depth analysis of specific instances while also enabling cross-case comparisons to identify patterns, variations, and emergent themes (Xue, 2023). The methodology is structured around three core components: the development of a conceptual framework for comparing AI-driven pricing models, the criteria for selecting relevant case studies, and the detailed approach for data collection and analysis. By systematically applying this methodology, the study aims to provide nuanced insights into the strategic implications, operational challenges, and ethical considerations inherent in the adoption of AI-powered pricing mechanisms. This structured inquiry will not only illuminate current practices but also contribute to a more robust theoretical understanding of the economic impact of artificial intelligence (Bengio, 2023).</w:t>
      </w:r>
    </w:p>
    <w:p>
      <w:pPr>
        <w:pStyle w:val="Heading2"/>
      </w:pPr>
      <w:bookmarkStart w:id="36" w:name="research-design-and-approach"/>
      <w:r>
        <w:t xml:space="preserve">Research Design and Approach</w:t>
      </w:r>
      <w:bookmarkEnd w:id="36"/>
    </w:p>
    <w:p>
      <w:pPr>
        <w:pStyle w:val="FirstParagraph"/>
      </w:pPr>
      <w:r>
        <w:t xml:space="preserve">The overarching research design for this study is a qualitative, comparative case study approach. This design is strategically chosen to delve deeply into the mechanisms and implications of AI-driven pricing models, which are often context-dependent and multifaceted (Ranjan et al., 2025). Unlike quantitative methods that seek to generalize findings across large populations, the comparative case study method focuses on understanding the</w:t>
      </w:r>
      <w:r>
        <w:t xml:space="preserve"> </w:t>
      </w:r>
      <w:r>
        <w:t xml:space="preserve">“</w:t>
      </w:r>
      <w:r>
        <w:t xml:space="preserve">how</w:t>
      </w:r>
      <w:r>
        <w:t xml:space="preserve">”</w:t>
      </w:r>
      <w:r>
        <w:t xml:space="preserve"> </w:t>
      </w:r>
      <w:r>
        <w:t xml:space="preserve">and</w:t>
      </w:r>
      <w:r>
        <w:t xml:space="preserve"> </w:t>
      </w:r>
      <w:r>
        <w:t xml:space="preserve">“</w:t>
      </w:r>
      <w:r>
        <w:t xml:space="preserve">why</w:t>
      </w:r>
      <w:r>
        <w:t xml:space="preserve">”</w:t>
      </w:r>
      <w:r>
        <w:t xml:space="preserve"> </w:t>
      </w:r>
      <w:r>
        <w:t xml:space="preserve">of phenomena within specific, bounded contexts (Xue, 2023). This allows for a rich, detailed exploration of individual cases, providing granular insights into the operational realities, strategic decisions, and outcomes associated with AI integration in pricing. Subsequently, by comparing multiple cases, the study can identify commonalities, distinctive features, and contextual factors that influence the design and effectiveness of different AI pricing strategies across various industries and applications (Shin &amp; Kang, 2024). This approach is particularly valuable for emergent fields like AI in business economics, where established theories may not yet fully capture the nuances of new technological applications. The qualitative nature of the inquiry permits flexibility in data collection and interpretation, enabling the discovery of unforeseen variables and complex interrelationships that might be overlooked by more rigid quantitative designs. The ultimate goal is not necessarily statistical generalization, but rather analytical generalization, whereby the findings from selected cases contribute to the development or refinement of theoretical propositions about AI-driven pricing (Miao et al., 2025).</w:t>
      </w:r>
    </w:p>
    <w:p>
      <w:pPr>
        <w:pStyle w:val="Heading3"/>
      </w:pPr>
      <w:bookmarkStart w:id="37" w:name="Xf33eb8081712ca2bb359d0a1fa54dfa1342e255"/>
      <w:r>
        <w:t xml:space="preserve">Conceptual Framework for AI-Driven Pricing Model Comparison</w:t>
      </w:r>
      <w:bookmarkEnd w:id="37"/>
    </w:p>
    <w:p>
      <w:pPr>
        <w:pStyle w:val="FirstParagraph"/>
      </w:pPr>
      <w:r>
        <w:t xml:space="preserve">To systematically analyze and compare diverse AI-driven pricing models, a robust conceptual framework is indispensable. This framework serves as a structured lens through which each case study will be examined, ensuring consistency and comparability across different contexts. The framework is designed to capture the multifaceted dimensions of AI pricing, moving beyond simplistic categorizations to encompass technological, economic, ethical, and strategic considerations. The core dimensions of this framework are elaborated below, each justified by its relevance to understanding the comprehensive impact and operational characteristics of AI in pricing strategies.</w:t>
      </w:r>
    </w:p>
    <w:p>
      <w:pPr>
        <w:pStyle w:val="Heading4"/>
      </w:pPr>
      <w:bookmarkStart w:id="38" w:name="data-sourcing-and-management."/>
      <w:r>
        <w:t xml:space="preserve">Data Sourcing and Management.</w:t>
      </w:r>
      <w:bookmarkEnd w:id="38"/>
    </w:p>
    <w:p>
      <w:pPr>
        <w:pStyle w:val="FirstParagraph"/>
      </w:pPr>
      <w:r>
        <w:t xml:space="preserve">The foundation of any AI-driven pricing model lies in the data it processes (Yu et al., 2024). This dimension assesses the types of data utilized (e.g., historical sales, real-time demand, competitor pricing, customer demographics, behavioral data, external economic indicators), the methods of data collection, and the strategies for data management and quality assurance (Hossen, 2024). Key considerations include the volume, velocity, variety, and veracity of data, as well as the mechanisms for integrating disparate data sources. Understanding the data landscape is crucial because it directly influences the model’s accuracy, responsiveness, and capacity for personalization (Abdullah &amp; Hasan, 2023). For instance, models relying on real-time traffic data for dynamic pricing in ride-sharing or e-commerce platforms will exhibit different characteristics and challenges compared to those using historical customer purchase patterns for personalized offers (Yu et al., 2024)(Paul, 2023). The ethical implications of data privacy and the potential for algorithmic bias stemming from biased datasets are also critical aspects examined under this dimension (Ericson et al., 2025).</w:t>
      </w:r>
    </w:p>
    <w:p>
      <w:pPr>
        <w:pStyle w:val="Heading4"/>
      </w:pPr>
      <w:bookmarkStart w:id="39" w:name="algorithmic-architecture-and-complexity."/>
      <w:r>
        <w:t xml:space="preserve">Algorithmic Architecture and Complexity.</w:t>
      </w:r>
      <w:bookmarkEnd w:id="39"/>
    </w:p>
    <w:p>
      <w:pPr>
        <w:pStyle w:val="FirstParagraph"/>
      </w:pPr>
      <w:r>
        <w:t xml:space="preserve">This dimension focuses on the specific artificial intelligence techniques and algorithmic architectures employed within the pricing model. This includes identifying whether the models utilize machine learning algorithms (e.g., regression, classification, clustering), deep learning networks, reinforcement learning, or more complex agent-based systems (Ranjan et al., 2025)(Widono et al., 2024). The complexity of the algorithm, its learning paradigm (supervised, unsupervised, semi-supervised), and its ability to adapt and learn from new data are central to this analysis. Furthermore, considerations such as the model’s interpretability or explainability, computational requirements (Molom-Ochir &amp; Shenoy, 2021), and scalability are vital. A simple rule-based system differs fundamentally from a deep reinforcement learning agent optimizing prices in a dynamic market, not only in its technical sophistication but also in its decision-making opacity and potential for emergent behaviors. The choice of algorithmic architecture often reflects a trade-off between predictive power, computational cost, and the need for transparency or auditability (Molom-Ochir &amp; Shenoy, 2021).</w:t>
      </w:r>
    </w:p>
    <w:p>
      <w:pPr>
        <w:pStyle w:val="Heading4"/>
      </w:pPr>
      <w:bookmarkStart w:id="40" w:name="pricing-strategy-and-mechanism."/>
      <w:r>
        <w:t xml:space="preserve">Pricing Strategy and Mechanism.</w:t>
      </w:r>
      <w:bookmarkEnd w:id="40"/>
    </w:p>
    <w:p>
      <w:pPr>
        <w:pStyle w:val="FirstParagraph"/>
      </w:pPr>
      <w:r>
        <w:t xml:space="preserve">This dimension scrutinizes the specific pricing strategies that the AI model is designed to implement and the mechanisms through which prices are determined and adjusted. This includes dynamic pricing, personalized pricing, usage-based pricing (Bala &amp; Carr, 2010), subscription-based models, value-based pricing (Wang et al., 2024), and auction-based mechanisms (Ewerhart, 2009). The framework will evaluate how the AI intervenes in the pricing process: Is it setting prices autonomously? Is it providing recommendations to human decision-makers? How frequently are prices updated? What are the key objectives driving the pricing strategy (e.g., revenue maximization, profit optimization, market share growth, customer lifetime value, energy justice (Senyapar et al., 2025))? The interplay between AI capabilities and traditional economic pricing theories will be explored here, analyzing whether AI fundamentally alters these theories or merely enhances their application. The responsiveness of the pricing mechanism to external shocks, competitive actions, and demand fluctuations is also a critical area of assessment (Saxena &amp; Singh, 2024).</w:t>
      </w:r>
    </w:p>
    <w:p>
      <w:pPr>
        <w:pStyle w:val="Heading4"/>
      </w:pPr>
      <w:bookmarkStart w:id="41" w:name="business-impact-and-performance-metrics."/>
      <w:r>
        <w:t xml:space="preserve">Business Impact and Performance Metrics.</w:t>
      </w:r>
      <w:bookmarkEnd w:id="41"/>
    </w:p>
    <w:p>
      <w:pPr>
        <w:pStyle w:val="FirstParagraph"/>
      </w:pPr>
      <w:r>
        <w:t xml:space="preserve">This dimension evaluates the tangible and intangible business outcomes resulting from the implementation of AI-driven pricing. Key performance indicators (KPIs) include revenue growth, profit margins, customer acquisition cost, customer retention rates, market share, operational efficiency gains, and improvements in customer satisfaction (Abdullah &amp; Hasan, 2023). Beyond financial metrics, the framework also considers strategic impacts such as enhanced competitive advantage, improved decision-making capabilities (Neyyila et al., 2025), and the ability to innovate new business models (Paul, 2023). The analysis will differentiate between short-term gains and long-term strategic shifts, recognizing that AI adoption is often a journey with evolving impacts. The ability of AI pricing models to adapt to changing market conditions and deliver sustainable value will be a central focus (Miao et al., 2025). This dimension also encompasses the challenges faced in achieving desired business outcomes, such as integration complexities, resistance to change, and the cost of AI infrastructure (Molom-Ochir &amp; Shenoy, 2021).</w:t>
      </w:r>
    </w:p>
    <w:p>
      <w:pPr>
        <w:pStyle w:val="Heading4"/>
      </w:pPr>
      <w:bookmarkStart w:id="42" w:name="X56d9b9f4af6d84189c0fd06e61fc4c6af18fb69"/>
      <w:r>
        <w:t xml:space="preserve">Ethical, Social, and Regulatory Considerations.</w:t>
      </w:r>
      <w:bookmarkEnd w:id="42"/>
    </w:p>
    <w:p>
      <w:pPr>
        <w:pStyle w:val="FirstParagraph"/>
      </w:pPr>
      <w:r>
        <w:t xml:space="preserve">The deployment of AI in pricing is not merely a technical or economic endeavor; it carries significant ethical, social, and regulatory implications (Haq &amp; Yunanto, 2024). This dimension assesses issues such as fairness, transparency, algorithmic bias, privacy, and potential for discriminatory pricing practices (Ericson et al., 2025)(Undheim et al., 2022). It also considers the broader societal impacts, including consumer welfare, market access, and the potential for exacerbating inequalities (Senyapar et al., 2025). The regulatory landscape, including data protection laws, antitrust concerns, and emerging AI governance frameworks, forms a crucial part of this analysis (Arba KOKALARI, 2025). The framework will investigate how organizations address these challenges, whether through internal governance mechanisms, adherence to ethical AI principles, or engagement with regulatory sandboxes (Undheim et al., 2022). Understanding these non-economic dimensions is critical for a holistic evaluation of AI-driven pricing models, as their long-term viability and public acceptance are often contingent on addressing these concerns effectively.</w:t>
      </w:r>
    </w:p>
    <w:p>
      <w:pPr>
        <w:pStyle w:val="BodyText"/>
      </w:pPr>
      <w:r>
        <w:t xml:space="preserve">By applying this multi-dimensional framework, the study ensures a comprehensive and systematic comparison of different AI-driven pricing models, moving beyond superficial descriptions to uncover the underlying complexities and implications of their design and operation. Each case study will be rigorously mapped against these dimensions, allowing for both within-case depth and robust cross-case synthesis.</w:t>
      </w:r>
    </w:p>
    <w:p>
      <w:pPr>
        <w:pStyle w:val="Heading3"/>
      </w:pPr>
      <w:bookmarkStart w:id="43" w:name="X42e1de53419adcf93ac6cbed457990a634b2d61"/>
      <w:r>
        <w:t xml:space="preserve">Conceptual Framework for AI-Driven Pricing Model Comparison</w:t>
      </w:r>
      <w:bookmarkEnd w:id="43"/>
    </w:p>
    <w:p>
      <w:pPr>
        <w:pStyle w:val="FirstParagraph"/>
      </w:pPr>
      <w:r>
        <w:t xml:space="preserve">The conceptual framework outlined above provides a structured lens for analyzing AI-driven pricing models. Figure 1 visually represents the interconnectedness of these five critical dimensions, illustrating how they collectively shape the design, implementation, and impact of AI in pricing strategies.</w:t>
      </w:r>
    </w:p>
    <w:p>
      <w:pPr>
        <w:pStyle w:val="BodyText"/>
      </w:pPr>
      <w:r>
        <w:rPr>
          <w:b/>
        </w:rPr>
        <w:t xml:space="preserve">Figure 1: Conceptual Framework for AI-Driven Pricing Model Comparison</w:t>
      </w:r>
    </w:p>
    <w:p>
      <w:pPr>
        <w:pStyle w:val="SourceCode"/>
      </w:pPr>
      <w:r>
        <w:rPr>
          <w:rStyle w:val="VerbatimChar"/>
        </w:rPr>
        <w:t xml:space="preserve">+--------------------------+</w:t>
      </w:r>
      <w:r>
        <w:br/>
      </w:r>
      <w:r>
        <w:rPr>
          <w:rStyle w:val="VerbatimChar"/>
        </w:rPr>
        <w:t xml:space="preserve">| Data Sourcing &amp; Mgmt |</w:t>
      </w:r>
      <w:r>
        <w:br/>
      </w:r>
      <w:r>
        <w:rPr>
          <w:rStyle w:val="VerbatimChar"/>
        </w:rPr>
        <w:t xml:space="preserve">| (Volume, Velocity, |</w:t>
      </w:r>
      <w:r>
        <w:br/>
      </w:r>
      <w:r>
        <w:rPr>
          <w:rStyle w:val="VerbatimChar"/>
        </w:rPr>
        <w:t xml:space="preserve">| Variety, Veracity)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Algorithmic Arch. &amp; Comp. |</w:t>
      </w:r>
      <w:r>
        <w:br/>
      </w:r>
      <w:r>
        <w:rPr>
          <w:rStyle w:val="VerbatimChar"/>
        </w:rPr>
        <w:t xml:space="preserve">| (ML, DL, RL, Agent-Based) |</w:t>
      </w:r>
      <w:r>
        <w:br/>
      </w:r>
      <w:r>
        <w:rPr>
          <w:rStyle w:val="VerbatimChar"/>
        </w:rPr>
        <w:t xml:space="preserve">| (Interpretability, Comp. |</w:t>
      </w:r>
      <w:r>
        <w:br/>
      </w:r>
      <w:r>
        <w:rPr>
          <w:rStyle w:val="VerbatimChar"/>
        </w:rPr>
        <w:t xml:space="preserve">| Cost, Scalability)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Pricing Strategy &amp; Mech. |</w:t>
      </w:r>
      <w:r>
        <w:br/>
      </w:r>
      <w:r>
        <w:rPr>
          <w:rStyle w:val="VerbatimChar"/>
        </w:rPr>
        <w:t xml:space="preserve">| (Dynamic, Personalized, |</w:t>
      </w:r>
      <w:r>
        <w:br/>
      </w:r>
      <w:r>
        <w:rPr>
          <w:rStyle w:val="VerbatimChar"/>
        </w:rPr>
        <w:t xml:space="preserve">| Usage, Value, Auction) |</w:t>
      </w:r>
      <w:r>
        <w:br/>
      </w:r>
      <w:r>
        <w:rPr>
          <w:rStyle w:val="VerbatimChar"/>
        </w:rPr>
        <w:t xml:space="preserve">| (Objectives, Frequency)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Business Impact &amp; Metrics |</w:t>
      </w:r>
      <w:r>
        <w:br/>
      </w:r>
      <w:r>
        <w:rPr>
          <w:rStyle w:val="VerbatimChar"/>
        </w:rPr>
        <w:t xml:space="preserve">| (Revenue, Profit, ROI, |</w:t>
      </w:r>
      <w:r>
        <w:br/>
      </w:r>
      <w:r>
        <w:rPr>
          <w:rStyle w:val="VerbatimChar"/>
        </w:rPr>
        <w:t xml:space="preserve">| Customer Sat, Adv.)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Ethical, Social, Reg. C. |</w:t>
      </w:r>
      <w:r>
        <w:br/>
      </w:r>
      <w:r>
        <w:rPr>
          <w:rStyle w:val="VerbatimChar"/>
        </w:rPr>
        <w:t xml:space="preserve">| (Fairness, Transparency, |</w:t>
      </w:r>
      <w:r>
        <w:br/>
      </w:r>
      <w:r>
        <w:rPr>
          <w:rStyle w:val="VerbatimChar"/>
        </w:rPr>
        <w:t xml:space="preserve">| Bias, Privacy, Laws) |</w:t>
      </w:r>
      <w:r>
        <w:br/>
      </w:r>
      <w:r>
        <w:rPr>
          <w:rStyle w:val="VerbatimChar"/>
        </w:rPr>
        <w:t xml:space="preserve">+--------------------------+</w:t>
      </w:r>
    </w:p>
    <w:p>
      <w:pPr>
        <w:pStyle w:val="FirstParagraph"/>
      </w:pPr>
      <w:r>
        <w:rPr>
          <w:i/>
        </w:rPr>
        <w:t xml:space="preserve">Note: This diagram illustrates the sequential yet interconnected nature of the conceptual framework dimensions. Data fuels the algorithms, which execute pricing strategies, leading to business impacts, all within a socio-ethical-regulatory context.</w:t>
      </w:r>
    </w:p>
    <w:p>
      <w:pPr>
        <w:pStyle w:val="Heading3"/>
      </w:pPr>
      <w:bookmarkStart w:id="44" w:name="case-study-selection-criteria."/>
      <w:r>
        <w:t xml:space="preserve">Case Study Selection Criteria.</w:t>
      </w:r>
      <w:bookmarkEnd w:id="44"/>
    </w:p>
    <w:p>
      <w:pPr>
        <w:pStyle w:val="FirstParagraph"/>
      </w:pPr>
      <w:r>
        <w:t xml:space="preserve">The selection of case studies is a critical step in ensuring the relevance, richness, and analytical power of this qualitative research. Given the objective of providing in-depth insights and facilitating comparative analysis, the cases will be chosen purposefully rather than randomly. The primary goal is to select cases that offer diverse examples of AI-driven pricing models across different industries and contexts, thereby enabling a broad yet detailed exploration of the conceptual framework’s dimensions. A minimum of three to five distinct case studies will be selected to allow for meaningful comparison while maintaining the depth required for qualitative inquiry. The specific criteria for case selection are outlined as follows:</w:t>
      </w:r>
    </w:p>
    <w:p>
      <w:pPr>
        <w:pStyle w:val="Heading4"/>
      </w:pPr>
      <w:bookmarkStart w:id="45" w:name="industry-and-sectoral-diversity."/>
      <w:r>
        <w:t xml:space="preserve">Industry and Sectoral Diversity.</w:t>
      </w:r>
      <w:bookmarkEnd w:id="45"/>
    </w:p>
    <w:p>
      <w:pPr>
        <w:pStyle w:val="FirstParagraph"/>
      </w:pPr>
      <w:r>
        <w:t xml:space="preserve">Cases will be chosen from a variety of industries that have demonstrably adopted or are actively experimenting with AI in their pricing strategies. This includes sectors such as e-commerce (Paul, 2023)(Hossen, 2024), financial services (e.g., insurance (Bhattacharya et al., 2025), banking (Joshi, 2025)), hospitality (Milton &amp; Dean, 2024), energy (Senyapar et al., 2025), and digital platforms (e.g., online advertising, data trading (Yu et al., 2024), OTA platforms (Guo, 2025)). Selecting cases from diverse sectors is crucial because the operational context, competitive landscape, regulatory environment, and customer behavior vary significantly across industries, influencing the design and efficacy of AI pricing models. For instance, dynamic pricing in e-commerce faces different challenges than personalized insurance premiums or real-time energy pricing, necessitating a broad scope to capture these variations.</w:t>
      </w:r>
    </w:p>
    <w:p>
      <w:pPr>
        <w:pStyle w:val="Heading4"/>
      </w:pPr>
      <w:bookmarkStart w:id="46" w:name="maturity-and-scale-of-ai-implementation."/>
      <w:r>
        <w:t xml:space="preserve">Maturity and Scale of AI Implementation.</w:t>
      </w:r>
      <w:bookmarkEnd w:id="46"/>
    </w:p>
    <w:p>
      <w:pPr>
        <w:pStyle w:val="FirstParagraph"/>
      </w:pPr>
      <w:r>
        <w:t xml:space="preserve">Cases will represent varying degrees of AI maturity in pricing. This includes early adopters who are pioneering novel AI pricing strategies, as well as established companies that have integrated AI into their existing pricing infrastructures. The scale of implementation, from pilot programs to full-scale deployment, will also be considered. This spectrum allows for an understanding of the evolutionary trajectory of AI pricing, identifying challenges and successes at different stages of adoption (Shin &amp; Kang, 2024). It will also enable the study to explore how organizations scale AI solutions and manage the transition from traditional to AI-driven pricing.</w:t>
      </w:r>
    </w:p>
    <w:p>
      <w:pPr>
        <w:pStyle w:val="Heading4"/>
      </w:pPr>
      <w:bookmarkStart w:id="47" w:name="X6a0d2a0f5aa32fafce8ab648ac6566298a4d3ee"/>
      <w:r>
        <w:t xml:space="preserve">Availability of Publicly Accessible Information.</w:t>
      </w:r>
      <w:bookmarkEnd w:id="47"/>
    </w:p>
    <w:p>
      <w:pPr>
        <w:pStyle w:val="FirstParagraph"/>
      </w:pPr>
      <w:r>
        <w:t xml:space="preserve">Given that this research relies predominantly on secondary data sources, the availability of comprehensive and reliable public information is a paramount selection criterion. This includes academic publications, industry reports, company white papers, press releases, news articles, financial disclosures, and patent filings (Shin &amp; Kang, 2024). Cases where companies have publicly discussed their AI pricing strategies, their rationale, outcomes, and challenges will be prioritized. This ensures that sufficient data can be gathered to populate the conceptual framework for each case study, thereby enhancing the validity and robustness of the analysis. Companies with high levels of transparency regarding their technological implementations and business strategies are particularly valuable (Mohammed et al., 2023).</w:t>
      </w:r>
    </w:p>
    <w:p>
      <w:pPr>
        <w:pStyle w:val="Heading4"/>
      </w:pPr>
      <w:bookmarkStart w:id="48" w:name="X67e1a0def2db2b38111cba4420e9453c2589460"/>
      <w:r>
        <w:t xml:space="preserve">Demonstrated Impact or Noteworthy Innovation.</w:t>
      </w:r>
      <w:bookmarkEnd w:id="48"/>
    </w:p>
    <w:p>
      <w:pPr>
        <w:pStyle w:val="FirstParagraph"/>
      </w:pPr>
      <w:r>
        <w:t xml:space="preserve">Cases will be selected based on their demonstrated significant impact on their respective markets, either through notable success in revenue optimization, customer engagement, or by introducing innovative pricing paradigms (Paul, 2023). Conversely, cases that highlight significant challenges or controversies related to AI pricing (e.g., ethical concerns, regulatory scrutiny) will also be considered to provide a balanced perspective. This criterion ensures that the selected cases are rich in analytical potential, offering valuable lessons and insights into the practical application and implications of AI in pricing. Examples of such impact could include the use of AI for dynamic pricing in the Airbnb market (Malik et al., 2023) or for enhancing consumer decision-making (Leela.Vemula et al., 2025).</w:t>
      </w:r>
    </w:p>
    <w:p>
      <w:pPr>
        <w:pStyle w:val="Heading4"/>
      </w:pPr>
      <w:bookmarkStart w:id="49" w:name="geographic-and-market-context."/>
      <w:r>
        <w:t xml:space="preserve">Geographic and Market Context.</w:t>
      </w:r>
      <w:bookmarkEnd w:id="49"/>
    </w:p>
    <w:p>
      <w:pPr>
        <w:pStyle w:val="FirstParagraph"/>
      </w:pPr>
      <w:r>
        <w:t xml:space="preserve">While the primary focus is on the nature of AI-driven pricing, considering cases from different geographical regions or market types (e.g., developed vs. emerging economies, regulated vs. unregulated markets) can add valuable contextual layers. This helps in understanding how regional regulations, cultural norms, and market structures influence the design and acceptance of AI pricing models (Haq &amp; Yunanto, 2024). However, this criterion will be balanced against data availability and the need for focused analysis.</w:t>
      </w:r>
    </w:p>
    <w:p>
      <w:pPr>
        <w:pStyle w:val="Heading4"/>
      </w:pPr>
      <w:bookmarkStart w:id="50" w:name="exclusion-criteria."/>
      <w:r>
        <w:t xml:space="preserve">Exclusion Criteria.</w:t>
      </w:r>
      <w:bookmarkEnd w:id="50"/>
    </w:p>
    <w:p>
      <w:pPr>
        <w:pStyle w:val="FirstParagraph"/>
      </w:pPr>
      <w:r>
        <w:t xml:space="preserve">Cases where AI is used purely for recommendation systems without direct influence on price setting, or where the</w:t>
      </w:r>
      <w:r>
        <w:t xml:space="preserve"> </w:t>
      </w:r>
      <w:r>
        <w:t xml:space="preserve">“</w:t>
      </w:r>
      <w:r>
        <w:t xml:space="preserve">AI</w:t>
      </w:r>
      <w:r>
        <w:t xml:space="preserve">”</w:t>
      </w:r>
      <w:r>
        <w:t xml:space="preserve"> </w:t>
      </w:r>
      <w:r>
        <w:t xml:space="preserve">component is a simple algorithm lacking adaptive learning capabilities, will be excluded. Similarly, cases with extremely limited public information that would hinder a comprehensive analysis against the conceptual framework will not be selected. The focus remains on advanced, adaptive AI systems that actively inform or execute pricing decisions.</w:t>
      </w:r>
    </w:p>
    <w:p>
      <w:pPr>
        <w:pStyle w:val="Heading3"/>
      </w:pPr>
      <w:bookmarkStart w:id="51" w:name="data-collection-methods."/>
      <w:r>
        <w:t xml:space="preserve">Data Collection Methods.</w:t>
      </w:r>
      <w:bookmarkEnd w:id="51"/>
    </w:p>
    <w:p>
      <w:pPr>
        <w:pStyle w:val="FirstParagraph"/>
      </w:pPr>
      <w:r>
        <w:t xml:space="preserve">The data collection phase will primarily rely on secondary sources to ensure comprehensive coverage and leverage existing public information regarding AI-driven pricing models. This approach is well-suited for a theoretical paper with case studies, allowing for a broad exploration of diverse applications without the logistical constraints of primary data collection from numerous organizations. The systematic collection of data will be guided by the dimensions of the conceptual framework, ensuring that all relevant aspects of each case study are thoroughly investigated.</w:t>
      </w:r>
    </w:p>
    <w:p>
      <w:pPr>
        <w:pStyle w:val="Heading4"/>
      </w:pPr>
      <w:bookmarkStart w:id="52" w:name="literature-review-and-document-analysis."/>
      <w:r>
        <w:t xml:space="preserve">Literature Review and Document Analysis.</w:t>
      </w:r>
      <w:bookmarkEnd w:id="52"/>
    </w:p>
    <w:p>
      <w:pPr>
        <w:pStyle w:val="FirstParagraph"/>
      </w:pPr>
      <w:r>
        <w:t xml:space="preserve">A comprehensive review of academic literature, industry reports, white papers, and business publications will form the bedrock of data collection. This includes peer-reviewed articles, conference proceedings, market research reports from reputable firms, and case studies published by business schools or consulting agencies. Specific attention will be paid to publications detailing the implementation of AI technologies in pricing, their underlying algorithms, strategic rationales, and observed outcomes (Ranjan et al., 2025)(Senyapar et al., 2025)(Paul, 2023). This step will also involve identifying and analyzing company-specific documents, such as annual reports, investor presentations, and corporate blogs, which often provide insights into technological adoption and business strategy. The analysis of these documents will be iterative, with initial scans identifying potential case studies and subsequent, more targeted searches extracting detailed information relevant to the conceptual framework.</w:t>
      </w:r>
    </w:p>
    <w:p>
      <w:pPr>
        <w:pStyle w:val="Heading4"/>
      </w:pPr>
      <w:bookmarkStart w:id="53" w:name="news-articles-and-media-reports."/>
      <w:r>
        <w:t xml:space="preserve">News Articles and Media Reports.</w:t>
      </w:r>
      <w:bookmarkEnd w:id="53"/>
    </w:p>
    <w:p>
      <w:pPr>
        <w:pStyle w:val="FirstParagraph"/>
      </w:pPr>
      <w:r>
        <w:t xml:space="preserve">Reputable news outlets and specialized technology or business media reports will be scanned for information on companies implementing AI pricing. These sources often provide timely information on new initiatives, market reactions, controversies, and regulatory responses related to AI in business. While journalistic reports require critical evaluation for bias, they can offer valuable real-world context, public perception, and details on events that might not be captured in formal corporate documents. This includes reports on ethical concerns, consumer backlash, or regulatory investigations concerning AI pricing practices (Ericson et al., 2025)(Haq &amp; Yunanto, 2024).</w:t>
      </w:r>
    </w:p>
    <w:p>
      <w:pPr>
        <w:pStyle w:val="Heading4"/>
      </w:pPr>
      <w:bookmarkStart w:id="54" w:name="Xacc24131c482079f5d8052e95ef0b9509dbae70"/>
      <w:r>
        <w:t xml:space="preserve">Patent Databases and Technical Specifications.</w:t>
      </w:r>
      <w:bookmarkEnd w:id="54"/>
    </w:p>
    <w:p>
      <w:pPr>
        <w:pStyle w:val="FirstParagraph"/>
      </w:pPr>
      <w:r>
        <w:t xml:space="preserve">For a deeper understanding of the technological underpinnings of AI pricing models, relevant patent databases (e.g., USPTO, EPO) will be consulted (Shin &amp; Kang, 2024). Patent filings often contain detailed technical specifications of algorithms, data processing methods, and system architectures, providing insights into the proprietary innovations driving AI pricing. While patents might not always reflect commercial implementation, they offer a glimpse into the research and development efforts and the intellectual property strategies of companies in this domain. Similarly, publicly available technical specifications or developer blogs can shed light on the design choices and operational mechanics of these systems (Widono et al., 2024).</w:t>
      </w:r>
    </w:p>
    <w:p>
      <w:pPr>
        <w:pStyle w:val="Heading4"/>
      </w:pPr>
      <w:bookmarkStart w:id="55" w:name="data-extraction-protocol."/>
      <w:r>
        <w:t xml:space="preserve">Data Extraction Protocol.</w:t>
      </w:r>
      <w:bookmarkEnd w:id="55"/>
    </w:p>
    <w:p>
      <w:pPr>
        <w:pStyle w:val="FirstParagraph"/>
      </w:pPr>
      <w:r>
        <w:t xml:space="preserve">To ensure consistency and rigor in data extraction, a structured protocol will be developed. This protocol will comprise a coding sheet or matrix aligned with the dimensions of the conceptual framework (Data Sourcing, Algorithmic Architecture, Pricing Strategy, Business Impact, Ethical/Social/Regulatory Considerations). For each selected case study, information pertinent to these dimensions will be systematically extracted, summarized, and categorized. This will include specific examples of data types used, algorithms employed, pricing rules, reported business outcomes (e.g., revenue increase, customer satisfaction scores), and any identified ethical dilemmas or regulatory responses. Direct quotes will be used sparingly, primarily for illustrative purposes, with most information being paraphrased and synthesized to maintain a consistent analytical voice. All extracted information will be meticulously referenced to its original source, adhering to the specified citation format.</w:t>
      </w:r>
    </w:p>
    <w:p>
      <w:pPr>
        <w:pStyle w:val="Heading4"/>
      </w:pPr>
      <w:bookmarkStart w:id="56" w:name="X561362a62754032fbc3f1a1bce2933eca5d9321"/>
      <w:r>
        <w:t xml:space="preserve">Ethical Considerations in Data Collection.</w:t>
      </w:r>
      <w:bookmarkEnd w:id="56"/>
    </w:p>
    <w:p>
      <w:pPr>
        <w:pStyle w:val="FirstParagraph"/>
      </w:pPr>
      <w:r>
        <w:t xml:space="preserve">While relying on publicly available secondary data minimizes direct ethical concerns related to human subjects, the research still adheres to principles of academic integrity. This involves accurately representing sources, avoiding plagiarism, and critically evaluating the credibility and potential biases of all information gathered. Particular attention will be paid to the ethical implications discussed within the collected materials themselves, especially concerning data privacy, algorithmic fairness, and consumer protection in AI-driven pricing (Undheim et al., 2022).</w:t>
      </w:r>
    </w:p>
    <w:p>
      <w:pPr>
        <w:pStyle w:val="Heading3"/>
      </w:pPr>
      <w:bookmarkStart w:id="57" w:name="analysis-approach."/>
      <w:r>
        <w:t xml:space="preserve">Analysis Approach.</w:t>
      </w:r>
      <w:bookmarkEnd w:id="57"/>
    </w:p>
    <w:p>
      <w:pPr>
        <w:pStyle w:val="FirstParagraph"/>
      </w:pPr>
      <w:r>
        <w:t xml:space="preserve">The analysis phase is designed to systematically interpret the collected data from the case studies through the lens of the established conceptual framework. This process involves both within-case analysis and cross-case synthesis to derive meaningful insights and contribute to the theoretical understanding of AI-driven pricing. The approach combines elements of qualitative content analysis and comparative analysis, ensuring a rigorous and comprehensive examination of the complex interplay between AI technology, economic principles, and business strategy.</w:t>
      </w:r>
    </w:p>
    <w:p>
      <w:pPr>
        <w:pStyle w:val="Heading4"/>
      </w:pPr>
      <w:bookmarkStart w:id="58" w:name="within-case-analysis."/>
      <w:r>
        <w:t xml:space="preserve">Within-Case Analysis.</w:t>
      </w:r>
      <w:bookmarkEnd w:id="58"/>
    </w:p>
    <w:p>
      <w:pPr>
        <w:pStyle w:val="FirstParagraph"/>
      </w:pPr>
      <w:r>
        <w:t xml:space="preserve">For each selected case study, the collected data will be analyzed in detail against the five dimensions of the conceptual framework: Data Sourcing and Management, Algorithmic Architecture and Complexity, Pricing Strategy and Mechanism, Business Impact and Performance Metrics, and Ethical, Social, and Regulatory Considerations. This involves coding the extracted information, identifying key themes, patterns, and unique characteristics specific to that case. The goal of within-case analysis is to develop a rich, descriptive narrative for each instance, highlighting how the AI-driven pricing model operates, what specific technologies it employs, its strategic objectives, its observed outcomes, and any particular challenges or successes encountered. This detailed description will provide a holistic understanding of each case in its unique context, serving as the foundation for subsequent comparisons. For example, a case study might reveal how a specific e-commerce platform leverages real-time customer behavior data to implement personalized dynamic pricing, and the resulting impact on conversion rates and perceived fairness (Leela.Vemula et al., 2025).</w:t>
      </w:r>
    </w:p>
    <w:p>
      <w:pPr>
        <w:pStyle w:val="Heading4"/>
      </w:pPr>
      <w:bookmarkStart w:id="59" w:name="Xc72c268de6bdc89c2ec47d25c0c99f1a0792ac7"/>
      <w:r>
        <w:t xml:space="preserve">Cross-Case Synthesis and Pattern Identification.</w:t>
      </w:r>
      <w:bookmarkEnd w:id="59"/>
    </w:p>
    <w:p>
      <w:pPr>
        <w:pStyle w:val="FirstParagraph"/>
      </w:pPr>
      <w:r>
        <w:t xml:space="preserve">Following the in-depth within-case analyses, a comparative analysis will be conducted across all selected cases. This involves systematically comparing and contrasting the findings from each case study along each dimension of the conceptual framework. The objective is to identify commonalities, significant differences, recurring patterns, and unique outliers across the various AI-driven pricing models (Xue, 2023). Questions guiding this synthesis include:</w:t>
      </w:r>
      <w:r>
        <w:t xml:space="preserve"> </w:t>
      </w:r>
      <w:r>
        <w:t xml:space="preserve">* Are there common data sources or algorithmic approaches prevalent in certain industries?</w:t>
      </w:r>
      <w:r>
        <w:t xml:space="preserve"> </w:t>
      </w:r>
      <w:r>
        <w:t xml:space="preserve">* Do specific pricing strategies consistently lead to particular business impacts?</w:t>
      </w:r>
      <w:r>
        <w:t xml:space="preserve"> </w:t>
      </w:r>
      <w:r>
        <w:t xml:space="preserve">* What are the universal ethical challenges, and how are they being addressed differently?</w:t>
      </w:r>
      <w:r>
        <w:t xml:space="preserve"> </w:t>
      </w:r>
      <w:r>
        <w:t xml:space="preserve">* Are there emergent themes or unexpected relationships between dimensions that transcend individual cases?</w:t>
      </w:r>
      <w:r>
        <w:t xml:space="preserve"> </w:t>
      </w:r>
      <w:r>
        <w:t xml:space="preserve">* How do different levels of AI maturity or market contexts influence the design and outcomes of pricing models?</w:t>
      </w:r>
      <w:r>
        <w:t xml:space="preserve"> </w:t>
      </w:r>
      <w:r>
        <w:t xml:space="preserve">This comparative approach will facilitate the identification of broader trends and theoretical propositions about the nature of AI-driven pricing. For example, the analysis might reveal a shared emphasis on real-time data integration in highly dynamic markets (Yu et al., 2024) or a consistent struggle with explainability in complex deep learning-based pricing systems (Ranjan et al., 2025).</w:t>
      </w:r>
    </w:p>
    <w:p>
      <w:pPr>
        <w:pStyle w:val="Heading4"/>
      </w:pPr>
      <w:bookmarkStart w:id="60" w:name="theoretical-grounding-and-contribution."/>
      <w:r>
        <w:t xml:space="preserve">Theoretical Grounding and Contribution.</w:t>
      </w:r>
      <w:bookmarkEnd w:id="60"/>
    </w:p>
    <w:p>
      <w:pPr>
        <w:pStyle w:val="FirstParagraph"/>
      </w:pPr>
      <w:r>
        <w:t xml:space="preserve">The findings from both within-case and cross-case analyses will be rigorously interpreted in relation to existing economic theories, business strategy literature, and AI research. This involves connecting empirical observations from the case studies back to established concepts such as price elasticity, market efficiency, consumer behavior, competitive dynamics, and the economics of information. The aim is not merely to describe but to explain and theorize, using the case study evidence to support, challenge, or refine existing theoretical propositions. The study will seek to identify how AI-driven pricing models introduce new complexities or opportunities that necessitate an evolution of current theoretical frameworks. This includes exploring the implications for market structures, competitive advantage, and regulatory policy, ultimately contributing to a more nuanced understanding of AI’s role in shaping economic landscapes (Ericson et al., 2025)(Arba KOKALARI, 2025).</w:t>
      </w:r>
    </w:p>
    <w:p>
      <w:pPr>
        <w:pStyle w:val="Heading4"/>
      </w:pPr>
      <w:bookmarkStart w:id="61" w:name="validity-and-trustworthiness."/>
      <w:r>
        <w:t xml:space="preserve">Validity and Trustworthiness.</w:t>
      </w:r>
      <w:bookmarkEnd w:id="61"/>
    </w:p>
    <w:p>
      <w:pPr>
        <w:pStyle w:val="FirstParagraph"/>
      </w:pPr>
      <w:r>
        <w:t xml:space="preserve">To ensure the trustworthiness and rigor of this qualitative study, several measures will be employed.</w:t>
      </w:r>
      <w:r>
        <w:t xml:space="preserve"> </w:t>
      </w:r>
      <w:r>
        <w:rPr>
          <w:b/>
        </w:rPr>
        <w:t xml:space="preserve">Triangulation</w:t>
      </w:r>
      <w:r>
        <w:t xml:space="preserve"> </w:t>
      </w:r>
      <w:r>
        <w:t xml:space="preserve">will be achieved by drawing upon multiple secondary data sources (academic literature, industry reports, news media, patent documents) for each case study, cross-referencing information to enhance the credibility of findings. The</w:t>
      </w:r>
      <w:r>
        <w:t xml:space="preserve"> </w:t>
      </w:r>
      <w:r>
        <w:rPr>
          <w:b/>
        </w:rPr>
        <w:t xml:space="preserve">data extraction protocol</w:t>
      </w:r>
      <w:r>
        <w:t xml:space="preserve"> </w:t>
      </w:r>
      <w:r>
        <w:t xml:space="preserve">ensures consistency in data collection and coding, contributing to the dependability of the research process. The explicit articulation of the</w:t>
      </w:r>
      <w:r>
        <w:t xml:space="preserve"> </w:t>
      </w:r>
      <w:r>
        <w:rPr>
          <w:b/>
        </w:rPr>
        <w:t xml:space="preserve">conceptual framework</w:t>
      </w:r>
      <w:r>
        <w:t xml:space="preserve"> </w:t>
      </w:r>
      <w:r>
        <w:t xml:space="preserve">and</w:t>
      </w:r>
      <w:r>
        <w:t xml:space="preserve"> </w:t>
      </w:r>
      <w:r>
        <w:rPr>
          <w:b/>
        </w:rPr>
        <w:t xml:space="preserve">case selection criteria</w:t>
      </w:r>
      <w:r>
        <w:t xml:space="preserve"> </w:t>
      </w:r>
      <w:r>
        <w:t xml:space="preserve">enhances the confirmability of the study, allowing other researchers to trace the analytical steps. While generalizability in a statistical sense is not the goal, the detailed descriptions of each case and the systematic comparative analysis aim for</w:t>
      </w:r>
      <w:r>
        <w:t xml:space="preserve"> </w:t>
      </w:r>
      <w:r>
        <w:rPr>
          <w:b/>
        </w:rPr>
        <w:t xml:space="preserve">analytical generalization</w:t>
      </w:r>
      <w:r>
        <w:t xml:space="preserve">, where findings contribute to broader theoretical insights applicable beyond the specific cases (Xue, 2023). The researcher’s potential biases will be acknowledged throughout the interpretation process, striving for an objective presentation of findings supported by evidence.</w:t>
      </w:r>
    </w:p>
    <w:p>
      <w:pPr>
        <w:pStyle w:val="Heading4"/>
      </w:pPr>
      <w:bookmarkStart w:id="62" w:name="methodological-limitations."/>
      <w:r>
        <w:t xml:space="preserve">Methodological Limitations.</w:t>
      </w:r>
      <w:bookmarkEnd w:id="62"/>
    </w:p>
    <w:p>
      <w:pPr>
        <w:pStyle w:val="FirstParagraph"/>
      </w:pPr>
      <w:r>
        <w:t xml:space="preserve">Despite the rigorous approach, certain limitations are inherent in this methodology. The reliance on secondary data means that the depth of information available for certain internal processes or proprietary algorithms may be limited. Publicly available information might also be subject to corporate narratives or strategic omissions, which necessitates critical evaluation. The selection of a limited number of case studies, while providing depth, inherently restricts the statistical generalizability of the findings. The interpretation of qualitative data, while systematic, always carries a degree of researcher subjectivity. Furthermore, the rapid evolution of AI technology means that some findings may have a temporal relevance, requiring ongoing updates to remain current. These limitations will be explicitly acknowledged in the discussion section, providing a balanced perspective on the study’s scope and implications.</w:t>
      </w:r>
    </w:p>
    <w:p>
      <w:pPr>
        <w:pStyle w:val="BodyText"/>
      </w:pPr>
      <w:r>
        <w:t xml:space="preserve">This comprehensive methodology, encompassing a robust conceptual framework, systematic case selection, detailed data collection, and a rigorous analysis approach, is designed to yield profound insights into the complex world of AI-driven pricing. By adhering to these principles, the study aims to make a significant contribution to the interdisciplinary field of AI and business economics.</w:t>
      </w:r>
    </w:p>
    <w:p>
      <w:r>
        <w:pict>
          <v:rect style="width:0;height:1.5pt" o:hralign="center" o:hrstd="t" o:hr="t"/>
        </w:pict>
      </w:r>
    </w:p>
    <w:p>
      <w:pPr>
        <w:pStyle w:val="Heading1"/>
      </w:pPr>
      <w:bookmarkStart w:id="63" w:name="analysis"/>
      <w:r>
        <w:t xml:space="preserve">Analysis</w:t>
      </w:r>
      <w:bookmarkEnd w:id="63"/>
    </w:p>
    <w:p>
      <w:pPr>
        <w:pStyle w:val="FirstParagraph"/>
      </w:pPr>
      <w:r>
        <w:t xml:space="preserve">The economic landscape of Artificial Intelligence (AI) services is rapidly evolving, driven by advancements in foundational models, increased computational power, and a burgeoning demand across various industries (Ranjan et al., 2025)(Miao et al., 2025). Central to the commercialization and sustainable growth of this sector is the strategic implementation of effective pricing models. Unlike traditional software or hardware, AI services often present unique challenges in valuation due to their probabilistic nature, scalability, and the intangible value derived from their intelligence (Senyapar et al., 2025). This section undertakes a comprehensive analysis of prevalent pricing models for AI services, dissecting their advantages and disadvantages, examining real-world applications from leading providers such as OpenAI and Anthropic, and exploring the growing necessity and sophistication of hybrid pricing approaches. The objective is to elucidate the complexities and strategic considerations involved in monetizing AI, contributing to a deeper understanding of its economic underpinnings.</w:t>
      </w:r>
    </w:p>
    <w:p>
      <w:pPr>
        <w:pStyle w:val="Heading3"/>
      </w:pPr>
      <w:bookmarkStart w:id="64" w:name="X0715ca1f478deaed7f5df5e6012efe720afdf3d"/>
      <w:r>
        <w:t xml:space="preserve">Comparison of Pricing Models for AI Services</w:t>
      </w:r>
      <w:bookmarkEnd w:id="64"/>
    </w:p>
    <w:p>
      <w:pPr>
        <w:pStyle w:val="FirstParagraph"/>
      </w:pPr>
      <w:r>
        <w:t xml:space="preserve">The diverse nature of AI services, ranging from general-purpose large language models (LLMs) to highly specialized predictive analytics or generative art tools, necessitates a varied approach to pricing (Paul, 2023). Each pricing model carries distinct implications for providers and consumers, influencing market adoption, revenue stability, and perceived value. Understanding these models is crucial for both AI developers seeking sustainable business strategies and enterprises looking to integrate AI solutions cost-effectively.</w:t>
      </w:r>
    </w:p>
    <w:p>
      <w:pPr>
        <w:pStyle w:val="BodyText"/>
      </w:pPr>
      <w:r>
        <w:rPr>
          <w:b/>
        </w:rPr>
        <w:t xml:space="preserve">Cost-Plus Pricing.</w:t>
      </w:r>
      <w:r>
        <w:t xml:space="preserve"> </w:t>
      </w:r>
      <w:r>
        <w:t xml:space="preserve">This foundational pricing strategy involves calculating the total cost of producing an AI service (including development, infrastructure, data acquisition, training, and maintenance) and adding a fixed percentage or absolute margin to determine the selling price. While straightforward and easy to implement, cost-plus pricing faces significant challenges in the AI domain. The true cost of developing and maintaining cutting-edge AI models, particularly large foundational models, is notoriously difficult to quantify (Molom-Ochir &amp; Shenoy, 2021). Research and development (R&amp;D) expenses are immense, and the marginal cost of serving an additional user can be extremely low, leading to a disconnect between cost and perceived value. For instance, the initial training of an LLM might cost millions, but subsequent API calls might only incur fractions of a cent in compute. If priced purely on cost, early adopters might bear a disproportionately high burden, or the price might not reflect the immense value generated for users (Bala &amp; Carr, 2010). Furthermore, cost-plus pricing does not account for market demand, competitive pressures, or the unique intellectual property embedded within advanced AI algorithms (Kraizberg, 2023). It can also disincentivize efficiency improvements if cost savings simply translate into lower prices rather than increased profit margins, though this is less of a concern for highly competitive markets. In the context of agentic AI systems, where architectures are well-defined and often involve multiple interacting components (Ranjan et al., 2025), calculating costs might be more granular, but the inherent value proposition often far exceeds the sum of its parts.</w:t>
      </w:r>
    </w:p>
    <w:p>
      <w:pPr>
        <w:pStyle w:val="BodyText"/>
      </w:pPr>
      <w:r>
        <w:rPr>
          <w:b/>
        </w:rPr>
        <w:t xml:space="preserve">Value-Based Pricing.</w:t>
      </w:r>
      <w:r>
        <w:t xml:space="preserve"> </w:t>
      </w:r>
      <w:r>
        <w:t xml:space="preserve">In stark contrast to cost-plus, value-based pricing sets prices primarily based on the perceived or actual value that an AI service delivers to the customer (Wang et al., 2024). This model is particularly appealing for AI, given its potential to generate substantial returns on investment for businesses through enhanced efficiency, improved decision-making (Neyyila et al., 2025), new product development, or superior customer experiences (Abdullah &amp; Hasan, 2023). For example, an AI system that automates a task previously requiring thousands of human hours, or one that predicts market trends with high accuracy, creates immense value that far outweighs its operational costs. The challenge lies in accurately quantifying this value, which can be subjective, context-dependent, and difficult to measure directly. Value can manifest as increased revenue, reduced costs, mitigated risks, or improved user satisfaction. Providers employing this model often need deep customer understanding and robust metrics to demonstrate the return on investment (ROI) of their AI solutions. This might involve case studies, pilot programs, or performance-based contracts. For specialized AI applications, such as those in insurance (Bhattacharya et al., 2025) or financial stability (Joshi, 2025), where the AI directly impacts critical business outcomes, value-based pricing can command premium prices. However, if the value is not clearly communicated or realized, customers may perceive the price as arbitrary or inflated, leading to adoption resistance. This model is also highly sensitive to competitive offerings and market perception of the AI’s efficacy.</w:t>
      </w:r>
    </w:p>
    <w:p>
      <w:pPr>
        <w:pStyle w:val="BodyText"/>
      </w:pPr>
      <w:r>
        <w:rPr>
          <w:b/>
        </w:rPr>
        <w:t xml:space="preserve">Usage-Based Pricing.</w:t>
      </w:r>
      <w:r>
        <w:t xml:space="preserve"> </w:t>
      </w:r>
      <w:r>
        <w:t xml:space="preserve">This model, also known as pay-per-use or consumption-based pricing, charges customers based on their actual consumption of the AI service (Bala &amp; Carr, 2010). It is widely adopted by cloud providers and increasingly by AI API providers. Common metrics include the number of API calls, tokens processed (for LLMs), compute hours, data processed, or specific features used.</w:t>
      </w:r>
      <w:r>
        <w:t xml:space="preserve"> </w:t>
      </w:r>
      <w:r>
        <w:t xml:space="preserve">*</w:t>
      </w:r>
      <w:r>
        <w:t xml:space="preserve"> </w:t>
      </w:r>
      <w:r>
        <w:rPr>
          <w:b/>
        </w:rPr>
        <w:t xml:space="preserve">Advantages:</w:t>
      </w:r>
      <w:r>
        <w:t xml:space="preserve"> </w:t>
      </w:r>
      <w:r>
        <w:t xml:space="preserve">*</w:t>
      </w:r>
      <w:r>
        <w:t xml:space="preserve"> </w:t>
      </w:r>
      <w:r>
        <w:rPr>
          <w:b/>
        </w:rPr>
        <w:t xml:space="preserve">Fairness:</w:t>
      </w:r>
      <w:r>
        <w:t xml:space="preserve"> </w:t>
      </w:r>
      <w:r>
        <w:t xml:space="preserve">Customers only pay for what they use, which is particularly attractive for new users or those with fluctuating demand.</w:t>
      </w:r>
      <w:r>
        <w:t xml:space="preserve"> </w:t>
      </w:r>
      <w:r>
        <w:t xml:space="preserve">*</w:t>
      </w:r>
      <w:r>
        <w:t xml:space="preserve"> </w:t>
      </w:r>
      <w:r>
        <w:rPr>
          <w:b/>
        </w:rPr>
        <w:t xml:space="preserve">Scalability:</w:t>
      </w:r>
      <w:r>
        <w:t xml:space="preserve"> </w:t>
      </w:r>
      <w:r>
        <w:t xml:space="preserve">Providers can easily scale resources and revenue in direct proportion to usage.</w:t>
      </w:r>
      <w:r>
        <w:t xml:space="preserve"> </w:t>
      </w:r>
      <w:r>
        <w:t xml:space="preserve">*</w:t>
      </w:r>
      <w:r>
        <w:t xml:space="preserve"> </w:t>
      </w:r>
      <w:r>
        <w:rPr>
          <w:b/>
        </w:rPr>
        <w:t xml:space="preserve">Low Barrier to Entry:</w:t>
      </w:r>
      <w:r>
        <w:t xml:space="preserve"> </w:t>
      </w:r>
      <w:r>
        <w:t xml:space="preserve">Often starts with a free tier or very low initial cost, encouraging experimentation and adoption (Bala &amp; Carr, 2010).</w:t>
      </w:r>
      <w:r>
        <w:t xml:space="preserve"> </w:t>
      </w:r>
      <w:r>
        <w:t xml:space="preserve">*</w:t>
      </w:r>
      <w:r>
        <w:t xml:space="preserve"> </w:t>
      </w:r>
      <w:r>
        <w:rPr>
          <w:b/>
        </w:rPr>
        <w:t xml:space="preserve">Predictability for Providers:</w:t>
      </w:r>
      <w:r>
        <w:t xml:space="preserve"> </w:t>
      </w:r>
      <w:r>
        <w:t xml:space="preserve">Revenue scales with adoption, though individual customer revenue can fluctuate.</w:t>
      </w:r>
      <w:r>
        <w:t xml:space="preserve"> </w:t>
      </w:r>
      <w:r>
        <w:t xml:space="preserve">*</w:t>
      </w:r>
      <w:r>
        <w:t xml:space="preserve"> </w:t>
      </w:r>
      <w:r>
        <w:rPr>
          <w:b/>
        </w:rPr>
        <w:t xml:space="preserve">Disadvantages:</w:t>
      </w:r>
      <w:r>
        <w:t xml:space="preserve"> </w:t>
      </w:r>
      <w:r>
        <w:t xml:space="preserve">*</w:t>
      </w:r>
      <w:r>
        <w:t xml:space="preserve"> </w:t>
      </w:r>
      <w:r>
        <w:rPr>
          <w:b/>
        </w:rPr>
        <w:t xml:space="preserve">Unpredictability for Users:</w:t>
      </w:r>
      <w:r>
        <w:t xml:space="preserve"> </w:t>
      </w:r>
      <w:r>
        <w:t xml:space="preserve">Costs can become unpredictable, especially for services where usage can spike unexpectedly or for complex AI workflows where the number of API calls or tokens is hard to estimate in advance. This unpredictability can deter large enterprises from committing to significant AI integration (Bala &amp; Carr, 2010).</w:t>
      </w:r>
      <w:r>
        <w:t xml:space="preserve"> </w:t>
      </w:r>
      <w:r>
        <w:t xml:space="preserve">*</w:t>
      </w:r>
      <w:r>
        <w:t xml:space="preserve"> </w:t>
      </w:r>
      <w:r>
        <w:rPr>
          <w:b/>
        </w:rPr>
        <w:t xml:space="preserve">Complexity:</w:t>
      </w:r>
      <w:r>
        <w:t xml:space="preserve"> </w:t>
      </w:r>
      <w:r>
        <w:t xml:space="preserve">Tracking and billing usage metrics can be complex, especially with multiple dimensions of usage (e.g., input tokens vs. output tokens, different model sizes).</w:t>
      </w:r>
      <w:r>
        <w:t xml:space="preserve"> </w:t>
      </w:r>
      <w:r>
        <w:t xml:space="preserve">*</w:t>
      </w:r>
      <w:r>
        <w:t xml:space="preserve"> </w:t>
      </w:r>
      <w:r>
        <w:rPr>
          <w:b/>
        </w:rPr>
        <w:t xml:space="preserve">Optimization Burden:</w:t>
      </w:r>
      <w:r>
        <w:t xml:space="preserve"> </w:t>
      </w:r>
      <w:r>
        <w:t xml:space="preserve">Users may focus on minimizing usage rather than maximizing value, potentially leading to suboptimal AI integration or reduced feature exploration.</w:t>
      </w:r>
      <w:r>
        <w:t xml:space="preserve"> </w:t>
      </w:r>
      <w:r>
        <w:t xml:space="preserve">*</w:t>
      </w:r>
      <w:r>
        <w:t xml:space="preserve"> </w:t>
      </w:r>
      <w:r>
        <w:rPr>
          <w:b/>
        </w:rPr>
        <w:t xml:space="preserve">Vendor Lock-in:</w:t>
      </w:r>
      <w:r>
        <w:t xml:space="preserve"> </w:t>
      </w:r>
      <w:r>
        <w:t xml:space="preserve">Once deeply integrated, switching costs can be high, even if usage costs become prohibitive.</w:t>
      </w:r>
      <w:r>
        <w:t xml:space="preserve"> </w:t>
      </w:r>
      <w:r>
        <w:t xml:space="preserve">Usage-based pricing is the dominant model for many foundational AI services, as seen in the API offerings of major LLM providers. The granularity of pricing (e.g., per 1,000 tokens) reflects the underlying computational costs and allows for flexible scaling, making it suitable for developers and startups.</w:t>
      </w:r>
    </w:p>
    <w:p>
      <w:pPr>
        <w:pStyle w:val="BodyText"/>
      </w:pPr>
      <w:r>
        <w:rPr>
          <w:b/>
        </w:rPr>
        <w:t xml:space="preserve">Subscription-Based Pricing.</w:t>
      </w:r>
      <w:r>
        <w:t xml:space="preserve"> </w:t>
      </w:r>
      <w:r>
        <w:t xml:space="preserve">In this model, customers pay a recurring fee (monthly, annually) for access to an AI service or a set of features, regardless of their actual usage within that period.</w:t>
      </w:r>
      <w:r>
        <w:t xml:space="preserve"> </w:t>
      </w:r>
      <w:r>
        <w:t xml:space="preserve">*</w:t>
      </w:r>
      <w:r>
        <w:t xml:space="preserve"> </w:t>
      </w:r>
      <w:r>
        <w:rPr>
          <w:b/>
        </w:rPr>
        <w:t xml:space="preserve">Advantages:</w:t>
      </w:r>
      <w:r>
        <w:t xml:space="preserve"> </w:t>
      </w:r>
      <w:r>
        <w:t xml:space="preserve">*</w:t>
      </w:r>
      <w:r>
        <w:t xml:space="preserve"> </w:t>
      </w:r>
      <w:r>
        <w:rPr>
          <w:b/>
        </w:rPr>
        <w:t xml:space="preserve">Revenue Predictability for Providers:</w:t>
      </w:r>
      <w:r>
        <w:t xml:space="preserve"> </w:t>
      </w:r>
      <w:r>
        <w:t xml:space="preserve">Stable, recurring revenue streams facilitate long-term planning and investment in R&amp;D (Bala &amp; Carr, 2010).</w:t>
      </w:r>
      <w:r>
        <w:t xml:space="preserve"> </w:t>
      </w:r>
      <w:r>
        <w:t xml:space="preserve">*</w:t>
      </w:r>
      <w:r>
        <w:t xml:space="preserve"> </w:t>
      </w:r>
      <w:r>
        <w:rPr>
          <w:b/>
        </w:rPr>
        <w:t xml:space="preserve">Cost Predictability for Users:</w:t>
      </w:r>
      <w:r>
        <w:t xml:space="preserve"> </w:t>
      </w:r>
      <w:r>
        <w:t xml:space="preserve">Customers know their fixed costs, simplifying budgeting.</w:t>
      </w:r>
      <w:r>
        <w:t xml:space="preserve"> </w:t>
      </w:r>
      <w:r>
        <w:t xml:space="preserve">*</w:t>
      </w:r>
      <w:r>
        <w:t xml:space="preserve"> </w:t>
      </w:r>
      <w:r>
        <w:rPr>
          <w:b/>
        </w:rPr>
        <w:t xml:space="preserve">Encourages Usage:</w:t>
      </w:r>
      <w:r>
        <w:t xml:space="preserve"> </w:t>
      </w:r>
      <w:r>
        <w:t xml:space="preserve">Users are incentivized to maximize their use of the service once subscribed, potentially leading to deeper integration and higher perceived value.</w:t>
      </w:r>
      <w:r>
        <w:t xml:space="preserve"> </w:t>
      </w:r>
      <w:r>
        <w:t xml:space="preserve">*</w:t>
      </w:r>
      <w:r>
        <w:t xml:space="preserve"> </w:t>
      </w:r>
      <w:r>
        <w:rPr>
          <w:b/>
        </w:rPr>
        <w:t xml:space="preserve">Simplicity:</w:t>
      </w:r>
      <w:r>
        <w:t xml:space="preserve"> </w:t>
      </w:r>
      <w:r>
        <w:t xml:space="preserve">Billing is straightforward and easy to understand.</w:t>
      </w:r>
      <w:r>
        <w:t xml:space="preserve"> </w:t>
      </w:r>
      <w:r>
        <w:t xml:space="preserve">*</w:t>
      </w:r>
      <w:r>
        <w:t xml:space="preserve"> </w:t>
      </w:r>
      <w:r>
        <w:rPr>
          <w:b/>
        </w:rPr>
        <w:t xml:space="preserve">Disadvantages:</w:t>
      </w:r>
      <w:r>
        <w:t xml:space="preserve"> </w:t>
      </w:r>
      <w:r>
        <w:t xml:space="preserve">*</w:t>
      </w:r>
      <w:r>
        <w:t xml:space="preserve"> </w:t>
      </w:r>
      <w:r>
        <w:rPr>
          <w:b/>
        </w:rPr>
        <w:t xml:space="preserve">Potential for Underutilization:</w:t>
      </w:r>
      <w:r>
        <w:t xml:space="preserve"> </w:t>
      </w:r>
      <w:r>
        <w:t xml:space="preserve">Customers might pay for services they don’t fully utilize, leading to dissatisfaction or churn if the perceived value doesn’t match the fixed cost.</w:t>
      </w:r>
      <w:r>
        <w:t xml:space="preserve"> </w:t>
      </w:r>
      <w:r>
        <w:t xml:space="preserve">*</w:t>
      </w:r>
      <w:r>
        <w:t xml:space="preserve"> </w:t>
      </w:r>
      <w:r>
        <w:rPr>
          <w:b/>
        </w:rPr>
        <w:t xml:space="preserve">High Barrier to Entry:</w:t>
      </w:r>
      <w:r>
        <w:t xml:space="preserve"> </w:t>
      </w:r>
      <w:r>
        <w:t xml:space="preserve">A fixed upfront cost can deter potential users from trying the service, especially if the value proposition is not immediately clear.</w:t>
      </w:r>
      <w:r>
        <w:t xml:space="preserve"> </w:t>
      </w:r>
      <w:r>
        <w:t xml:space="preserve">*</w:t>
      </w:r>
      <w:r>
        <w:t xml:space="preserve"> </w:t>
      </w:r>
      <w:r>
        <w:rPr>
          <w:b/>
        </w:rPr>
        <w:t xml:space="preserve">Scalability Issues:</w:t>
      </w:r>
      <w:r>
        <w:t xml:space="preserve"> </w:t>
      </w:r>
      <w:r>
        <w:t xml:space="preserve">While revenue is predictable, demand can fluctuate, leading to potential over-provisioning (idle resources) or under-provisioning (performance issues during peak demand).</w:t>
      </w:r>
      <w:r>
        <w:t xml:space="preserve"> </w:t>
      </w:r>
      <w:r>
        <w:t xml:space="preserve">Subscription models are often employed for premium AI features, specialized AI tools (e.g., AI-powered design software), or consumer-facing AI applications (e.g., ChatGPT Plus). They work well when the value proposition is clear and consistent across users, or when coupled with a free trial period.</w:t>
      </w:r>
    </w:p>
    <w:p>
      <w:pPr>
        <w:pStyle w:val="BodyText"/>
      </w:pPr>
      <w:r>
        <w:rPr>
          <w:b/>
        </w:rPr>
        <w:t xml:space="preserve">Freemium Models.</w:t>
      </w:r>
      <w:r>
        <w:t xml:space="preserve"> </w:t>
      </w:r>
      <w:r>
        <w:t xml:space="preserve">This strategy offers a basic version of the AI service for free, with advanced features, higher usage limits, or enhanced performance available through a paid subscription or usage-based upgrade.</w:t>
      </w:r>
      <w:r>
        <w:t xml:space="preserve"> </w:t>
      </w:r>
      <w:r>
        <w:t xml:space="preserve">*</w:t>
      </w:r>
      <w:r>
        <w:t xml:space="preserve"> </w:t>
      </w:r>
      <w:r>
        <w:rPr>
          <w:b/>
        </w:rPr>
        <w:t xml:space="preserve">Advantages:</w:t>
      </w:r>
      <w:r>
        <w:t xml:space="preserve"> </w:t>
      </w:r>
      <w:r>
        <w:t xml:space="preserve">*</w:t>
      </w:r>
      <w:r>
        <w:t xml:space="preserve"> </w:t>
      </w:r>
      <w:r>
        <w:rPr>
          <w:b/>
        </w:rPr>
        <w:t xml:space="preserve">High User Acquisition:</w:t>
      </w:r>
      <w:r>
        <w:t xml:space="preserve"> </w:t>
      </w:r>
      <w:r>
        <w:t xml:space="preserve">The free tier significantly lowers the barrier to entry, attracting a large user base (Bala &amp; Carr, 2010).</w:t>
      </w:r>
      <w:r>
        <w:t xml:space="preserve"> </w:t>
      </w:r>
      <w:r>
        <w:t xml:space="preserve">*</w:t>
      </w:r>
      <w:r>
        <w:t xml:space="preserve"> </w:t>
      </w:r>
      <w:r>
        <w:rPr>
          <w:b/>
        </w:rPr>
        <w:t xml:space="preserve">Product-Led Growth:</w:t>
      </w:r>
      <w:r>
        <w:t xml:space="preserve"> </w:t>
      </w:r>
      <w:r>
        <w:t xml:space="preserve">Users can experience the value of the product firsthand before committing financially.</w:t>
      </w:r>
      <w:r>
        <w:t xml:space="preserve"> </w:t>
      </w:r>
      <w:r>
        <w:t xml:space="preserve">*</w:t>
      </w:r>
      <w:r>
        <w:t xml:space="preserve"> </w:t>
      </w:r>
      <w:r>
        <w:rPr>
          <w:b/>
        </w:rPr>
        <w:t xml:space="preserve">Viral Marketing:</w:t>
      </w:r>
      <w:r>
        <w:t xml:space="preserve"> </w:t>
      </w:r>
      <w:r>
        <w:t xml:space="preserve">Satisfied free users can become advocates, promoting the service organically.</w:t>
      </w:r>
      <w:r>
        <w:t xml:space="preserve"> </w:t>
      </w:r>
      <w:r>
        <w:t xml:space="preserve">*</w:t>
      </w:r>
      <w:r>
        <w:t xml:space="preserve"> </w:t>
      </w:r>
      <w:r>
        <w:rPr>
          <w:b/>
        </w:rPr>
        <w:t xml:space="preserve">Disadvantages:</w:t>
      </w:r>
      <w:r>
        <w:t xml:space="preserve"> </w:t>
      </w:r>
      <w:r>
        <w:t xml:space="preserve">*</w:t>
      </w:r>
      <w:r>
        <w:t xml:space="preserve"> </w:t>
      </w:r>
      <w:r>
        <w:rPr>
          <w:b/>
        </w:rPr>
        <w:t xml:space="preserve">Conversion Challenges:</w:t>
      </w:r>
      <w:r>
        <w:t xml:space="preserve"> </w:t>
      </w:r>
      <w:r>
        <w:t xml:space="preserve">Converting free users to paying customers can be difficult, requiring careful design of the free tier to demonstrate sufficient value while holding back premium features.</w:t>
      </w:r>
      <w:r>
        <w:t xml:space="preserve"> </w:t>
      </w:r>
      <w:r>
        <w:t xml:space="preserve">*</w:t>
      </w:r>
      <w:r>
        <w:t xml:space="preserve"> </w:t>
      </w:r>
      <w:r>
        <w:rPr>
          <w:b/>
        </w:rPr>
        <w:t xml:space="preserve">Resource Drain:</w:t>
      </w:r>
      <w:r>
        <w:t xml:space="preserve"> </w:t>
      </w:r>
      <w:r>
        <w:t xml:space="preserve">Supporting a large free user base can be costly in terms of infrastructure and customer support, potentially eroding profitability if conversion rates are low.</w:t>
      </w:r>
      <w:r>
        <w:t xml:space="preserve"> </w:t>
      </w:r>
      <w:r>
        <w:t xml:space="preserve">*</w:t>
      </w:r>
      <w:r>
        <w:t xml:space="preserve"> </w:t>
      </w:r>
      <w:r>
        <w:rPr>
          <w:b/>
        </w:rPr>
        <w:t xml:space="preserve">Cannibalization:</w:t>
      </w:r>
      <w:r>
        <w:t xml:space="preserve"> </w:t>
      </w:r>
      <w:r>
        <w:t xml:space="preserve">The free tier might be</w:t>
      </w:r>
      <w:r>
        <w:t xml:space="preserve"> </w:t>
      </w:r>
      <w:r>
        <w:t xml:space="preserve">“</w:t>
      </w:r>
      <w:r>
        <w:t xml:space="preserve">good enough</w:t>
      </w:r>
      <w:r>
        <w:t xml:space="preserve">”</w:t>
      </w:r>
      <w:r>
        <w:t xml:space="preserve"> </w:t>
      </w:r>
      <w:r>
        <w:t xml:space="preserve">for many users, preventing them from upgrading.</w:t>
      </w:r>
      <w:r>
        <w:t xml:space="preserve"> </w:t>
      </w:r>
      <w:r>
        <w:t xml:space="preserve">Freemium is a powerful strategy for AI services targeting individual developers, startups, or broad consumer markets, allowing them to build a community and gather feedback before full monetization.</w:t>
      </w:r>
    </w:p>
    <w:p>
      <w:pPr>
        <w:pStyle w:val="BodyText"/>
      </w:pPr>
      <w:r>
        <w:rPr>
          <w:b/>
        </w:rPr>
        <w:t xml:space="preserve">Tiered Pricing.</w:t>
      </w:r>
      <w:r>
        <w:t xml:space="preserve"> </w:t>
      </w:r>
      <w:r>
        <w:t xml:space="preserve">This model offers different pricing levels or packages, each providing varying features, usage limits, service level agreements (SLAs), or support options. Tiers are often designed to cater to different customer segments, such as individual developers, small businesses, and large enterprises.</w:t>
      </w:r>
      <w:r>
        <w:t xml:space="preserve"> </w:t>
      </w:r>
      <w:r>
        <w:t xml:space="preserve">*</w:t>
      </w:r>
      <w:r>
        <w:t xml:space="preserve"> </w:t>
      </w:r>
      <w:r>
        <w:rPr>
          <w:b/>
        </w:rPr>
        <w:t xml:space="preserve">Advantages:</w:t>
      </w:r>
      <w:r>
        <w:t xml:space="preserve"> </w:t>
      </w:r>
      <w:r>
        <w:t xml:space="preserve">*</w:t>
      </w:r>
      <w:r>
        <w:t xml:space="preserve"> </w:t>
      </w:r>
      <w:r>
        <w:rPr>
          <w:b/>
        </w:rPr>
        <w:t xml:space="preserve">Customer Segmentation:</w:t>
      </w:r>
      <w:r>
        <w:t xml:space="preserve"> </w:t>
      </w:r>
      <w:r>
        <w:t xml:space="preserve">Effectively addresses the diverse needs and budget constraints of different user groups.</w:t>
      </w:r>
      <w:r>
        <w:t xml:space="preserve"> </w:t>
      </w:r>
      <w:r>
        <w:t xml:space="preserve">*</w:t>
      </w:r>
      <w:r>
        <w:t xml:space="preserve"> </w:t>
      </w:r>
      <w:r>
        <w:rPr>
          <w:b/>
        </w:rPr>
        <w:t xml:space="preserve">Clear Value Progression:</w:t>
      </w:r>
      <w:r>
        <w:t xml:space="preserve"> </w:t>
      </w:r>
      <w:r>
        <w:t xml:space="preserve">Customers can easily understand the additional value they receive by upgrading to a higher tier.</w:t>
      </w:r>
      <w:r>
        <w:t xml:space="preserve"> </w:t>
      </w:r>
      <w:r>
        <w:t xml:space="preserve">*</w:t>
      </w:r>
      <w:r>
        <w:t xml:space="preserve"> </w:t>
      </w:r>
      <w:r>
        <w:rPr>
          <w:b/>
        </w:rPr>
        <w:t xml:space="preserve">Revenue Optimization:</w:t>
      </w:r>
      <w:r>
        <w:t xml:space="preserve"> </w:t>
      </w:r>
      <w:r>
        <w:t xml:space="preserve">Allows providers to capture more revenue from high-value customers while still serving smaller ones.</w:t>
      </w:r>
      <w:r>
        <w:t xml:space="preserve"> </w:t>
      </w:r>
      <w:r>
        <w:t xml:space="preserve">*</w:t>
      </w:r>
      <w:r>
        <w:t xml:space="preserve"> </w:t>
      </w:r>
      <w:r>
        <w:rPr>
          <w:b/>
        </w:rPr>
        <w:t xml:space="preserve">Disadvantages:</w:t>
      </w:r>
      <w:r>
        <w:t xml:space="preserve"> </w:t>
      </w:r>
      <w:r>
        <w:t xml:space="preserve">*</w:t>
      </w:r>
      <w:r>
        <w:t xml:space="preserve"> </w:t>
      </w:r>
      <w:r>
        <w:rPr>
          <w:b/>
        </w:rPr>
        <w:t xml:space="preserve">Complexity:</w:t>
      </w:r>
      <w:r>
        <w:t xml:space="preserve"> </w:t>
      </w:r>
      <w:r>
        <w:t xml:space="preserve">Designing and managing multiple tiers can be complex, requiring careful consideration of feature differentiation and pricing points to avoid overlap or gaps.</w:t>
      </w:r>
      <w:r>
        <w:t xml:space="preserve"> </w:t>
      </w:r>
      <w:r>
        <w:t xml:space="preserve">*</w:t>
      </w:r>
      <w:r>
        <w:t xml:space="preserve"> </w:t>
      </w:r>
      <w:r>
        <w:rPr>
          <w:b/>
        </w:rPr>
        <w:t xml:space="preserve">Customer Confusion:</w:t>
      </w:r>
      <w:r>
        <w:t xml:space="preserve"> </w:t>
      </w:r>
      <w:r>
        <w:t xml:space="preserve">Too many tiers or unclear distinctions can confuse customers.</w:t>
      </w:r>
      <w:r>
        <w:t xml:space="preserve"> </w:t>
      </w:r>
      <w:r>
        <w:t xml:space="preserve">*</w:t>
      </w:r>
      <w:r>
        <w:t xml:space="preserve"> </w:t>
      </w:r>
      <w:r>
        <w:rPr>
          <w:b/>
        </w:rPr>
        <w:t xml:space="preserve">Churn Risk:</w:t>
      </w:r>
      <w:r>
        <w:t xml:space="preserve"> </w:t>
      </w:r>
      <w:r>
        <w:t xml:space="preserve">Customers may downgrade if they perceive they are not receiving sufficient value from their current tier.</w:t>
      </w:r>
      <w:r>
        <w:t xml:space="preserve"> </w:t>
      </w:r>
      <w:r>
        <w:t xml:space="preserve">Tiered pricing is frequently combined with subscription or usage-based models, offering different usage allowances or features within distinct subscription levels. This allows providers to offer a spectrum of services, from basic access to enterprise-grade solutions with dedicated support and custom integrations.</w:t>
      </w:r>
    </w:p>
    <w:p>
      <w:pPr>
        <w:pStyle w:val="BodyText"/>
      </w:pPr>
      <w:r>
        <w:rPr>
          <w:b/>
        </w:rPr>
        <w:t xml:space="preserve">Dynamic Pricing.</w:t>
      </w:r>
      <w:r>
        <w:t xml:space="preserve"> </w:t>
      </w:r>
      <w:r>
        <w:t xml:space="preserve">This advanced strategy involves adjusting prices in real-time based on factors such as demand, supply, time of day, user segment, competitive pricing, and even individual user behavior (Senyapar et al., 2025). AI itself can be used to implement dynamic pricing, analyzing vast datasets to optimize revenue and resource allocation.</w:t>
      </w:r>
      <w:r>
        <w:t xml:space="preserve"> </w:t>
      </w:r>
      <w:r>
        <w:t xml:space="preserve">*</w:t>
      </w:r>
      <w:r>
        <w:t xml:space="preserve"> </w:t>
      </w:r>
      <w:r>
        <w:rPr>
          <w:b/>
        </w:rPr>
        <w:t xml:space="preserve">Advantages:</w:t>
      </w:r>
      <w:r>
        <w:t xml:space="preserve"> </w:t>
      </w:r>
      <w:r>
        <w:t xml:space="preserve">*</w:t>
      </w:r>
      <w:r>
        <w:t xml:space="preserve"> </w:t>
      </w:r>
      <w:r>
        <w:rPr>
          <w:b/>
        </w:rPr>
        <w:t xml:space="preserve">Revenue Maximization:</w:t>
      </w:r>
      <w:r>
        <w:t xml:space="preserve"> </w:t>
      </w:r>
      <w:r>
        <w:t xml:space="preserve">Can optimize pricing to capture maximum willingness to pay from different customer segments at different times (Senyapar et al., 2025).</w:t>
      </w:r>
      <w:r>
        <w:t xml:space="preserve"> </w:t>
      </w:r>
      <w:r>
        <w:t xml:space="preserve">*</w:t>
      </w:r>
      <w:r>
        <w:t xml:space="preserve"> </w:t>
      </w:r>
      <w:r>
        <w:rPr>
          <w:b/>
        </w:rPr>
        <w:t xml:space="preserve">Resource Optimization:</w:t>
      </w:r>
      <w:r>
        <w:t xml:space="preserve"> </w:t>
      </w:r>
      <w:r>
        <w:t xml:space="preserve">Helps balance demand and supply, for example, by lowering prices during off-peak hours to encourage usage and distribute load (Senyapar et al., 2025).</w:t>
      </w:r>
      <w:r>
        <w:t xml:space="preserve"> </w:t>
      </w:r>
      <w:r>
        <w:t xml:space="preserve">*</w:t>
      </w:r>
      <w:r>
        <w:t xml:space="preserve"> </w:t>
      </w:r>
      <w:r>
        <w:rPr>
          <w:b/>
        </w:rPr>
        <w:t xml:space="preserve">Competitive Edge:</w:t>
      </w:r>
      <w:r>
        <w:t xml:space="preserve"> </w:t>
      </w:r>
      <w:r>
        <w:t xml:space="preserve">Rapidly responds to market changes and competitor pricing.</w:t>
      </w:r>
      <w:r>
        <w:t xml:space="preserve"> </w:t>
      </w:r>
      <w:r>
        <w:t xml:space="preserve">*</w:t>
      </w:r>
      <w:r>
        <w:t xml:space="preserve"> </w:t>
      </w:r>
      <w:r>
        <w:rPr>
          <w:b/>
        </w:rPr>
        <w:t xml:space="preserve">Disadvantages:</w:t>
      </w:r>
      <w:r>
        <w:t xml:space="preserve"> </w:t>
      </w:r>
      <w:r>
        <w:t xml:space="preserve">*</w:t>
      </w:r>
      <w:r>
        <w:t xml:space="preserve"> </w:t>
      </w:r>
      <w:r>
        <w:rPr>
          <w:b/>
        </w:rPr>
        <w:t xml:space="preserve">Fairness Concerns:</w:t>
      </w:r>
      <w:r>
        <w:t xml:space="preserve"> </w:t>
      </w:r>
      <w:r>
        <w:t xml:space="preserve">Can lead to perceptions of unfairness or price discrimination if customers discover they are paying different prices for the same service (Senyapar et al., 2025). Ethical implications, particularly regarding energy justice and access, are significant (Senyapar et al., 2025).</w:t>
      </w:r>
      <w:r>
        <w:t xml:space="preserve"> </w:t>
      </w:r>
      <w:r>
        <w:t xml:space="preserve">*</w:t>
      </w:r>
      <w:r>
        <w:t xml:space="preserve"> </w:t>
      </w:r>
      <w:r>
        <w:rPr>
          <w:b/>
        </w:rPr>
        <w:t xml:space="preserve">Complexity:</w:t>
      </w:r>
      <w:r>
        <w:t xml:space="preserve"> </w:t>
      </w:r>
      <w:r>
        <w:t xml:space="preserve">Requires sophisticated AI algorithms and robust data infrastructure to implement effectively.</w:t>
      </w:r>
      <w:r>
        <w:t xml:space="preserve"> </w:t>
      </w:r>
      <w:r>
        <w:t xml:space="preserve">*</w:t>
      </w:r>
      <w:r>
        <w:t xml:space="preserve"> </w:t>
      </w:r>
      <w:r>
        <w:rPr>
          <w:b/>
        </w:rPr>
        <w:t xml:space="preserve">Customer Backlash:</w:t>
      </w:r>
      <w:r>
        <w:t xml:space="preserve"> </w:t>
      </w:r>
      <w:r>
        <w:t xml:space="preserve">Poorly implemented dynamic pricing can erode customer trust and loyalty.</w:t>
      </w:r>
      <w:r>
        <w:t xml:space="preserve"> </w:t>
      </w:r>
      <w:r>
        <w:t xml:space="preserve">While less common for foundational AI models, dynamic pricing might be employed for specific AI inference tasks, especially those with fluctuating computational demands or for premium access during peak times. The use of AI in e-commerce (Hossen, 2024) and the travel industry (Guo, 2025) demonstrates the potential for dynamic pricing, but also highlights the need for transparency and ethical guidelines.</w:t>
      </w:r>
    </w:p>
    <w:p>
      <w:pPr>
        <w:pStyle w:val="BodyText"/>
      </w:pPr>
      <w:r>
        <w:rPr>
          <w:b/>
        </w:rPr>
        <w:t xml:space="preserve">Auction-Based Pricing.</w:t>
      </w:r>
      <w:r>
        <w:t xml:space="preserve"> </w:t>
      </w:r>
      <w:r>
        <w:t xml:space="preserve">In this model, the price of an AI service or resource is determined through a bidding process, where users compete to acquire access or computational resources (Ewerhart, 2009). This is less common for standard AI services but is relevant for specialized scenarios like data trading platforms (Yu et al., 2024) or allocating scarce compute resources.</w:t>
      </w:r>
      <w:r>
        <w:t xml:space="preserve"> </w:t>
      </w:r>
      <w:r>
        <w:t xml:space="preserve">*</w:t>
      </w:r>
      <w:r>
        <w:t xml:space="preserve"> </w:t>
      </w:r>
      <w:r>
        <w:rPr>
          <w:b/>
        </w:rPr>
        <w:t xml:space="preserve">Advantages:</w:t>
      </w:r>
      <w:r>
        <w:t xml:space="preserve"> </w:t>
      </w:r>
      <w:r>
        <w:t xml:space="preserve">*</w:t>
      </w:r>
      <w:r>
        <w:t xml:space="preserve"> </w:t>
      </w:r>
      <w:r>
        <w:rPr>
          <w:b/>
        </w:rPr>
        <w:t xml:space="preserve">Efficient Resource Allocation:</w:t>
      </w:r>
      <w:r>
        <w:t xml:space="preserve"> </w:t>
      </w:r>
      <w:r>
        <w:t xml:space="preserve">Ensures that scarce resources are allocated to those who value them most, as determined by their bid.</w:t>
      </w:r>
      <w:r>
        <w:t xml:space="preserve"> </w:t>
      </w:r>
      <w:r>
        <w:t xml:space="preserve">*</w:t>
      </w:r>
      <w:r>
        <w:t xml:space="preserve"> </w:t>
      </w:r>
      <w:r>
        <w:rPr>
          <w:b/>
        </w:rPr>
        <w:t xml:space="preserve">Price Discovery:</w:t>
      </w:r>
      <w:r>
        <w:t xml:space="preserve"> </w:t>
      </w:r>
      <w:r>
        <w:t xml:space="preserve">Helps providers discover the true market value of their services.</w:t>
      </w:r>
      <w:r>
        <w:t xml:space="preserve"> </w:t>
      </w:r>
      <w:r>
        <w:t xml:space="preserve">*</w:t>
      </w:r>
      <w:r>
        <w:t xml:space="preserve"> </w:t>
      </w:r>
      <w:r>
        <w:rPr>
          <w:b/>
        </w:rPr>
        <w:t xml:space="preserve">Disadvantages:</w:t>
      </w:r>
      <w:r>
        <w:t xml:space="preserve"> </w:t>
      </w:r>
      <w:r>
        <w:t xml:space="preserve">*</w:t>
      </w:r>
      <w:r>
        <w:t xml:space="preserve"> </w:t>
      </w:r>
      <w:r>
        <w:rPr>
          <w:b/>
        </w:rPr>
        <w:t xml:space="preserve">Unpredictability:</w:t>
      </w:r>
      <w:r>
        <w:t xml:space="preserve"> </w:t>
      </w:r>
      <w:r>
        <w:t xml:space="preserve">Highly unpredictable for users, making budgeting and planning difficult.</w:t>
      </w:r>
      <w:r>
        <w:t xml:space="preserve"> </w:t>
      </w:r>
      <w:r>
        <w:t xml:space="preserve">*</w:t>
      </w:r>
      <w:r>
        <w:t xml:space="preserve"> </w:t>
      </w:r>
      <w:r>
        <w:rPr>
          <w:b/>
        </w:rPr>
        <w:t xml:space="preserve">Complexity:</w:t>
      </w:r>
      <w:r>
        <w:t xml:space="preserve"> </w:t>
      </w:r>
      <w:r>
        <w:t xml:space="preserve">Can be complex to implement and manage, requiring robust auction mechanisms.</w:t>
      </w:r>
      <w:r>
        <w:t xml:space="preserve"> </w:t>
      </w:r>
      <w:r>
        <w:t xml:space="preserve">*</w:t>
      </w:r>
      <w:r>
        <w:t xml:space="preserve"> </w:t>
      </w:r>
      <w:r>
        <w:rPr>
          <w:b/>
        </w:rPr>
        <w:t xml:space="preserve">Potential for Manipulation:</w:t>
      </w:r>
      <w:r>
        <w:t xml:space="preserve"> </w:t>
      </w:r>
      <w:r>
        <w:t xml:space="preserve">Susceptible to skewed bidding strategies (Ewerhart, 2009).</w:t>
      </w:r>
      <w:r>
        <w:t xml:space="preserve"> </w:t>
      </w:r>
      <w:r>
        <w:t xml:space="preserve">This model is more applicable to unique or highly constrained AI resources rather than general-purpose AI services.</w:t>
      </w:r>
    </w:p>
    <w:p>
      <w:pPr>
        <w:pStyle w:val="Heading3"/>
      </w:pPr>
      <w:bookmarkStart w:id="65" w:name="Xba9284bf97df14288f9adf69b7ff2f323105689"/>
      <w:r>
        <w:t xml:space="preserve">Advantages and Disadvantages of Pricing Models in the AI Context</w:t>
      </w:r>
      <w:bookmarkEnd w:id="65"/>
    </w:p>
    <w:p>
      <w:pPr>
        <w:pStyle w:val="FirstParagraph"/>
      </w:pPr>
      <w:r>
        <w:t xml:space="preserve">The selection of an appropriate pricing model for an AI service is a strategic decision with profound implications for market penetration, revenue generation, customer satisfaction, and long-term sustainability. Each model, while offering specific benefits, also presents inherent drawbacks that must be carefully weighed against the unique characteristics of the AI product, its target market, and the competitive landscape.</w:t>
      </w:r>
    </w:p>
    <w:p>
      <w:pPr>
        <w:pStyle w:val="BodyText"/>
      </w:pPr>
      <w:r>
        <w:rPr>
          <w:b/>
        </w:rPr>
        <w:t xml:space="preserve">Cost-Plus Pricing:</w:t>
      </w:r>
      <w:r>
        <w:t xml:space="preserve"> </w:t>
      </w:r>
      <w:r>
        <w:t xml:space="preserve">*</w:t>
      </w:r>
      <w:r>
        <w:t xml:space="preserve"> </w:t>
      </w:r>
      <w:r>
        <w:rPr>
          <w:b/>
        </w:rPr>
        <w:t xml:space="preserve">Advantages in AI:</w:t>
      </w:r>
      <w:r>
        <w:t xml:space="preserve"> </w:t>
      </w:r>
      <w:r>
        <w:t xml:space="preserve">*</w:t>
      </w:r>
      <w:r>
        <w:t xml:space="preserve"> </w:t>
      </w:r>
      <w:r>
        <w:rPr>
          <w:b/>
        </w:rPr>
        <w:t xml:space="preserve">Simplicity and Transparency (for providers):</w:t>
      </w:r>
      <w:r>
        <w:t xml:space="preserve"> </w:t>
      </w:r>
      <w:r>
        <w:t xml:space="preserve">Easy to justify internally and provides a clear baseline for profitability. Useful for highly customized, project-based AI solutions where costs are bespoke.</w:t>
      </w:r>
      <w:r>
        <w:t xml:space="preserve"> </w:t>
      </w:r>
      <w:r>
        <w:t xml:space="preserve">*</w:t>
      </w:r>
      <w:r>
        <w:t xml:space="preserve"> </w:t>
      </w:r>
      <w:r>
        <w:rPr>
          <w:b/>
        </w:rPr>
        <w:t xml:space="preserve">Guaranteed Profit Margin:</w:t>
      </w:r>
      <w:r>
        <w:t xml:space="preserve"> </w:t>
      </w:r>
      <w:r>
        <w:t xml:space="preserve">Ensures that development and operational costs are covered, providing financial stability, especially for niche or early-stage AI solutions.</w:t>
      </w:r>
      <w:r>
        <w:t xml:space="preserve"> </w:t>
      </w:r>
      <w:r>
        <w:t xml:space="preserve">*</w:t>
      </w:r>
      <w:r>
        <w:t xml:space="preserve"> </w:t>
      </w:r>
      <w:r>
        <w:rPr>
          <w:b/>
        </w:rPr>
        <w:t xml:space="preserve">Disadvantages in AI:</w:t>
      </w:r>
      <w:r>
        <w:t xml:space="preserve"> </w:t>
      </w:r>
      <w:r>
        <w:t xml:space="preserve">*</w:t>
      </w:r>
      <w:r>
        <w:t xml:space="preserve"> </w:t>
      </w:r>
      <w:r>
        <w:rPr>
          <w:b/>
        </w:rPr>
        <w:t xml:space="preserve">Ignores Value and Demand:</w:t>
      </w:r>
      <w:r>
        <w:t xml:space="preserve"> </w:t>
      </w:r>
      <w:r>
        <w:t xml:space="preserve">Fails to capture the potentially immense value an AI solution provides to users (Wang et al., 2024), leading to underpricing of highly impactful AI or overpricing of less valuable ones. It does not account for market dynamics or competitive offerings.</w:t>
      </w:r>
      <w:r>
        <w:t xml:space="preserve"> </w:t>
      </w:r>
      <w:r>
        <w:t xml:space="preserve">*</w:t>
      </w:r>
      <w:r>
        <w:t xml:space="preserve"> </w:t>
      </w:r>
      <w:r>
        <w:rPr>
          <w:b/>
        </w:rPr>
        <w:t xml:space="preserve">Difficulty in Cost Allocation:</w:t>
      </w:r>
      <w:r>
        <w:t xml:space="preserve"> </w:t>
      </w:r>
      <w:r>
        <w:t xml:space="preserve">As noted, accurately attributing R&amp;D, training, and infrastructure costs to specific AI services, especially for foundational models with broad applications, is challenging (Molom-Ochir &amp; Shenoy, 2021). The shared nature of AI infrastructure and continuous improvement cycles complicate cost calculations.</w:t>
      </w:r>
      <w:r>
        <w:t xml:space="preserve"> </w:t>
      </w:r>
      <w:r>
        <w:t xml:space="preserve">*</w:t>
      </w:r>
      <w:r>
        <w:t xml:space="preserve"> </w:t>
      </w:r>
      <w:r>
        <w:rPr>
          <w:b/>
        </w:rPr>
        <w:t xml:space="preserve">No Incentive for Efficiency (Potentially):</w:t>
      </w:r>
      <w:r>
        <w:t xml:space="preserve"> </w:t>
      </w:r>
      <w:r>
        <w:t xml:space="preserve">If prices are directly tied to costs, there’s less pressure to reduce costs beyond a certain point, though market competition usually mitigates this.</w:t>
      </w:r>
      <w:r>
        <w:t xml:space="preserve"> </w:t>
      </w:r>
      <w:r>
        <w:t xml:space="preserve">*</w:t>
      </w:r>
      <w:r>
        <w:t xml:space="preserve"> </w:t>
      </w:r>
      <w:r>
        <w:rPr>
          <w:b/>
        </w:rPr>
        <w:t xml:space="preserve">Not Scalable for Digital AI Services:</w:t>
      </w:r>
      <w:r>
        <w:t xml:space="preserve"> </w:t>
      </w:r>
      <w:r>
        <w:t xml:space="preserve">For digital AI services with near-zero marginal replication costs, cost-plus pricing becomes impractical as it doesn’t reflect the exponential value creation at scale.</w:t>
      </w:r>
    </w:p>
    <w:p>
      <w:pPr>
        <w:pStyle w:val="BodyText"/>
      </w:pPr>
      <w:r>
        <w:rPr>
          <w:b/>
        </w:rPr>
        <w:t xml:space="preserve">Value-Based Pricing:</w:t>
      </w:r>
      <w:r>
        <w:t xml:space="preserve"> </w:t>
      </w:r>
      <w:r>
        <w:t xml:space="preserve">*</w:t>
      </w:r>
      <w:r>
        <w:t xml:space="preserve"> </w:t>
      </w:r>
      <w:r>
        <w:rPr>
          <w:b/>
        </w:rPr>
        <w:t xml:space="preserve">Advantages in AI:</w:t>
      </w:r>
      <w:r>
        <w:t xml:space="preserve"> </w:t>
      </w:r>
      <w:r>
        <w:t xml:space="preserve">*</w:t>
      </w:r>
      <w:r>
        <w:t xml:space="preserve"> </w:t>
      </w:r>
      <w:r>
        <w:rPr>
          <w:b/>
        </w:rPr>
        <w:t xml:space="preserve">Revenue Maximization:</w:t>
      </w:r>
      <w:r>
        <w:t xml:space="preserve"> </w:t>
      </w:r>
      <w:r>
        <w:t xml:space="preserve">Directly links price to the tangible benefits customers derive, allowing providers to capture a larger share of the value created (Wang et al., 2024). This is critical for innovative AI solutions that solve pressing business problems.</w:t>
      </w:r>
      <w:r>
        <w:t xml:space="preserve"> </w:t>
      </w:r>
      <w:r>
        <w:t xml:space="preserve">*</w:t>
      </w:r>
      <w:r>
        <w:t xml:space="preserve"> </w:t>
      </w:r>
      <w:r>
        <w:rPr>
          <w:b/>
        </w:rPr>
        <w:t xml:space="preserve">Customer-Centricity:</w:t>
      </w:r>
      <w:r>
        <w:t xml:space="preserve"> </w:t>
      </w:r>
      <w:r>
        <w:t xml:space="preserve">Forces providers to deeply understand customer needs and the impact of their AI solutions, fostering stronger customer relationships and product development aligned with real-world problems (Abdullah &amp; Hasan, 2023).</w:t>
      </w:r>
      <w:r>
        <w:t xml:space="preserve"> </w:t>
      </w:r>
      <w:r>
        <w:t xml:space="preserve">*</w:t>
      </w:r>
      <w:r>
        <w:t xml:space="preserve"> </w:t>
      </w:r>
      <w:r>
        <w:rPr>
          <w:b/>
        </w:rPr>
        <w:t xml:space="preserve">Premium Positioning:</w:t>
      </w:r>
      <w:r>
        <w:t xml:space="preserve"> </w:t>
      </w:r>
      <w:r>
        <w:t xml:space="preserve">Reinforces the perception of a high-value, high-impact solution, distinguishing it from commodity offerings.</w:t>
      </w:r>
      <w:r>
        <w:t xml:space="preserve"> </w:t>
      </w:r>
      <w:r>
        <w:t xml:space="preserve">*</w:t>
      </w:r>
      <w:r>
        <w:t xml:space="preserve"> </w:t>
      </w:r>
      <w:r>
        <w:rPr>
          <w:b/>
        </w:rPr>
        <w:t xml:space="preserve">Disadvantages in AI:</w:t>
      </w:r>
      <w:r>
        <w:t xml:space="preserve"> </w:t>
      </w:r>
      <w:r>
        <w:t xml:space="preserve">*</w:t>
      </w:r>
      <w:r>
        <w:t xml:space="preserve"> </w:t>
      </w:r>
      <w:r>
        <w:rPr>
          <w:b/>
        </w:rPr>
        <w:t xml:space="preserve">Value Quantification Difficulty:</w:t>
      </w:r>
      <w:r>
        <w:t xml:space="preserve"> </w:t>
      </w:r>
      <w:r>
        <w:t xml:space="preserve">Measuring the exact monetary value an AI service delivers can be complex and subjective. This requires sophisticated analytics, customer testimonials, and often a consultative sales approach.</w:t>
      </w:r>
      <w:r>
        <w:t xml:space="preserve"> </w:t>
      </w:r>
      <w:r>
        <w:t xml:space="preserve">*</w:t>
      </w:r>
      <w:r>
        <w:t xml:space="preserve"> </w:t>
      </w:r>
      <w:r>
        <w:rPr>
          <w:b/>
        </w:rPr>
        <w:t xml:space="preserve">Customer Resistance:</w:t>
      </w:r>
      <w:r>
        <w:t xml:space="preserve"> </w:t>
      </w:r>
      <w:r>
        <w:t xml:space="preserve">If customers perceive the price as too high or are unable to clearly see the promised value, adoption can be hindered. Trust and clear communication are paramount.</w:t>
      </w:r>
      <w:r>
        <w:t xml:space="preserve"> </w:t>
      </w:r>
      <w:r>
        <w:t xml:space="preserve">*</w:t>
      </w:r>
      <w:r>
        <w:t xml:space="preserve"> </w:t>
      </w:r>
      <w:r>
        <w:rPr>
          <w:b/>
        </w:rPr>
        <w:t xml:space="preserve">Context Dependency:</w:t>
      </w:r>
      <w:r>
        <w:t xml:space="preserve"> </w:t>
      </w:r>
      <w:r>
        <w:t xml:space="preserve">The value of an AI service can vary significantly across different industries, use cases, and customer sizes, requiring flexible pricing strategies.</w:t>
      </w:r>
      <w:r>
        <w:t xml:space="preserve"> </w:t>
      </w:r>
      <w:r>
        <w:t xml:space="preserve">*</w:t>
      </w:r>
      <w:r>
        <w:t xml:space="preserve"> </w:t>
      </w:r>
      <w:r>
        <w:rPr>
          <w:b/>
        </w:rPr>
        <w:t xml:space="preserve">Competitive Pressure:</w:t>
      </w:r>
      <w:r>
        <w:t xml:space="preserve"> </w:t>
      </w:r>
      <w:r>
        <w:t xml:space="preserve">Competitors offering similar functionality at a lower price, even if less effective, can undermine a value-based strategy if the value differential is not robustly demonstrated.</w:t>
      </w:r>
    </w:p>
    <w:p>
      <w:pPr>
        <w:pStyle w:val="BodyText"/>
      </w:pPr>
      <w:r>
        <w:rPr>
          <w:b/>
        </w:rPr>
        <w:t xml:space="preserve">Usage-Based Pricing:</w:t>
      </w:r>
      <w:r>
        <w:t xml:space="preserve"> </w:t>
      </w:r>
      <w:r>
        <w:t xml:space="preserve">*</w:t>
      </w:r>
      <w:r>
        <w:t xml:space="preserve"> </w:t>
      </w:r>
      <w:r>
        <w:rPr>
          <w:b/>
        </w:rPr>
        <w:t xml:space="preserve">Advantages in AI:</w:t>
      </w:r>
      <w:r>
        <w:t xml:space="preserve"> </w:t>
      </w:r>
      <w:r>
        <w:t xml:space="preserve">*</w:t>
      </w:r>
      <w:r>
        <w:t xml:space="preserve"> </w:t>
      </w:r>
      <w:r>
        <w:rPr>
          <w:b/>
        </w:rPr>
        <w:t xml:space="preserve">Scalability for Providers:</w:t>
      </w:r>
      <w:r>
        <w:t xml:space="preserve"> </w:t>
      </w:r>
      <w:r>
        <w:t xml:space="preserve">Revenue scales directly with usage, making it ideal for services with variable demand and allowing for rapid expansion without significant upfront investment in sales (Bala &amp; Carr, 2010).</w:t>
      </w:r>
      <w:r>
        <w:t xml:space="preserve"> </w:t>
      </w:r>
      <w:r>
        <w:t xml:space="preserve">*</w:t>
      </w:r>
      <w:r>
        <w:t xml:space="preserve"> </w:t>
      </w:r>
      <w:r>
        <w:rPr>
          <w:b/>
        </w:rPr>
        <w:t xml:space="preserve">Flexibility for Users:</w:t>
      </w:r>
      <w:r>
        <w:t xml:space="preserve"> </w:t>
      </w:r>
      <w:r>
        <w:t xml:space="preserve">Customers can start small, experiment, and scale their usage as their needs grow, making it attractive for developers and startups.</w:t>
      </w:r>
      <w:r>
        <w:t xml:space="preserve"> </w:t>
      </w:r>
      <w:r>
        <w:t xml:space="preserve">*</w:t>
      </w:r>
      <w:r>
        <w:t xml:space="preserve"> </w:t>
      </w:r>
      <w:r>
        <w:rPr>
          <w:b/>
        </w:rPr>
        <w:t xml:space="preserve">Perceived Fairness:</w:t>
      </w:r>
      <w:r>
        <w:t xml:space="preserve"> </w:t>
      </w:r>
      <w:r>
        <w:t xml:space="preserve">Users feel they are only paying for what they consume, which can build trust and encourage adoption (Bala &amp; Carr, 2010).</w:t>
      </w:r>
      <w:r>
        <w:t xml:space="preserve"> </w:t>
      </w:r>
      <w:r>
        <w:t xml:space="preserve">*</w:t>
      </w:r>
      <w:r>
        <w:t xml:space="preserve"> </w:t>
      </w:r>
      <w:r>
        <w:rPr>
          <w:b/>
        </w:rPr>
        <w:t xml:space="preserve">Resource Efficiency:</w:t>
      </w:r>
      <w:r>
        <w:t xml:space="preserve"> </w:t>
      </w:r>
      <w:r>
        <w:t xml:space="preserve">Incentivizes providers to optimize their infrastructure and algorithms to reduce the cost per unit of usage (Molom-Ochir &amp; Shenoy, 2021).</w:t>
      </w:r>
      <w:r>
        <w:t xml:space="preserve"> </w:t>
      </w:r>
      <w:r>
        <w:t xml:space="preserve">*</w:t>
      </w:r>
      <w:r>
        <w:t xml:space="preserve"> </w:t>
      </w:r>
      <w:r>
        <w:rPr>
          <w:b/>
        </w:rPr>
        <w:t xml:space="preserve">Disadvantages in AI:</w:t>
      </w:r>
      <w:r>
        <w:t xml:space="preserve"> </w:t>
      </w:r>
      <w:r>
        <w:t xml:space="preserve">*</w:t>
      </w:r>
      <w:r>
        <w:t xml:space="preserve"> </w:t>
      </w:r>
      <w:r>
        <w:rPr>
          <w:b/>
        </w:rPr>
        <w:t xml:space="preserve">Cost Unpredictability for Users:</w:t>
      </w:r>
      <w:r>
        <w:t xml:space="preserve"> </w:t>
      </w:r>
      <w:r>
        <w:t xml:space="preserve">Can lead to</w:t>
      </w:r>
      <w:r>
        <w:t xml:space="preserve"> </w:t>
      </w:r>
      <w:r>
        <w:t xml:space="preserve">“</w:t>
      </w:r>
      <w:r>
        <w:t xml:space="preserve">bill shock</w:t>
      </w:r>
      <w:r>
        <w:t xml:space="preserve">”</w:t>
      </w:r>
      <w:r>
        <w:t xml:space="preserve"> </w:t>
      </w:r>
      <w:r>
        <w:t xml:space="preserve">if usage spikes unexpectedly or if users misestimate their consumption. This is a major concern for enterprise clients needing predictable budgets (Bala &amp; Carr, 2010).</w:t>
      </w:r>
      <w:r>
        <w:t xml:space="preserve"> </w:t>
      </w:r>
      <w:r>
        <w:t xml:space="preserve">*</w:t>
      </w:r>
      <w:r>
        <w:t xml:space="preserve"> </w:t>
      </w:r>
      <w:r>
        <w:rPr>
          <w:b/>
        </w:rPr>
        <w:t xml:space="preserve">Complexity in Billing and Tracking:</w:t>
      </w:r>
      <w:r>
        <w:t xml:space="preserve"> </w:t>
      </w:r>
      <w:r>
        <w:t xml:space="preserve">Requires robust metering and billing systems, especially for granular metrics like tokens, API calls, or compute units.</w:t>
      </w:r>
      <w:r>
        <w:t xml:space="preserve"> </w:t>
      </w:r>
      <w:r>
        <w:t xml:space="preserve">*</w:t>
      </w:r>
      <w:r>
        <w:t xml:space="preserve"> </w:t>
      </w:r>
      <w:r>
        <w:rPr>
          <w:b/>
        </w:rPr>
        <w:t xml:space="preserve">Optimization over Value:</w:t>
      </w:r>
      <w:r>
        <w:t xml:space="preserve"> </w:t>
      </w:r>
      <w:r>
        <w:t xml:space="preserve">Users might be incentivized to minimize usage rather than maximizing the value derived from the AI, potentially leading to underutilization of the AI’s full capabilities.</w:t>
      </w:r>
      <w:r>
        <w:t xml:space="preserve"> </w:t>
      </w:r>
      <w:r>
        <w:t xml:space="preserve">*</w:t>
      </w:r>
      <w:r>
        <w:t xml:space="preserve"> </w:t>
      </w:r>
      <w:r>
        <w:rPr>
          <w:b/>
        </w:rPr>
        <w:t xml:space="preserve">Lack of Revenue Predictability for Providers:</w:t>
      </w:r>
      <w:r>
        <w:t xml:space="preserve"> </w:t>
      </w:r>
      <w:r>
        <w:t xml:space="preserve">While total revenue scales, predicting individual customer revenue can be difficult, making financial forecasting challenging.</w:t>
      </w:r>
    </w:p>
    <w:p>
      <w:pPr>
        <w:pStyle w:val="BodyText"/>
      </w:pPr>
      <w:r>
        <w:rPr>
          <w:b/>
        </w:rPr>
        <w:t xml:space="preserve">Subscription-Based Pricing:</w:t>
      </w:r>
      <w:r>
        <w:t xml:space="preserve"> </w:t>
      </w:r>
      <w:r>
        <w:t xml:space="preserve">*</w:t>
      </w:r>
      <w:r>
        <w:t xml:space="preserve"> </w:t>
      </w:r>
      <w:r>
        <w:rPr>
          <w:b/>
        </w:rPr>
        <w:t xml:space="preserve">Advantages in AI:</w:t>
      </w:r>
      <w:r>
        <w:t xml:space="preserve"> </w:t>
      </w:r>
      <w:r>
        <w:t xml:space="preserve">*</w:t>
      </w:r>
      <w:r>
        <w:t xml:space="preserve"> </w:t>
      </w:r>
      <w:r>
        <w:rPr>
          <w:b/>
        </w:rPr>
        <w:t xml:space="preserve">Revenue Predictability for Providers:</w:t>
      </w:r>
      <w:r>
        <w:t xml:space="preserve"> </w:t>
      </w:r>
      <w:r>
        <w:t xml:space="preserve">Provides stable, recurring revenue streams, enabling long-term planning, investment in R&amp;D, and attracting investors (Bala &amp; Carr, 2010).</w:t>
      </w:r>
      <w:r>
        <w:t xml:space="preserve"> </w:t>
      </w:r>
      <w:r>
        <w:t xml:space="preserve">*</w:t>
      </w:r>
      <w:r>
        <w:t xml:space="preserve"> </w:t>
      </w:r>
      <w:r>
        <w:rPr>
          <w:b/>
        </w:rPr>
        <w:t xml:space="preserve">Budget Predictability for Users:</w:t>
      </w:r>
      <w:r>
        <w:t xml:space="preserve"> </w:t>
      </w:r>
      <w:r>
        <w:t xml:space="preserve">Customers appreciate fixed, predictable costs, simplifying their budgeting process.</w:t>
      </w:r>
      <w:r>
        <w:t xml:space="preserve"> </w:t>
      </w:r>
      <w:r>
        <w:t xml:space="preserve">*</w:t>
      </w:r>
      <w:r>
        <w:t xml:space="preserve"> </w:t>
      </w:r>
      <w:r>
        <w:rPr>
          <w:b/>
        </w:rPr>
        <w:t xml:space="preserve">Encourages Usage:</w:t>
      </w:r>
      <w:r>
        <w:t xml:space="preserve"> </w:t>
      </w:r>
      <w:r>
        <w:t xml:space="preserve">Once subscribed, users are incentivized to fully utilize the service to maximize their ROI, potentially leading to deeper integration and higher engagement.</w:t>
      </w:r>
      <w:r>
        <w:t xml:space="preserve"> </w:t>
      </w:r>
      <w:r>
        <w:t xml:space="preserve">*</w:t>
      </w:r>
      <w:r>
        <w:t xml:space="preserve"> </w:t>
      </w:r>
      <w:r>
        <w:rPr>
          <w:b/>
        </w:rPr>
        <w:t xml:space="preserve">Simplicity:</w:t>
      </w:r>
      <w:r>
        <w:t xml:space="preserve"> </w:t>
      </w:r>
      <w:r>
        <w:t xml:space="preserve">Easy for customers to understand and for providers to manage billing.</w:t>
      </w:r>
      <w:r>
        <w:t xml:space="preserve"> </w:t>
      </w:r>
      <w:r>
        <w:t xml:space="preserve">*</w:t>
      </w:r>
      <w:r>
        <w:t xml:space="preserve"> </w:t>
      </w:r>
      <w:r>
        <w:rPr>
          <w:b/>
        </w:rPr>
        <w:t xml:space="preserve">Disadvantages in AI:</w:t>
      </w:r>
      <w:r>
        <w:t xml:space="preserve"> </w:t>
      </w:r>
      <w:r>
        <w:t xml:space="preserve">*</w:t>
      </w:r>
      <w:r>
        <w:t xml:space="preserve"> </w:t>
      </w:r>
      <w:r>
        <w:rPr>
          <w:b/>
        </w:rPr>
        <w:t xml:space="preserve">High Barrier to Entry:</w:t>
      </w:r>
      <w:r>
        <w:t xml:space="preserve"> </w:t>
      </w:r>
      <w:r>
        <w:t xml:space="preserve">The upfront commitment of a recurring fee can deter potential users, especially if the value proposition is not immediately clear or if they have limited initial needs (Bala &amp; Carr, 2010).</w:t>
      </w:r>
      <w:r>
        <w:t xml:space="preserve"> </w:t>
      </w:r>
      <w:r>
        <w:t xml:space="preserve">*</w:t>
      </w:r>
      <w:r>
        <w:t xml:space="preserve"> </w:t>
      </w:r>
      <w:r>
        <w:rPr>
          <w:b/>
        </w:rPr>
        <w:t xml:space="preserve">Underutilization Risk:</w:t>
      </w:r>
      <w:r>
        <w:t xml:space="preserve"> </w:t>
      </w:r>
      <w:r>
        <w:t xml:space="preserve">Users might pay for a subscription but not fully utilize the service, leading to churn if they perceive poor value for money.</w:t>
      </w:r>
      <w:r>
        <w:t xml:space="preserve"> </w:t>
      </w:r>
      <w:r>
        <w:t xml:space="preserve">*</w:t>
      </w:r>
      <w:r>
        <w:t xml:space="preserve"> </w:t>
      </w:r>
      <w:r>
        <w:rPr>
          <w:b/>
        </w:rPr>
        <w:t xml:space="preserve">Scalability Challenges:</w:t>
      </w:r>
      <w:r>
        <w:t xml:space="preserve"> </w:t>
      </w:r>
      <w:r>
        <w:t xml:space="preserve">Can struggle to accommodate highly variable usage patterns without either over-provisioning (leading to wasted resources) or under-provisioning (leading to performance degradation).</w:t>
      </w:r>
      <w:r>
        <w:t xml:space="preserve"> </w:t>
      </w:r>
      <w:r>
        <w:t xml:space="preserve">*</w:t>
      </w:r>
      <w:r>
        <w:t xml:space="preserve"> </w:t>
      </w:r>
      <w:r>
        <w:rPr>
          <w:b/>
        </w:rPr>
        <w:t xml:space="preserve">Feature Creep:</w:t>
      </w:r>
      <w:r>
        <w:t xml:space="preserve"> </w:t>
      </w:r>
      <w:r>
        <w:t xml:space="preserve">Pressure to continuously add new features to justify the recurring fee can lead to product bloat.</w:t>
      </w:r>
    </w:p>
    <w:p>
      <w:pPr>
        <w:pStyle w:val="BodyText"/>
      </w:pPr>
      <w:r>
        <w:rPr>
          <w:b/>
        </w:rPr>
        <w:t xml:space="preserve">Freemium Models:</w:t>
      </w:r>
      <w:r>
        <w:t xml:space="preserve"> </w:t>
      </w:r>
      <w:r>
        <w:t xml:space="preserve">*</w:t>
      </w:r>
      <w:r>
        <w:t xml:space="preserve"> </w:t>
      </w:r>
      <w:r>
        <w:rPr>
          <w:b/>
        </w:rPr>
        <w:t xml:space="preserve">Advantages in AI:</w:t>
      </w:r>
      <w:r>
        <w:t xml:space="preserve"> </w:t>
      </w:r>
      <w:r>
        <w:t xml:space="preserve">*</w:t>
      </w:r>
      <w:r>
        <w:t xml:space="preserve"> </w:t>
      </w:r>
      <w:r>
        <w:rPr>
          <w:b/>
        </w:rPr>
        <w:t xml:space="preserve">Rapid User Acquisition:</w:t>
      </w:r>
      <w:r>
        <w:t xml:space="preserve"> </w:t>
      </w:r>
      <w:r>
        <w:t xml:space="preserve">Lowers the entry barrier, allowing a large number of users to try the AI service, which is excellent for viral growth and market penetration (Bala &amp; Carr, 2010).</w:t>
      </w:r>
      <w:r>
        <w:t xml:space="preserve"> </w:t>
      </w:r>
      <w:r>
        <w:t xml:space="preserve">*</w:t>
      </w:r>
      <w:r>
        <w:t xml:space="preserve"> </w:t>
      </w:r>
      <w:r>
        <w:rPr>
          <w:b/>
        </w:rPr>
        <w:t xml:space="preserve">Product-Led Growth:</w:t>
      </w:r>
      <w:r>
        <w:t xml:space="preserve"> </w:t>
      </w:r>
      <w:r>
        <w:t xml:space="preserve">Users experience the AI directly, allowing the product’s value to speak for itself and drive conversions.</w:t>
      </w:r>
      <w:r>
        <w:t xml:space="preserve"> </w:t>
      </w:r>
      <w:r>
        <w:t xml:space="preserve">*</w:t>
      </w:r>
      <w:r>
        <w:t xml:space="preserve"> </w:t>
      </w:r>
      <w:r>
        <w:rPr>
          <w:b/>
        </w:rPr>
        <w:t xml:space="preserve">Feedback Loop:</w:t>
      </w:r>
      <w:r>
        <w:t xml:space="preserve"> </w:t>
      </w:r>
      <w:r>
        <w:t xml:space="preserve">A large free user base provides valuable feedback for product improvement and bug detection.</w:t>
      </w:r>
      <w:r>
        <w:t xml:space="preserve"> </w:t>
      </w:r>
      <w:r>
        <w:t xml:space="preserve">*</w:t>
      </w:r>
      <w:r>
        <w:t xml:space="preserve"> </w:t>
      </w:r>
      <w:r>
        <w:rPr>
          <w:b/>
        </w:rPr>
        <w:t xml:space="preserve">Disadvantages in AI:</w:t>
      </w:r>
      <w:r>
        <w:t xml:space="preserve"> </w:t>
      </w:r>
      <w:r>
        <w:t xml:space="preserve">*</w:t>
      </w:r>
      <w:r>
        <w:t xml:space="preserve"> </w:t>
      </w:r>
      <w:r>
        <w:rPr>
          <w:b/>
        </w:rPr>
        <w:t xml:space="preserve">Conversion Challenges:</w:t>
      </w:r>
      <w:r>
        <w:t xml:space="preserve"> </w:t>
      </w:r>
      <w:r>
        <w:t xml:space="preserve">Many free users may never convert to paying customers, requiring careful design of the free-to-paid transition (Bala &amp; Carr, 2010).</w:t>
      </w:r>
      <w:r>
        <w:t xml:space="preserve"> </w:t>
      </w:r>
      <w:r>
        <w:t xml:space="preserve">*</w:t>
      </w:r>
      <w:r>
        <w:t xml:space="preserve"> </w:t>
      </w:r>
      <w:r>
        <w:rPr>
          <w:b/>
        </w:rPr>
        <w:t xml:space="preserve">High Operational Costs:</w:t>
      </w:r>
      <w:r>
        <w:t xml:space="preserve"> </w:t>
      </w:r>
      <w:r>
        <w:t xml:space="preserve">Supporting a large free user base can incur significant infrastructure, data, and customer support costs, potentially impacting profitability.</w:t>
      </w:r>
      <w:r>
        <w:t xml:space="preserve"> </w:t>
      </w:r>
      <w:r>
        <w:t xml:space="preserve">*</w:t>
      </w:r>
      <w:r>
        <w:t xml:space="preserve"> </w:t>
      </w:r>
      <w:r>
        <w:rPr>
          <w:b/>
        </w:rPr>
        <w:t xml:space="preserve">Cannibalization Risk:</w:t>
      </w:r>
      <w:r>
        <w:t xml:space="preserve"> </w:t>
      </w:r>
      <w:r>
        <w:t xml:space="preserve">The free tier might be sufficient for a significant portion of the target market, limiting upgrades to paid tiers.</w:t>
      </w:r>
      <w:r>
        <w:t xml:space="preserve"> </w:t>
      </w:r>
      <w:r>
        <w:t xml:space="preserve">*</w:t>
      </w:r>
      <w:r>
        <w:t xml:space="preserve"> </w:t>
      </w:r>
      <w:r>
        <w:rPr>
          <w:b/>
        </w:rPr>
        <w:t xml:space="preserve">Perceived Value Dilution:</w:t>
      </w:r>
      <w:r>
        <w:t xml:space="preserve"> </w:t>
      </w:r>
      <w:r>
        <w:t xml:space="preserve">If the free tier is too generous, it can devalue the premium offering.</w:t>
      </w:r>
    </w:p>
    <w:p>
      <w:pPr>
        <w:pStyle w:val="BodyText"/>
      </w:pPr>
      <w:r>
        <w:rPr>
          <w:b/>
        </w:rPr>
        <w:t xml:space="preserve">Tiered Pricing:</w:t>
      </w:r>
      <w:r>
        <w:t xml:space="preserve"> </w:t>
      </w:r>
      <w:r>
        <w:t xml:space="preserve">*</w:t>
      </w:r>
      <w:r>
        <w:t xml:space="preserve"> </w:t>
      </w:r>
      <w:r>
        <w:rPr>
          <w:b/>
        </w:rPr>
        <w:t xml:space="preserve">Advantages in AI:</w:t>
      </w:r>
      <w:r>
        <w:t xml:space="preserve"> </w:t>
      </w:r>
      <w:r>
        <w:t xml:space="preserve">*</w:t>
      </w:r>
      <w:r>
        <w:t xml:space="preserve"> </w:t>
      </w:r>
      <w:r>
        <w:rPr>
          <w:b/>
        </w:rPr>
        <w:t xml:space="preserve">Market Segmentation:</w:t>
      </w:r>
      <w:r>
        <w:t xml:space="preserve"> </w:t>
      </w:r>
      <w:r>
        <w:t xml:space="preserve">Effectively caters to diverse customer segments with varying needs, budgets, and usage patterns, from individual developers to large enterprises.</w:t>
      </w:r>
      <w:r>
        <w:t xml:space="preserve"> </w:t>
      </w:r>
      <w:r>
        <w:t xml:space="preserve">*</w:t>
      </w:r>
      <w:r>
        <w:t xml:space="preserve"> </w:t>
      </w:r>
      <w:r>
        <w:rPr>
          <w:b/>
        </w:rPr>
        <w:t xml:space="preserve">Revenue Optimization:</w:t>
      </w:r>
      <w:r>
        <w:t xml:space="preserve"> </w:t>
      </w:r>
      <w:r>
        <w:t xml:space="preserve">Allows providers to capture maximum revenue by offering different price points and feature sets that align with different customer willingness to pay.</w:t>
      </w:r>
      <w:r>
        <w:t xml:space="preserve"> </w:t>
      </w:r>
      <w:r>
        <w:t xml:space="preserve">*</w:t>
      </w:r>
      <w:r>
        <w:t xml:space="preserve"> </w:t>
      </w:r>
      <w:r>
        <w:rPr>
          <w:b/>
        </w:rPr>
        <w:t xml:space="preserve">Clear Upgrade Path:</w:t>
      </w:r>
      <w:r>
        <w:t xml:space="preserve"> </w:t>
      </w:r>
      <w:r>
        <w:t xml:space="preserve">Provides a logical progression for customers as their needs or usage grows, encouraging upgrades to higher-value tiers.</w:t>
      </w:r>
      <w:r>
        <w:t xml:space="preserve"> </w:t>
      </w:r>
      <w:r>
        <w:t xml:space="preserve">*</w:t>
      </w:r>
      <w:r>
        <w:t xml:space="preserve"> </w:t>
      </w:r>
      <w:r>
        <w:rPr>
          <w:b/>
        </w:rPr>
        <w:t xml:space="preserve">Disadvantages in AI:</w:t>
      </w:r>
      <w:r>
        <w:t xml:space="preserve"> </w:t>
      </w:r>
      <w:r>
        <w:t xml:space="preserve">*</w:t>
      </w:r>
      <w:r>
        <w:t xml:space="preserve"> </w:t>
      </w:r>
      <w:r>
        <w:rPr>
          <w:b/>
        </w:rPr>
        <w:t xml:space="preserve">Complexity in Design:</w:t>
      </w:r>
      <w:r>
        <w:t xml:space="preserve"> </w:t>
      </w:r>
      <w:r>
        <w:t xml:space="preserve">Requires careful consideration of feature differentiation, usage limits, and pricing points to ensure each tier offers compelling value without cannibalizing higher tiers.</w:t>
      </w:r>
      <w:r>
        <w:t xml:space="preserve"> </w:t>
      </w:r>
      <w:r>
        <w:t xml:space="preserve">*</w:t>
      </w:r>
      <w:r>
        <w:t xml:space="preserve"> </w:t>
      </w:r>
      <w:r>
        <w:rPr>
          <w:b/>
        </w:rPr>
        <w:t xml:space="preserve">Customer Confusion:</w:t>
      </w:r>
      <w:r>
        <w:t xml:space="preserve"> </w:t>
      </w:r>
      <w:r>
        <w:t xml:space="preserve">Too many tiers or unclear distinctions between them can overwhelm or confuse potential customers.</w:t>
      </w:r>
      <w:r>
        <w:t xml:space="preserve"> </w:t>
      </w:r>
      <w:r>
        <w:t xml:space="preserve">*</w:t>
      </w:r>
      <w:r>
        <w:t xml:space="preserve"> </w:t>
      </w:r>
      <w:r>
        <w:rPr>
          <w:b/>
        </w:rPr>
        <w:t xml:space="preserve">Perceived Limitations:</w:t>
      </w:r>
      <w:r>
        <w:t xml:space="preserve"> </w:t>
      </w:r>
      <w:r>
        <w:t xml:space="preserve">Customers might feel artificially constrained by lower tiers, leading to frustration.</w:t>
      </w:r>
      <w:r>
        <w:t xml:space="preserve"> </w:t>
      </w:r>
      <w:r>
        <w:t xml:space="preserve">*</w:t>
      </w:r>
      <w:r>
        <w:t xml:space="preserve"> </w:t>
      </w:r>
      <w:r>
        <w:rPr>
          <w:b/>
        </w:rPr>
        <w:t xml:space="preserve">Maintenance Overhead:</w:t>
      </w:r>
      <w:r>
        <w:t xml:space="preserve"> </w:t>
      </w:r>
      <w:r>
        <w:t xml:space="preserve">Managing and updating multiple tiers can add administrative complexity.</w:t>
      </w:r>
    </w:p>
    <w:p>
      <w:pPr>
        <w:pStyle w:val="BodyText"/>
      </w:pPr>
      <w:r>
        <w:rPr>
          <w:b/>
        </w:rPr>
        <w:t xml:space="preserve">Dynamic Pricing:</w:t>
      </w:r>
      <w:r>
        <w:t xml:space="preserve"> </w:t>
      </w:r>
      <w:r>
        <w:t xml:space="preserve">*</w:t>
      </w:r>
      <w:r>
        <w:t xml:space="preserve"> </w:t>
      </w:r>
      <w:r>
        <w:rPr>
          <w:b/>
        </w:rPr>
        <w:t xml:space="preserve">Advantages in AI:</w:t>
      </w:r>
      <w:r>
        <w:t xml:space="preserve"> </w:t>
      </w:r>
      <w:r>
        <w:t xml:space="preserve">*</w:t>
      </w:r>
      <w:r>
        <w:t xml:space="preserve"> </w:t>
      </w:r>
      <w:r>
        <w:rPr>
          <w:b/>
        </w:rPr>
        <w:t xml:space="preserve">Revenue Optimization:</w:t>
      </w:r>
      <w:r>
        <w:t xml:space="preserve"> </w:t>
      </w:r>
      <w:r>
        <w:t xml:space="preserve">Maximizes revenue by constantly adjusting prices based on real-time supply, demand, and other market factors (Senyapar et al., 2025).</w:t>
      </w:r>
      <w:r>
        <w:t xml:space="preserve"> </w:t>
      </w:r>
      <w:r>
        <w:t xml:space="preserve">*</w:t>
      </w:r>
      <w:r>
        <w:t xml:space="preserve"> </w:t>
      </w:r>
      <w:r>
        <w:rPr>
          <w:b/>
        </w:rPr>
        <w:t xml:space="preserve">Resource Management:</w:t>
      </w:r>
      <w:r>
        <w:t xml:space="preserve"> </w:t>
      </w:r>
      <w:r>
        <w:t xml:space="preserve">Can help balance load and optimize resource utilization by incentivizing off-peak usage (Senyapar et al., 2025).</w:t>
      </w:r>
      <w:r>
        <w:t xml:space="preserve"> </w:t>
      </w:r>
      <w:r>
        <w:t xml:space="preserve">*</w:t>
      </w:r>
      <w:r>
        <w:t xml:space="preserve"> </w:t>
      </w:r>
      <w:r>
        <w:rPr>
          <w:b/>
        </w:rPr>
        <w:t xml:space="preserve">Competitive Responsiveness:</w:t>
      </w:r>
      <w:r>
        <w:t xml:space="preserve"> </w:t>
      </w:r>
      <w:r>
        <w:t xml:space="preserve">Allows for rapid adaptation to competitor pricing and market shifts.</w:t>
      </w:r>
      <w:r>
        <w:t xml:space="preserve"> </w:t>
      </w:r>
      <w:r>
        <w:t xml:space="preserve">*</w:t>
      </w:r>
      <w:r>
        <w:t xml:space="preserve"> </w:t>
      </w:r>
      <w:r>
        <w:rPr>
          <w:b/>
        </w:rPr>
        <w:t xml:space="preserve">Disadvantages in AI:</w:t>
      </w:r>
      <w:r>
        <w:t xml:space="preserve"> </w:t>
      </w:r>
      <w:r>
        <w:t xml:space="preserve">*</w:t>
      </w:r>
      <w:r>
        <w:t xml:space="preserve"> </w:t>
      </w:r>
      <w:r>
        <w:rPr>
          <w:b/>
        </w:rPr>
        <w:t xml:space="preserve">Ethical Concerns and Fairness:</w:t>
      </w:r>
      <w:r>
        <w:t xml:space="preserve"> </w:t>
      </w:r>
      <w:r>
        <w:t xml:space="preserve">Can lead to perceptions of unfairness or price discrimination, especially if prices vary for identical services based on user profiles or location (Senyapar et al., 2025). This can erode trust and lead to negative public relations.</w:t>
      </w:r>
      <w:r>
        <w:t xml:space="preserve"> </w:t>
      </w:r>
      <w:r>
        <w:t xml:space="preserve">*</w:t>
      </w:r>
      <w:r>
        <w:t xml:space="preserve"> </w:t>
      </w:r>
      <w:r>
        <w:rPr>
          <w:b/>
        </w:rPr>
        <w:t xml:space="preserve">Complexity:</w:t>
      </w:r>
      <w:r>
        <w:t xml:space="preserve"> </w:t>
      </w:r>
      <w:r>
        <w:t xml:space="preserve">Requires sophisticated AI algorithms and real-time data analytics, and robust infrastructure.</w:t>
      </w:r>
      <w:r>
        <w:t xml:space="preserve"> </w:t>
      </w:r>
      <w:r>
        <w:t xml:space="preserve">*</w:t>
      </w:r>
      <w:r>
        <w:t xml:space="preserve"> </w:t>
      </w:r>
      <w:r>
        <w:rPr>
          <w:b/>
        </w:rPr>
        <w:t xml:space="preserve">Customer Backlash:</w:t>
      </w:r>
      <w:r>
        <w:t xml:space="preserve"> </w:t>
      </w:r>
      <w:r>
        <w:t xml:space="preserve">Lack of transparency or sudden price changes can anger customers and lead to churn.</w:t>
      </w:r>
      <w:r>
        <w:t xml:space="preserve"> </w:t>
      </w:r>
      <w:r>
        <w:t xml:space="preserve">*</w:t>
      </w:r>
      <w:r>
        <w:t xml:space="preserve"> </w:t>
      </w:r>
      <w:r>
        <w:rPr>
          <w:b/>
        </w:rPr>
        <w:t xml:space="preserve">Regulatory Scrutiny:</w:t>
      </w:r>
      <w:r>
        <w:t xml:space="preserve"> </w:t>
      </w:r>
      <w:r>
        <w:t xml:space="preserve">Growing regulatory interest in algorithmic pricing and potential for discrimination (Ericson et al., 2025) could pose significant challenges.</w:t>
      </w:r>
    </w:p>
    <w:p>
      <w:pPr>
        <w:pStyle w:val="BodyText"/>
      </w:pPr>
      <w:r>
        <w:rPr>
          <w:b/>
        </w:rPr>
        <w:t xml:space="preserve">Auction-Based Pricing:</w:t>
      </w:r>
      <w:r>
        <w:t xml:space="preserve"> </w:t>
      </w:r>
      <w:r>
        <w:t xml:space="preserve">*</w:t>
      </w:r>
      <w:r>
        <w:t xml:space="preserve"> </w:t>
      </w:r>
      <w:r>
        <w:rPr>
          <w:b/>
        </w:rPr>
        <w:t xml:space="preserve">Advantages in AI:</w:t>
      </w:r>
      <w:r>
        <w:t xml:space="preserve"> </w:t>
      </w:r>
      <w:r>
        <w:t xml:space="preserve">*</w:t>
      </w:r>
      <w:r>
        <w:t xml:space="preserve"> </w:t>
      </w:r>
      <w:r>
        <w:rPr>
          <w:b/>
        </w:rPr>
        <w:t xml:space="preserve">Efficient Allocation of Scarce Resources:</w:t>
      </w:r>
      <w:r>
        <w:t xml:space="preserve"> </w:t>
      </w:r>
      <w:r>
        <w:t xml:space="preserve">Ideal for situations where AI compute or specialized data access is limited, ensuring it goes to the highest bidder (Ewerhart, 2009).</w:t>
      </w:r>
      <w:r>
        <w:t xml:space="preserve"> </w:t>
      </w:r>
      <w:r>
        <w:t xml:space="preserve">*</w:t>
      </w:r>
      <w:r>
        <w:t xml:space="preserve"> </w:t>
      </w:r>
      <w:r>
        <w:rPr>
          <w:b/>
        </w:rPr>
        <w:t xml:space="preserve">Market-Driven Price Discovery:</w:t>
      </w:r>
      <w:r>
        <w:t xml:space="preserve"> </w:t>
      </w:r>
      <w:r>
        <w:t xml:space="preserve">Helps establish a fair market price for unique or highly variable AI resources.</w:t>
      </w:r>
      <w:r>
        <w:t xml:space="preserve"> </w:t>
      </w:r>
      <w:r>
        <w:t xml:space="preserve">*</w:t>
      </w:r>
      <w:r>
        <w:t xml:space="preserve"> </w:t>
      </w:r>
      <w:r>
        <w:rPr>
          <w:b/>
        </w:rPr>
        <w:t xml:space="preserve">Disadvantages in AI:</w:t>
      </w:r>
      <w:r>
        <w:t xml:space="preserve"> </w:t>
      </w:r>
      <w:r>
        <w:t xml:space="preserve">*</w:t>
      </w:r>
      <w:r>
        <w:t xml:space="preserve"> </w:t>
      </w:r>
      <w:r>
        <w:rPr>
          <w:b/>
        </w:rPr>
        <w:t xml:space="preserve">High Price Volatility and Unpredictability:</w:t>
      </w:r>
      <w:r>
        <w:t xml:space="preserve"> </w:t>
      </w:r>
      <w:r>
        <w:t xml:space="preserve">Makes budgeting and long-term planning extremely difficult for users.</w:t>
      </w:r>
      <w:r>
        <w:t xml:space="preserve"> </w:t>
      </w:r>
      <w:r>
        <w:t xml:space="preserve">*</w:t>
      </w:r>
      <w:r>
        <w:t xml:space="preserve"> </w:t>
      </w:r>
      <w:r>
        <w:rPr>
          <w:b/>
        </w:rPr>
        <w:t xml:space="preserve">Complexity:</w:t>
      </w:r>
      <w:r>
        <w:t xml:space="preserve"> </w:t>
      </w:r>
      <w:r>
        <w:t xml:space="preserve">Requires robust auction mechanisms and can be challenging for users to navigate.</w:t>
      </w:r>
      <w:r>
        <w:t xml:space="preserve"> </w:t>
      </w:r>
      <w:r>
        <w:t xml:space="preserve">*</w:t>
      </w:r>
      <w:r>
        <w:t xml:space="preserve"> </w:t>
      </w:r>
      <w:r>
        <w:rPr>
          <w:b/>
        </w:rPr>
        <w:t xml:space="preserve">Potential for Manipulation:</w:t>
      </w:r>
      <w:r>
        <w:t xml:space="preserve"> </w:t>
      </w:r>
      <w:r>
        <w:t xml:space="preserve">Susceptible to strategic bidding and market manipulation (Ewerhart, 2009).</w:t>
      </w:r>
      <w:r>
        <w:t xml:space="preserve"> </w:t>
      </w:r>
      <w:r>
        <w:t xml:space="preserve">*</w:t>
      </w:r>
      <w:r>
        <w:t xml:space="preserve"> </w:t>
      </w:r>
      <w:r>
        <w:rPr>
          <w:b/>
        </w:rPr>
        <w:t xml:space="preserve">Limited Applicability:</w:t>
      </w:r>
      <w:r>
        <w:t xml:space="preserve"> </w:t>
      </w:r>
      <w:r>
        <w:t xml:space="preserve">Not suitable for general-purpose, high-volume AI services.</w:t>
      </w:r>
    </w:p>
    <w:p>
      <w:pPr>
        <w:pStyle w:val="Heading3"/>
      </w:pPr>
      <w:bookmarkStart w:id="66" w:name="Xeb0620e2f6a68661f9fd9c2a494d016bf813df1"/>
      <w:r>
        <w:t xml:space="preserve">Real-World Examples of AI Service Pricing</w:t>
      </w:r>
      <w:bookmarkEnd w:id="66"/>
    </w:p>
    <w:p>
      <w:pPr>
        <w:pStyle w:val="FirstParagraph"/>
      </w:pPr>
      <w:r>
        <w:t xml:space="preserve">The theoretical advantages and disadvantages of these pricing models become clearer when examining their implementation by leading AI service providers. Companies like OpenAI, Anthropic, and Google have adopted diverse strategies, often combining elements of several models to cater to different user segments and market demands. Their approaches illustrate both the opportunities and the inherent challenges in monetizing cutting-edge AI.</w:t>
      </w:r>
    </w:p>
    <w:p>
      <w:pPr>
        <w:pStyle w:val="BodyText"/>
      </w:pPr>
      <w:r>
        <w:rPr>
          <w:b/>
        </w:rPr>
        <w:t xml:space="preserve">OpenAI.</w:t>
      </w:r>
      <w:r>
        <w:t xml:space="preserve"> </w:t>
      </w:r>
      <w:r>
        <w:t xml:space="preserve">As a pioneer in large language models, OpenAI’s pricing strategy has evolved significantly, reflecting the increasing maturity of its models and the expansion of its user base.</w:t>
      </w:r>
      <w:r>
        <w:t xml:space="preserve"> </w:t>
      </w:r>
      <w:r>
        <w:t xml:space="preserve">*</w:t>
      </w:r>
      <w:r>
        <w:t xml:space="preserve"> </w:t>
      </w:r>
      <w:r>
        <w:rPr>
          <w:b/>
        </w:rPr>
        <w:t xml:space="preserve">API Access (Usage-Based with Tiers):</w:t>
      </w:r>
      <w:r>
        <w:t xml:space="preserve"> </w:t>
      </w:r>
      <w:r>
        <w:t xml:space="preserve">OpenAI primarily utilizes a usage-based model for its API access to models like GPT-3, GPT-3.5, and GPT-4 (openai.com, 2025). The core metric is</w:t>
      </w:r>
      <w:r>
        <w:t xml:space="preserve"> </w:t>
      </w:r>
      <w:r>
        <w:rPr>
          <w:b/>
        </w:rPr>
        <w:t xml:space="preserve">tokens</w:t>
      </w:r>
      <w:r>
        <w:t xml:space="preserve">, with separate pricing for input (prompt) tokens and output (completion) tokens. This granular approach directly reflects the computational cost of processing and generating text.</w:t>
      </w:r>
      <w:r>
        <w:t xml:space="preserve"> </w:t>
      </w:r>
      <w:r>
        <w:t xml:space="preserve">*</w:t>
      </w:r>
      <w:r>
        <w:t xml:space="preserve"> </w:t>
      </w:r>
      <w:r>
        <w:rPr>
          <w:b/>
        </w:rPr>
        <w:t xml:space="preserve">Advantages:</w:t>
      </w:r>
      <w:r>
        <w:t xml:space="preserve"> </w:t>
      </w:r>
      <w:r>
        <w:t xml:space="preserve">This model is highly scalable, allowing developers to integrate OpenAI’s models into their applications and pay only for what they consume. It lowers the barrier to entry for startups and individual developers. The distinction between input and output tokens reflects that generating output is generally more computationally intensive.</w:t>
      </w:r>
      <w:r>
        <w:t xml:space="preserve"> </w:t>
      </w:r>
      <w:r>
        <w:t xml:space="preserve">*</w:t>
      </w:r>
      <w:r>
        <w:t xml:space="preserve"> </w:t>
      </w:r>
      <w:r>
        <w:rPr>
          <w:b/>
        </w:rPr>
        <w:t xml:space="preserve">Disadvantages:</w:t>
      </w:r>
      <w:r>
        <w:t xml:space="preserve"> </w:t>
      </w:r>
      <w:r>
        <w:t xml:space="preserve">Cost predictability can be a significant concern for enterprises, especially for applications with variable user queries or long context windows. Developers must carefully optimize prompt engineering and response generation to manage costs.</w:t>
      </w:r>
      <w:r>
        <w:t xml:space="preserve"> </w:t>
      </w:r>
      <w:r>
        <w:t xml:space="preserve">OpenAI also implements</w:t>
      </w:r>
      <w:r>
        <w:t xml:space="preserve"> </w:t>
      </w:r>
      <w:r>
        <w:rPr>
          <w:b/>
        </w:rPr>
        <w:t xml:space="preserve">tiered access</w:t>
      </w:r>
      <w:r>
        <w:t xml:space="preserve"> </w:t>
      </w:r>
      <w:r>
        <w:t xml:space="preserve">within its API, offering different models (e.g.,</w:t>
      </w:r>
      <w:r>
        <w:t xml:space="preserve"> </w:t>
      </w:r>
      <w:r>
        <w:rPr>
          <w:rStyle w:val="VerbatimChar"/>
        </w:rPr>
        <w:t xml:space="preserve">gpt-4-turbo</w:t>
      </w:r>
      <w:r>
        <w:t xml:space="preserve">,</w:t>
      </w:r>
      <w:r>
        <w:t xml:space="preserve"> </w:t>
      </w:r>
      <w:r>
        <w:rPr>
          <w:rStyle w:val="VerbatimChar"/>
        </w:rPr>
        <w:t xml:space="preserve">gpt-3.5-turbo</w:t>
      </w:r>
      <w:r>
        <w:t xml:space="preserve">) at varying price points, reflecting their capabilities and performance. Access to newer, more powerful models often comes at a higher per-token cost. Furthermore,</w:t>
      </w:r>
      <w:r>
        <w:t xml:space="preserve"> </w:t>
      </w:r>
      <w:r>
        <w:rPr>
          <w:b/>
        </w:rPr>
        <w:t xml:space="preserve">fine-tuning</w:t>
      </w:r>
      <w:r>
        <w:t xml:space="preserve"> </w:t>
      </w:r>
      <w:r>
        <w:t xml:space="preserve">capabilities, which allow users to adapt models with their own data, are priced separately, typically on a usage basis for training hours and subsequent inference (openai.com, 2025).</w:t>
      </w:r>
      <w:r>
        <w:t xml:space="preserve"> </w:t>
      </w:r>
      <w:r>
        <w:t xml:space="preserve">*</w:t>
      </w:r>
      <w:r>
        <w:t xml:space="preserve"> </w:t>
      </w:r>
      <w:r>
        <w:rPr>
          <w:b/>
        </w:rPr>
        <w:t xml:space="preserve">ChatGPT Plus (Subscription-Based):</w:t>
      </w:r>
      <w:r>
        <w:t xml:space="preserve"> </w:t>
      </w:r>
      <w:r>
        <w:t xml:space="preserve">For individual users, OpenAI offers</w:t>
      </w:r>
      <w:r>
        <w:t xml:space="preserve"> </w:t>
      </w:r>
      <w:r>
        <w:t xml:space="preserve">“</w:t>
      </w:r>
      <w:r>
        <w:t xml:space="preserve">ChatGPT Plus,</w:t>
      </w:r>
      <w:r>
        <w:t xml:space="preserve">”</w:t>
      </w:r>
      <w:r>
        <w:t xml:space="preserve"> </w:t>
      </w:r>
      <w:r>
        <w:t xml:space="preserve">a</w:t>
      </w:r>
      <w:r>
        <w:t xml:space="preserve"> </w:t>
      </w:r>
      <w:r>
        <w:rPr>
          <w:b/>
        </w:rPr>
        <w:t xml:space="preserve">subscription-based model</w:t>
      </w:r>
      <w:r>
        <w:t xml:space="preserve"> </w:t>
      </w:r>
      <w:r>
        <w:t xml:space="preserve">providing enhanced access to their flagship conversational AI.</w:t>
      </w:r>
      <w:r>
        <w:t xml:space="preserve"> </w:t>
      </w:r>
      <w:r>
        <w:t xml:space="preserve">*</w:t>
      </w:r>
      <w:r>
        <w:t xml:space="preserve"> </w:t>
      </w:r>
      <w:r>
        <w:rPr>
          <w:b/>
        </w:rPr>
        <w:t xml:space="preserve">Advantages:</w:t>
      </w:r>
      <w:r>
        <w:t xml:space="preserve"> </w:t>
      </w:r>
      <w:r>
        <w:t xml:space="preserve">Offers predictable costs for consumers, guaranteed access even during peak times, and priority access to new features and models (like GPT-4 and DALL-E 3 integration). This caters to power users who want a consistent, premium experience without worrying about per-token costs.</w:t>
      </w:r>
      <w:r>
        <w:t xml:space="preserve"> </w:t>
      </w:r>
      <w:r>
        <w:t xml:space="preserve">*</w:t>
      </w:r>
      <w:r>
        <w:t xml:space="preserve"> </w:t>
      </w:r>
      <w:r>
        <w:rPr>
          <w:b/>
        </w:rPr>
        <w:t xml:space="preserve">Disadvantages:</w:t>
      </w:r>
      <w:r>
        <w:t xml:space="preserve"> </w:t>
      </w:r>
      <w:r>
        <w:t xml:space="preserve">A fixed monthly fee might be perceived as expensive for casual users, and it doesn’t account for varying levels of individual usage.</w:t>
      </w:r>
      <w:r>
        <w:t xml:space="preserve"> </w:t>
      </w:r>
      <w:r>
        <w:t xml:space="preserve">*</w:t>
      </w:r>
      <w:r>
        <w:t xml:space="preserve"> </w:t>
      </w:r>
      <w:r>
        <w:rPr>
          <w:b/>
        </w:rPr>
        <w:t xml:space="preserve">ChatGPT Enterprise (Value-Based/Custom):</w:t>
      </w:r>
      <w:r>
        <w:t xml:space="preserve"> </w:t>
      </w:r>
      <w:r>
        <w:t xml:space="preserve">For larger organizations, OpenAI offers</w:t>
      </w:r>
      <w:r>
        <w:t xml:space="preserve"> </w:t>
      </w:r>
      <w:r>
        <w:t xml:space="preserve">“</w:t>
      </w:r>
      <w:r>
        <w:t xml:space="preserve">ChatGPT Enterprise,</w:t>
      </w:r>
      <w:r>
        <w:t xml:space="preserve">”</w:t>
      </w:r>
      <w:r>
        <w:t xml:space="preserve"> </w:t>
      </w:r>
      <w:r>
        <w:t xml:space="preserve">which likely incorporates elements of</w:t>
      </w:r>
      <w:r>
        <w:t xml:space="preserve"> </w:t>
      </w:r>
      <w:r>
        <w:rPr>
          <w:b/>
        </w:rPr>
        <w:t xml:space="preserve">value-based pricing</w:t>
      </w:r>
      <w:r>
        <w:t xml:space="preserve"> </w:t>
      </w:r>
      <w:r>
        <w:t xml:space="preserve">and custom solutions.</w:t>
      </w:r>
      <w:r>
        <w:t xml:space="preserve"> </w:t>
      </w:r>
      <w:r>
        <w:t xml:space="preserve">*</w:t>
      </w:r>
      <w:r>
        <w:t xml:space="preserve"> </w:t>
      </w:r>
      <w:r>
        <w:rPr>
          <w:b/>
        </w:rPr>
        <w:t xml:space="preserve">Advantages:</w:t>
      </w:r>
      <w:r>
        <w:t xml:space="preserve"> </w:t>
      </w:r>
      <w:r>
        <w:t xml:space="preserve">Provides enhanced security, privacy, and performance guarantees (SLAs), along with administrative controls and custom integrations. The pricing for such offerings is typically negotiated based on the scale of deployment, the value derived by the enterprise, and the specific features required. This moves beyond simple usage to encompass the holistic business solution.</w:t>
      </w:r>
      <w:r>
        <w:t xml:space="preserve"> </w:t>
      </w:r>
      <w:r>
        <w:t xml:space="preserve">*</w:t>
      </w:r>
      <w:r>
        <w:t xml:space="preserve"> </w:t>
      </w:r>
      <w:r>
        <w:rPr>
          <w:b/>
        </w:rPr>
        <w:t xml:space="preserve">Disadvantages:</w:t>
      </w:r>
      <w:r>
        <w:t xml:space="preserve"> </w:t>
      </w:r>
      <w:r>
        <w:t xml:space="preserve">Requires direct sales and negotiation, which is less scalable than API access.</w:t>
      </w:r>
      <w:r>
        <w:t xml:space="preserve"> </w:t>
      </w:r>
      <w:r>
        <w:t xml:space="preserve">OpenAI’s strategy showcases a sophisticated blend of usage-based, subscription, and custom/value-based approaches to address a broad spectrum of users, from individual developers to large corporations.</w:t>
      </w:r>
    </w:p>
    <w:p>
      <w:pPr>
        <w:pStyle w:val="BodyText"/>
      </w:pPr>
      <w:r>
        <w:rPr>
          <w:b/>
        </w:rPr>
        <w:t xml:space="preserve">Anthropic (Claude).</w:t>
      </w:r>
      <w:r>
        <w:t xml:space="preserve"> </w:t>
      </w:r>
      <w:r>
        <w:t xml:space="preserve">Anthropic, a key competitor to OpenAI, also focuses on large language models, particularly with an emphasis on safety and longer context windows (anthropic.com, 2025). Their pricing structure largely mirrors OpenAI’s, emphasizing usage-based metrics.</w:t>
      </w:r>
      <w:r>
        <w:t xml:space="preserve"> </w:t>
      </w:r>
      <w:r>
        <w:t xml:space="preserve">*</w:t>
      </w:r>
      <w:r>
        <w:t xml:space="preserve"> </w:t>
      </w:r>
      <w:r>
        <w:rPr>
          <w:b/>
        </w:rPr>
        <w:t xml:space="preserve">API Access (Usage-Based with Context Differentiation):</w:t>
      </w:r>
      <w:r>
        <w:t xml:space="preserve"> </w:t>
      </w:r>
      <w:r>
        <w:t xml:space="preserve">Anthropic’s Claude models (e.g., Claude 3 Opus, Sonnet, Haiku) are also priced per token, with separate rates for input and output tokens (nops.io, 2025). A notable distinction is their emphasis on</w:t>
      </w:r>
      <w:r>
        <w:t xml:space="preserve"> </w:t>
      </w:r>
      <w:r>
        <w:rPr>
          <w:b/>
        </w:rPr>
        <w:t xml:space="preserve">context window size</w:t>
      </w:r>
      <w:r>
        <w:t xml:space="preserve">, with their models often supporting significantly larger contexts than competitors. While still usage-based, the ability to process and generate longer conversations or documents implies a different value proposition for certain enterprise use cases.</w:t>
      </w:r>
      <w:r>
        <w:t xml:space="preserve"> </w:t>
      </w:r>
      <w:r>
        <w:t xml:space="preserve">*</w:t>
      </w:r>
      <w:r>
        <w:t xml:space="preserve"> </w:t>
      </w:r>
      <w:r>
        <w:rPr>
          <w:b/>
        </w:rPr>
        <w:t xml:space="preserve">Advantages:</w:t>
      </w:r>
      <w:r>
        <w:t xml:space="preserve"> </w:t>
      </w:r>
      <w:r>
        <w:t xml:space="preserve">Similar to OpenAI, this offers flexibility and scalability. The longer context windows can be highly valuable for tasks like legal document analysis or summarizing extensive research (Xue, 2023), justifying potentially different pricing structures or a higher perceived value per token for these capabilities.</w:t>
      </w:r>
      <w:r>
        <w:t xml:space="preserve"> </w:t>
      </w:r>
      <w:r>
        <w:t xml:space="preserve">*</w:t>
      </w:r>
      <w:r>
        <w:t xml:space="preserve"> </w:t>
      </w:r>
      <w:r>
        <w:rPr>
          <w:b/>
        </w:rPr>
        <w:t xml:space="preserve">Disadvantages:</w:t>
      </w:r>
      <w:r>
        <w:t xml:space="preserve"> </w:t>
      </w:r>
      <w:r>
        <w:t xml:space="preserve">The challenge of cost predictability remains, especially with very large context inputs. Users must be mindful of how context length impacts token usage and, consequently, cost.</w:t>
      </w:r>
      <w:r>
        <w:t xml:space="preserve"> </w:t>
      </w:r>
      <w:r>
        <w:t xml:space="preserve">*</w:t>
      </w:r>
      <w:r>
        <w:t xml:space="preserve"> </w:t>
      </w:r>
      <w:r>
        <w:rPr>
          <w:b/>
        </w:rPr>
        <w:t xml:space="preserve">Enterprise Offerings:</w:t>
      </w:r>
      <w:r>
        <w:t xml:space="preserve"> </w:t>
      </w:r>
      <w:r>
        <w:t xml:space="preserve">Anthropic also provides enterprise-grade solutions, suggesting a move towards</w:t>
      </w:r>
      <w:r>
        <w:t xml:space="preserve"> </w:t>
      </w:r>
      <w:r>
        <w:rPr>
          <w:b/>
        </w:rPr>
        <w:t xml:space="preserve">value-based or custom pricing</w:t>
      </w:r>
      <w:r>
        <w:t xml:space="preserve"> </w:t>
      </w:r>
      <w:r>
        <w:t xml:space="preserve">for large-scale deployments that require tailored support, advanced security features, and specific integrations.</w:t>
      </w:r>
      <w:r>
        <w:t xml:space="preserve"> </w:t>
      </w:r>
      <w:r>
        <w:t xml:space="preserve">By focusing on attributes like safety and extended context, Anthropic subtly shifts the value proposition within a usage-based framework, allowing them to compete effectively in specific market niches.</w:t>
      </w:r>
    </w:p>
    <w:p>
      <w:pPr>
        <w:pStyle w:val="BodyText"/>
      </w:pPr>
      <w:r>
        <w:rPr>
          <w:b/>
        </w:rPr>
        <w:t xml:space="preserve">Google (Gemini, PaLM, Vertex AI).</w:t>
      </w:r>
      <w:r>
        <w:t xml:space="preserve"> </w:t>
      </w:r>
      <w:r>
        <w:t xml:space="preserve">Google’s AI offerings are deeply integrated into its broader cloud ecosystem, Google Cloud Platform (GCP). Their strategy leverages the existing cloud infrastructure and pricing paradigms.</w:t>
      </w:r>
      <w:r>
        <w:t xml:space="preserve"> </w:t>
      </w:r>
      <w:r>
        <w:t xml:space="preserve">*</w:t>
      </w:r>
      <w:r>
        <w:t xml:space="preserve"> </w:t>
      </w:r>
      <w:r>
        <w:rPr>
          <w:b/>
        </w:rPr>
        <w:t xml:space="preserve">Vertex AI (Usage-Based with Platform Integration):</w:t>
      </w:r>
      <w:r>
        <w:t xml:space="preserve"> </w:t>
      </w:r>
      <w:r>
        <w:t xml:space="preserve">Google’s Vertex AI platform provides access to a range of foundation models, including Gemini and PaLM, through APIs. Pricing is typically usage-based, measured in tokens for LLMs, compute hours for training custom models, or predictions for specialized AI services (cloud.google.com, 2025).</w:t>
      </w:r>
      <w:r>
        <w:t xml:space="preserve"> </w:t>
      </w:r>
      <w:r>
        <w:t xml:space="preserve">*</w:t>
      </w:r>
      <w:r>
        <w:t xml:space="preserve"> </w:t>
      </w:r>
      <w:r>
        <w:rPr>
          <w:b/>
        </w:rPr>
        <w:t xml:space="preserve">Advantages:</w:t>
      </w:r>
      <w:r>
        <w:t xml:space="preserve"> </w:t>
      </w:r>
      <w:r>
        <w:t xml:space="preserve">Seamless integration with other GCP services (data storage, compute, security) makes it attractive for existing Google Cloud customers. The usage-based model allows for flexible adoption within an enterprise’s existing cloud spend.</w:t>
      </w:r>
      <w:r>
        <w:t xml:space="preserve"> </w:t>
      </w:r>
      <w:r>
        <w:t xml:space="preserve">*</w:t>
      </w:r>
      <w:r>
        <w:t xml:space="preserve"> </w:t>
      </w:r>
      <w:r>
        <w:rPr>
          <w:b/>
        </w:rPr>
        <w:t xml:space="preserve">Disadvantages:</w:t>
      </w:r>
      <w:r>
        <w:t xml:space="preserve"> </w:t>
      </w:r>
      <w:r>
        <w:t xml:space="preserve">Can become complex to manage costs across various AI services and their underlying compute resources within the broader GCP billing structure.</w:t>
      </w:r>
      <w:r>
        <w:t xml:space="preserve"> </w:t>
      </w:r>
      <w:r>
        <w:t xml:space="preserve">*</w:t>
      </w:r>
      <w:r>
        <w:t xml:space="preserve"> </w:t>
      </w:r>
      <w:r>
        <w:rPr>
          <w:b/>
        </w:rPr>
        <w:t xml:space="preserve">Google Workspace AI Features (Subscription/Bundled):</w:t>
      </w:r>
      <w:r>
        <w:t xml:space="preserve"> </w:t>
      </w:r>
      <w:r>
        <w:t xml:space="preserve">For consumer and business users of Google Workspace, AI features (e.g., Gemini in Docs, Gmail) are often bundled into existing subscription plans or offered as add-ons. This represents a</w:t>
      </w:r>
      <w:r>
        <w:t xml:space="preserve"> </w:t>
      </w:r>
      <w:r>
        <w:rPr>
          <w:b/>
        </w:rPr>
        <w:t xml:space="preserve">bundled subscription model</w:t>
      </w:r>
      <w:r>
        <w:t xml:space="preserve">.</w:t>
      </w:r>
      <w:r>
        <w:t xml:space="preserve"> </w:t>
      </w:r>
      <w:r>
        <w:t xml:space="preserve">*</w:t>
      </w:r>
      <w:r>
        <w:t xml:space="preserve"> </w:t>
      </w:r>
      <w:r>
        <w:rPr>
          <w:b/>
        </w:rPr>
        <w:t xml:space="preserve">Advantages:</w:t>
      </w:r>
      <w:r>
        <w:t xml:space="preserve"> </w:t>
      </w:r>
      <w:r>
        <w:t xml:space="preserve">Adds significant value to existing products, increasing user stickiness and justifying subscription fees.</w:t>
      </w:r>
      <w:r>
        <w:t xml:space="preserve"> </w:t>
      </w:r>
      <w:r>
        <w:t xml:space="preserve">*</w:t>
      </w:r>
      <w:r>
        <w:t xml:space="preserve"> </w:t>
      </w:r>
      <w:r>
        <w:rPr>
          <w:b/>
        </w:rPr>
        <w:t xml:space="preserve">Disadvantages:</w:t>
      </w:r>
      <w:r>
        <w:t xml:space="preserve"> </w:t>
      </w:r>
      <w:r>
        <w:t xml:space="preserve">The direct monetization of individual AI features can be opaque, as their cost is absorbed into the broader subscription.</w:t>
      </w:r>
      <w:r>
        <w:t xml:space="preserve"> </w:t>
      </w:r>
      <w:r>
        <w:t xml:space="preserve">Google’s approach emphasizes platform integration and leverages its vast ecosystem, offering AI as both a standalone API service and an embedded feature within its popular products.</w:t>
      </w:r>
    </w:p>
    <w:p>
      <w:pPr>
        <w:pStyle w:val="BodyText"/>
      </w:pPr>
      <w:r>
        <w:rPr>
          <w:b/>
        </w:rPr>
        <w:t xml:space="preserve">Other Notable Examples:</w:t>
      </w:r>
      <w:r>
        <w:t xml:space="preserve"> </w:t>
      </w:r>
      <w:r>
        <w:t xml:space="preserve">*</w:t>
      </w:r>
      <w:r>
        <w:t xml:space="preserve"> </w:t>
      </w:r>
      <w:r>
        <w:rPr>
          <w:b/>
        </w:rPr>
        <w:t xml:space="preserve">Hugging Face (Freemium/Subscription/Usage):</w:t>
      </w:r>
      <w:r>
        <w:t xml:space="preserve"> </w:t>
      </w:r>
      <w:r>
        <w:t xml:space="preserve">Hugging Face, known for its open-source AI model hub, offers both free access to models and paid services. They provide</w:t>
      </w:r>
      <w:r>
        <w:t xml:space="preserve"> </w:t>
      </w:r>
      <w:r>
        <w:rPr>
          <w:b/>
        </w:rPr>
        <w:t xml:space="preserve">inference APIs</w:t>
      </w:r>
      <w:r>
        <w:t xml:space="preserve"> </w:t>
      </w:r>
      <w:r>
        <w:t xml:space="preserve">for many models, priced on a usage basis (e.g., per inference, per second of compute). They also offer</w:t>
      </w:r>
      <w:r>
        <w:t xml:space="preserve"> </w:t>
      </w:r>
      <w:r>
        <w:rPr>
          <w:b/>
        </w:rPr>
        <w:t xml:space="preserve">enterprise hub</w:t>
      </w:r>
      <w:r>
        <w:t xml:space="preserve"> </w:t>
      </w:r>
      <w:r>
        <w:t xml:space="preserve">subscriptions for enhanced features, private model hosting, and dedicated support. This multi-faceted approach caters to the open-source community while providing commercialization pathways.</w:t>
      </w:r>
      <w:r>
        <w:t xml:space="preserve"> </w:t>
      </w:r>
      <w:r>
        <w:t xml:space="preserve">*</w:t>
      </w:r>
      <w:r>
        <w:t xml:space="preserve"> </w:t>
      </w:r>
      <w:r>
        <w:rPr>
          <w:b/>
        </w:rPr>
        <w:t xml:space="preserve">Stability AI (Open-Source with Commercial Licensing):</w:t>
      </w:r>
      <w:r>
        <w:t xml:space="preserve"> </w:t>
      </w:r>
      <w:r>
        <w:t xml:space="preserve">Stability AI, creators of Stable Diffusion, primarily operates on an</w:t>
      </w:r>
      <w:r>
        <w:t xml:space="preserve"> </w:t>
      </w:r>
      <w:r>
        <w:rPr>
          <w:b/>
        </w:rPr>
        <w:t xml:space="preserve">open-source model</w:t>
      </w:r>
      <w:r>
        <w:t xml:space="preserve">, releasing many of its models for free use. However, they also offer</w:t>
      </w:r>
      <w:r>
        <w:t xml:space="preserve"> </w:t>
      </w:r>
      <w:r>
        <w:rPr>
          <w:b/>
        </w:rPr>
        <w:t xml:space="preserve">commercial licensing</w:t>
      </w:r>
      <w:r>
        <w:t xml:space="preserve"> </w:t>
      </w:r>
      <w:r>
        <w:t xml:space="preserve">and API access for businesses, often structured as usage-based or custom enterprise contracts. This hybrid approach aims to foster widespread adoption through open-source while monetizing enterprise applications.</w:t>
      </w:r>
      <w:r>
        <w:t xml:space="preserve"> </w:t>
      </w:r>
      <w:r>
        <w:t xml:space="preserve">*</w:t>
      </w:r>
      <w:r>
        <w:t xml:space="preserve"> </w:t>
      </w:r>
      <w:r>
        <w:rPr>
          <w:b/>
        </w:rPr>
        <w:t xml:space="preserve">Azure AI / AWS Bedrock (Usage-Based Cloud Integration):</w:t>
      </w:r>
      <w:r>
        <w:t xml:space="preserve"> </w:t>
      </w:r>
      <w:r>
        <w:t xml:space="preserve">Microsoft Azure and Amazon Web Services (AWS) both offer comprehensive AI platforms (Azure AI Services, AWS Bedrock) that provide access to a variety of foundation models (including their own and third-party ones). Their pricing is predominantly</w:t>
      </w:r>
      <w:r>
        <w:t xml:space="preserve"> </w:t>
      </w:r>
      <w:r>
        <w:rPr>
          <w:b/>
        </w:rPr>
        <w:t xml:space="preserve">usage-based</w:t>
      </w:r>
      <w:r>
        <w:t xml:space="preserve">, integrated into their respective cloud billing systems. This includes metrics like tokens, API calls, compute hours, and data storage. They also offer</w:t>
      </w:r>
      <w:r>
        <w:t xml:space="preserve"> </w:t>
      </w:r>
      <w:r>
        <w:rPr>
          <w:b/>
        </w:rPr>
        <w:t xml:space="preserve">reserved capacity</w:t>
      </w:r>
      <w:r>
        <w:t xml:space="preserve"> </w:t>
      </w:r>
      <w:r>
        <w:t xml:space="preserve">options, which can be seen as a form of subscription for guaranteed resources, reducing per-unit costs for high-volume users. This strategy leverages their existing cloud customer base and infrastructure.</w:t>
      </w:r>
      <w:r>
        <w:t xml:space="preserve"> </w:t>
      </w:r>
      <w:r>
        <w:t xml:space="preserve">*</w:t>
      </w:r>
      <w:r>
        <w:t xml:space="preserve"> </w:t>
      </w:r>
      <w:r>
        <w:rPr>
          <w:b/>
        </w:rPr>
        <w:t xml:space="preserve">Specialized AI Services:</w:t>
      </w:r>
      <w:r>
        <w:t xml:space="preserve"> </w:t>
      </w:r>
      <w:r>
        <w:t xml:space="preserve">Many smaller companies offer highly specialized AI services, such as AI-powered image editing, code generation, or translation APIs. These often employ:</w:t>
      </w:r>
      <w:r>
        <w:t xml:space="preserve"> </w:t>
      </w:r>
      <w:r>
        <w:t xml:space="preserve">*</w:t>
      </w:r>
      <w:r>
        <w:t xml:space="preserve"> </w:t>
      </w:r>
      <w:r>
        <w:rPr>
          <w:b/>
        </w:rPr>
        <w:t xml:space="preserve">Credit-based models:</w:t>
      </w:r>
      <w:r>
        <w:t xml:space="preserve"> </w:t>
      </w:r>
      <w:r>
        <w:t xml:space="preserve">Users purchase credits which are then consumed based on usage (e.g., Midjourney’s image generation credits). This is a variant of usage-based pricing with an upfront purchase component.</w:t>
      </w:r>
      <w:r>
        <w:t xml:space="preserve"> </w:t>
      </w:r>
      <w:r>
        <w:t xml:space="preserve">*</w:t>
      </w:r>
      <w:r>
        <w:t xml:space="preserve"> </w:t>
      </w:r>
      <w:r>
        <w:rPr>
          <w:b/>
        </w:rPr>
        <w:t xml:space="preserve">Tiered subscriptions:</w:t>
      </w:r>
      <w:r>
        <w:t xml:space="preserve"> </w:t>
      </w:r>
      <w:r>
        <w:t xml:space="preserve">Offering different levels of features or usage allowances (e.g., grammar checkers, AI writing assistants).</w:t>
      </w:r>
      <w:r>
        <w:t xml:space="preserve"> </w:t>
      </w:r>
      <w:r>
        <w:t xml:space="preserve">*</w:t>
      </w:r>
      <w:r>
        <w:t xml:space="preserve"> </w:t>
      </w:r>
      <w:r>
        <w:rPr>
          <w:b/>
        </w:rPr>
        <w:t xml:space="preserve">Value-based contracts:</w:t>
      </w:r>
      <w:r>
        <w:t xml:space="preserve"> </w:t>
      </w:r>
      <w:r>
        <w:t xml:space="preserve">For highly customized B2B solutions in specific verticals like healthcare (Pendyala, 2024) or legal tech, where the AI delivers clear, measurable ROI.</w:t>
      </w:r>
    </w:p>
    <w:p>
      <w:pPr>
        <w:pStyle w:val="BodyText"/>
      </w:pPr>
      <w:r>
        <w:t xml:space="preserve">These examples demonstrate that there is no single</w:t>
      </w:r>
      <w:r>
        <w:t xml:space="preserve"> </w:t>
      </w:r>
      <w:r>
        <w:t xml:space="preserve">“</w:t>
      </w:r>
      <w:r>
        <w:t xml:space="preserve">best</w:t>
      </w:r>
      <w:r>
        <w:t xml:space="preserve">”</w:t>
      </w:r>
      <w:r>
        <w:t xml:space="preserve"> </w:t>
      </w:r>
      <w:r>
        <w:t xml:space="preserve">pricing model for AI services. Instead, successful providers strategically combine elements from various models, adapting them to the specific AI capability, target audience, and competitive environment. The trend is towards flexibility, offering options that range from free experimentation to enterprise-grade, custom solutions.</w:t>
      </w:r>
    </w:p>
    <w:p>
      <w:pPr>
        <w:pStyle w:val="Heading3"/>
      </w:pPr>
      <w:bookmarkStart w:id="67" w:name="X61d7a9ff1ab69be464f7dd4db7489efb95dd742"/>
      <w:r>
        <w:t xml:space="preserve">Key Metrics for Evaluating AI Pricing Model Performance</w:t>
      </w:r>
      <w:bookmarkEnd w:id="67"/>
    </w:p>
    <w:p>
      <w:pPr>
        <w:pStyle w:val="FirstParagraph"/>
      </w:pPr>
      <w:r>
        <w:t xml:space="preserve">Choosing an effective AI pricing model requires careful consideration of various performance metrics beyond just revenue. Table 2 outlines critical indicators that providers and consumers should evaluate to ensure a balanced and sustainable approach to AI service monetization.</w:t>
      </w:r>
    </w:p>
    <w:p>
      <w:pPr>
        <w:pStyle w:val="BodyText"/>
      </w:pPr>
      <w:r>
        <w:rPr>
          <w:b/>
        </w:rPr>
        <w:t xml:space="preserve">Table 2: Key Metrics for Evaluating AI Pricing Model Performance</w:t>
      </w:r>
    </w:p>
    <w:tbl>
      <w:tblPr>
        <w:tblStyle w:val="Table"/>
        <w:tblW w:type="pct" w:w="5000.0"/>
        <w:tblLook w:firstRow="1"/>
      </w:tblPr>
      <w:tblGrid>
        <w:gridCol w:w="1071"/>
        <w:gridCol w:w="1836"/>
        <w:gridCol w:w="1492"/>
        <w:gridCol w:w="1415"/>
        <w:gridCol w:w="2104"/>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Description</w:t>
            </w:r>
          </w:p>
        </w:tc>
        <w:tc>
          <w:tcPr>
            <w:tcBorders>
              <w:bottom w:val="single"/>
            </w:tcBorders>
            <w:vAlign w:val="bottom"/>
          </w:tcPr>
          <w:p>
            <w:pPr>
              <w:pStyle w:val="Compact"/>
              <w:jc w:val="left"/>
            </w:pPr>
            <w:r>
              <w:t xml:space="preserve">Provider Focus</w:t>
            </w:r>
          </w:p>
        </w:tc>
        <w:tc>
          <w:tcPr>
            <w:tcBorders>
              <w:bottom w:val="single"/>
            </w:tcBorders>
            <w:vAlign w:val="bottom"/>
          </w:tcPr>
          <w:p>
            <w:pPr>
              <w:pStyle w:val="Compact"/>
              <w:jc w:val="left"/>
            </w:pPr>
            <w:r>
              <w:t xml:space="preserve">Consumer Focus</w:t>
            </w:r>
          </w:p>
        </w:tc>
        <w:tc>
          <w:tcPr>
            <w:tcBorders>
              <w:bottom w:val="single"/>
            </w:tcBorders>
            <w:vAlign w:val="bottom"/>
          </w:tcPr>
          <w:p>
            <w:pPr>
              <w:pStyle w:val="Compact"/>
              <w:jc w:val="left"/>
            </w:pPr>
            <w:r>
              <w:t xml:space="preserve">Impact/Significance</w:t>
            </w:r>
          </w:p>
        </w:tc>
      </w:tr>
      <w:tr>
        <w:tc>
          <w:p>
            <w:pPr>
              <w:pStyle w:val="Compact"/>
              <w:jc w:val="left"/>
            </w:pPr>
            <w:r>
              <w:rPr>
                <w:b/>
              </w:rPr>
              <w:t xml:space="preserve">Revenue Growth</w:t>
            </w:r>
          </w:p>
        </w:tc>
        <w:tc>
          <w:p>
            <w:pPr>
              <w:pStyle w:val="Compact"/>
              <w:jc w:val="left"/>
            </w:pPr>
            <w:r>
              <w:t xml:space="preserve">Increase in income from AI service sales.</w:t>
            </w:r>
          </w:p>
        </w:tc>
        <w:tc>
          <w:p>
            <w:pPr>
              <w:pStyle w:val="Compact"/>
              <w:jc w:val="left"/>
            </w:pPr>
            <w:r>
              <w:t xml:space="preserve">Maximization, market share</w:t>
            </w:r>
          </w:p>
        </w:tc>
        <w:tc>
          <w:p>
            <w:pPr>
              <w:pStyle w:val="Compact"/>
              <w:jc w:val="left"/>
            </w:pPr>
            <w:r>
              <w:t xml:space="preserve">Cost-effectiveness of solution</w:t>
            </w:r>
          </w:p>
        </w:tc>
        <w:tc>
          <w:p>
            <w:pPr>
              <w:pStyle w:val="Compact"/>
              <w:jc w:val="left"/>
            </w:pPr>
            <w:r>
              <w:t xml:space="preserve">Direct measure of financial success.</w:t>
            </w:r>
          </w:p>
        </w:tc>
      </w:tr>
      <w:tr>
        <w:tc>
          <w:p>
            <w:pPr>
              <w:pStyle w:val="Compact"/>
              <w:jc w:val="left"/>
            </w:pPr>
            <w:r>
              <w:rPr>
                <w:b/>
              </w:rPr>
              <w:t xml:space="preserve">Profit Margin</w:t>
            </w:r>
          </w:p>
        </w:tc>
        <w:tc>
          <w:p>
            <w:pPr>
              <w:pStyle w:val="Compact"/>
              <w:jc w:val="left"/>
            </w:pPr>
            <w:r>
              <w:t xml:space="preserve">% of revenue remaining after costs.</w:t>
            </w:r>
          </w:p>
        </w:tc>
        <w:tc>
          <w:p>
            <w:pPr>
              <w:pStyle w:val="Compact"/>
              <w:jc w:val="left"/>
            </w:pPr>
            <w:r>
              <w:t xml:space="preserve">Efficiency, sustainability</w:t>
            </w:r>
          </w:p>
        </w:tc>
        <w:tc>
          <w:p>
            <w:pPr>
              <w:pStyle w:val="Compact"/>
              <w:jc w:val="left"/>
            </w:pPr>
            <w:r>
              <w:t xml:space="preserve">Value for money</w:t>
            </w:r>
          </w:p>
        </w:tc>
        <w:tc>
          <w:p>
            <w:pPr>
              <w:pStyle w:val="Compact"/>
              <w:jc w:val="left"/>
            </w:pPr>
            <w:r>
              <w:t xml:space="preserve">Long-term viability &amp; reinvestment.</w:t>
            </w:r>
          </w:p>
        </w:tc>
      </w:tr>
      <w:tr>
        <w:tc>
          <w:p>
            <w:pPr>
              <w:pStyle w:val="Compact"/>
              <w:jc w:val="left"/>
            </w:pPr>
            <w:r>
              <w:rPr>
                <w:b/>
              </w:rPr>
              <w:t xml:space="preserve">Customer Acquisition Cost</w:t>
            </w:r>
          </w:p>
        </w:tc>
        <w:tc>
          <w:p>
            <w:pPr>
              <w:pStyle w:val="Compact"/>
              <w:jc w:val="left"/>
            </w:pPr>
            <w:r>
              <w:t xml:space="preserve">Cost to acquire a new paying customer.</w:t>
            </w:r>
          </w:p>
        </w:tc>
        <w:tc>
          <w:p>
            <w:pPr>
              <w:pStyle w:val="Compact"/>
              <w:jc w:val="left"/>
            </w:pPr>
            <w:r>
              <w:t xml:space="preserve">Sales efficiency, marketing ROI</w:t>
            </w:r>
          </w:p>
        </w:tc>
        <w:tc>
          <w:p>
            <w:pPr>
              <w:pStyle w:val="Compact"/>
              <w:jc w:val="left"/>
            </w:pPr>
            <w:r>
              <w:t xml:space="preserve">Initial investment barrier</w:t>
            </w:r>
          </w:p>
        </w:tc>
        <w:tc>
          <w:p>
            <w:pPr>
              <w:pStyle w:val="Compact"/>
              <w:jc w:val="left"/>
            </w:pPr>
            <w:r>
              <w:t xml:space="preserve">Indicates market penetration efficiency.</w:t>
            </w:r>
          </w:p>
        </w:tc>
      </w:tr>
      <w:tr>
        <w:tc>
          <w:p>
            <w:pPr>
              <w:pStyle w:val="Compact"/>
              <w:jc w:val="left"/>
            </w:pPr>
            <w:r>
              <w:rPr>
                <w:b/>
              </w:rPr>
              <w:t xml:space="preserve">Customer Retention Rate</w:t>
            </w:r>
          </w:p>
        </w:tc>
        <w:tc>
          <w:p>
            <w:pPr>
              <w:pStyle w:val="Compact"/>
              <w:jc w:val="left"/>
            </w:pPr>
            <w:r>
              <w:t xml:space="preserve">% of customers retained over time.</w:t>
            </w:r>
          </w:p>
        </w:tc>
        <w:tc>
          <w:p>
            <w:pPr>
              <w:pStyle w:val="Compact"/>
              <w:jc w:val="left"/>
            </w:pPr>
            <w:r>
              <w:t xml:space="preserve">Loyalty, product value</w:t>
            </w:r>
          </w:p>
        </w:tc>
        <w:tc>
          <w:p>
            <w:pPr>
              <w:pStyle w:val="Compact"/>
              <w:jc w:val="left"/>
            </w:pPr>
            <w:r>
              <w:t xml:space="preserve">Satisfaction, ongoing value</w:t>
            </w:r>
          </w:p>
        </w:tc>
        <w:tc>
          <w:p>
            <w:pPr>
              <w:pStyle w:val="Compact"/>
              <w:jc w:val="left"/>
            </w:pPr>
            <w:r>
              <w:t xml:space="preserve">Predicts long-term customer lifetime value.</w:t>
            </w:r>
          </w:p>
        </w:tc>
      </w:tr>
      <w:tr>
        <w:tc>
          <w:p>
            <w:pPr>
              <w:pStyle w:val="Compact"/>
              <w:jc w:val="left"/>
            </w:pPr>
            <w:r>
              <w:rPr>
                <w:b/>
              </w:rPr>
              <w:t xml:space="preserve">Cost Predictability</w:t>
            </w:r>
          </w:p>
        </w:tc>
        <w:tc>
          <w:p>
            <w:pPr>
              <w:pStyle w:val="Compact"/>
              <w:jc w:val="left"/>
            </w:pPr>
            <w:r>
              <w:t xml:space="preserve">Ease of forecasting future AI service costs.</w:t>
            </w:r>
          </w:p>
        </w:tc>
        <w:tc>
          <w:p>
            <w:pPr>
              <w:pStyle w:val="Compact"/>
              <w:jc w:val="left"/>
            </w:pPr>
            <w:r>
              <w:t xml:space="preserve">Billing complexity, resource planning</w:t>
            </w:r>
          </w:p>
        </w:tc>
        <w:tc>
          <w:p>
            <w:pPr>
              <w:pStyle w:val="Compact"/>
              <w:jc w:val="left"/>
            </w:pPr>
            <w:r>
              <w:t xml:space="preserve">Budgeting, financial planning</w:t>
            </w:r>
          </w:p>
        </w:tc>
        <w:tc>
          <w:p>
            <w:pPr>
              <w:pStyle w:val="Compact"/>
              <w:jc w:val="left"/>
            </w:pPr>
            <w:r>
              <w:t xml:space="preserve">Crucial for enterprise adoption &amp; integration.</w:t>
            </w:r>
          </w:p>
        </w:tc>
      </w:tr>
      <w:tr>
        <w:tc>
          <w:p>
            <w:pPr>
              <w:pStyle w:val="Compact"/>
              <w:jc w:val="left"/>
            </w:pPr>
            <w:r>
              <w:rPr>
                <w:b/>
              </w:rPr>
              <w:t xml:space="preserve">Value Realization Rate</w:t>
            </w:r>
          </w:p>
        </w:tc>
        <w:tc>
          <w:p>
            <w:pPr>
              <w:pStyle w:val="Compact"/>
              <w:jc w:val="left"/>
            </w:pPr>
            <w:r>
              <w:t xml:space="preserve">% of perceived vs. actual value delivered.</w:t>
            </w:r>
          </w:p>
        </w:tc>
        <w:tc>
          <w:p>
            <w:pPr>
              <w:pStyle w:val="Compact"/>
              <w:jc w:val="left"/>
            </w:pPr>
            <w:r>
              <w:t xml:space="preserve">Efficacy, solution impact</w:t>
            </w:r>
          </w:p>
        </w:tc>
        <w:tc>
          <w:p>
            <w:pPr>
              <w:pStyle w:val="Compact"/>
              <w:jc w:val="left"/>
            </w:pPr>
            <w:r>
              <w:t xml:space="preserve">ROI, problem-solving effectiveness</w:t>
            </w:r>
          </w:p>
        </w:tc>
        <w:tc>
          <w:p>
            <w:pPr>
              <w:pStyle w:val="Compact"/>
              <w:jc w:val="left"/>
            </w:pPr>
            <w:r>
              <w:t xml:space="preserve">Demonstrates tangible benefits.</w:t>
            </w:r>
          </w:p>
        </w:tc>
      </w:tr>
      <w:tr>
        <w:tc>
          <w:p>
            <w:pPr>
              <w:pStyle w:val="Compact"/>
              <w:jc w:val="left"/>
            </w:pPr>
            <w:r>
              <w:rPr>
                <w:b/>
              </w:rPr>
              <w:t xml:space="preserve">Operational Efficiency</w:t>
            </w:r>
          </w:p>
        </w:tc>
        <w:tc>
          <w:p>
            <w:pPr>
              <w:pStyle w:val="Compact"/>
              <w:jc w:val="left"/>
            </w:pPr>
            <w:r>
              <w:t xml:space="preserve">Resource use per unit of AI output/value.</w:t>
            </w:r>
          </w:p>
        </w:tc>
        <w:tc>
          <w:p>
            <w:pPr>
              <w:pStyle w:val="Compact"/>
              <w:jc w:val="left"/>
            </w:pPr>
            <w:r>
              <w:t xml:space="preserve">Infrastructure cost, scalability</w:t>
            </w:r>
          </w:p>
        </w:tc>
        <w:tc>
          <w:p>
            <w:pPr>
              <w:pStyle w:val="Compact"/>
              <w:jc w:val="left"/>
            </w:pPr>
            <w:r>
              <w:t xml:space="preserve">Performance, speed</w:t>
            </w:r>
          </w:p>
        </w:tc>
        <w:tc>
          <w:p>
            <w:pPr>
              <w:pStyle w:val="Compact"/>
              <w:jc w:val="left"/>
            </w:pPr>
            <w:r>
              <w:t xml:space="preserve">Reduces provider costs, improves service quality.</w:t>
            </w:r>
          </w:p>
        </w:tc>
      </w:tr>
      <w:tr>
        <w:tc>
          <w:p>
            <w:pPr>
              <w:pStyle w:val="Compact"/>
              <w:jc w:val="left"/>
            </w:pPr>
            <w:r>
              <w:rPr>
                <w:b/>
              </w:rPr>
              <w:t xml:space="preserve">User Engagement</w:t>
            </w:r>
          </w:p>
        </w:tc>
        <w:tc>
          <w:p>
            <w:pPr>
              <w:pStyle w:val="Compact"/>
              <w:jc w:val="left"/>
            </w:pPr>
            <w:r>
              <w:t xml:space="preserve">Frequency &amp; depth of user interaction.</w:t>
            </w:r>
          </w:p>
        </w:tc>
        <w:tc>
          <w:p>
            <w:pPr>
              <w:pStyle w:val="Compact"/>
              <w:jc w:val="left"/>
            </w:pPr>
            <w:r>
              <w:t xml:space="preserve">Product stickiness, feature usage</w:t>
            </w:r>
          </w:p>
        </w:tc>
        <w:tc>
          <w:p>
            <w:pPr>
              <w:pStyle w:val="Compact"/>
              <w:jc w:val="left"/>
            </w:pPr>
            <w:r>
              <w:t xml:space="preserve">Utility, ease of use</w:t>
            </w:r>
          </w:p>
        </w:tc>
        <w:tc>
          <w:p>
            <w:pPr>
              <w:pStyle w:val="Compact"/>
              <w:jc w:val="left"/>
            </w:pPr>
            <w:r>
              <w:t xml:space="preserve">Drives adoption &amp; expands use cases.</w:t>
            </w:r>
          </w:p>
        </w:tc>
      </w:tr>
      <w:tr>
        <w:tc>
          <w:p>
            <w:pPr>
              <w:pStyle w:val="Compact"/>
              <w:jc w:val="left"/>
            </w:pPr>
            <w:r>
              <w:rPr>
                <w:b/>
              </w:rPr>
              <w:t xml:space="preserve">Ethical Fairness Index</w:t>
            </w:r>
          </w:p>
        </w:tc>
        <w:tc>
          <w:p>
            <w:pPr>
              <w:pStyle w:val="Compact"/>
              <w:jc w:val="left"/>
            </w:pPr>
            <w:r>
              <w:t xml:space="preserve">Measure of non-discriminatory pricing.</w:t>
            </w:r>
          </w:p>
        </w:tc>
        <w:tc>
          <w:p>
            <w:pPr>
              <w:pStyle w:val="Compact"/>
              <w:jc w:val="left"/>
            </w:pPr>
            <w:r>
              <w:t xml:space="preserve">Compliance, brand reputation</w:t>
            </w:r>
          </w:p>
        </w:tc>
        <w:tc>
          <w:p>
            <w:pPr>
              <w:pStyle w:val="Compact"/>
              <w:jc w:val="left"/>
            </w:pPr>
            <w:r>
              <w:t xml:space="preserve">Equity, trust</w:t>
            </w:r>
          </w:p>
        </w:tc>
        <w:tc>
          <w:p>
            <w:pPr>
              <w:pStyle w:val="Compact"/>
              <w:jc w:val="left"/>
            </w:pPr>
            <w:r>
              <w:t xml:space="preserve">Essential for long-term public acceptance &amp; trust.</w:t>
            </w:r>
          </w:p>
        </w:tc>
      </w:tr>
    </w:tbl>
    <w:p>
      <w:pPr>
        <w:pStyle w:val="BodyText"/>
      </w:pPr>
      <w:r>
        <w:rPr>
          <w:i/>
        </w:rPr>
        <w:t xml:space="preserve">Note: This table highlights the primary focus for providers and consumers for each metric, emphasizing the often-divergent perspectives in AI service evaluation.</w:t>
      </w:r>
    </w:p>
    <w:p>
      <w:pPr>
        <w:pStyle w:val="Heading3"/>
      </w:pPr>
      <w:bookmarkStart w:id="68" w:name="X8c7deded4b904522766ae54c5879e070d076702"/>
      <w:r>
        <w:t xml:space="preserve">Hybrid Pricing Approaches for AI Services</w:t>
      </w:r>
      <w:bookmarkEnd w:id="68"/>
    </w:p>
    <w:p>
      <w:pPr>
        <w:pStyle w:val="FirstParagraph"/>
      </w:pPr>
      <w:r>
        <w:t xml:space="preserve">The inherent complexities of AI services, characterized by their diverse applications, varying computational demands, and the wide spectrum of user needs, rarely allow for a simplistic, single-model pricing strategy. Consequently, hybrid pricing approaches have emerged as the dominant and most effective paradigm for monetizing AI (Saxena &amp; Singh, 2024). These models strategically combine elements from two or more basic pricing structures to mitigate individual model disadvantages, optimize revenue, and cater to a broader customer base. The goal is to strike a balance between predictability, flexibility, scalability, and value capture.</w:t>
      </w:r>
    </w:p>
    <w:p>
      <w:pPr>
        <w:pStyle w:val="BodyText"/>
      </w:pPr>
      <w:r>
        <w:rPr>
          <w:b/>
        </w:rPr>
        <w:t xml:space="preserve">Necessity and Benefits of Hybrid Models:</w:t>
      </w:r>
      <w:r>
        <w:t xml:space="preserve"> </w:t>
      </w:r>
      <w:r>
        <w:t xml:space="preserve">The necessity for hybrid models stems from several factors unique to the AI domain:</w:t>
      </w:r>
      <w:r>
        <w:t xml:space="preserve"> </w:t>
      </w:r>
      <w:r>
        <w:t xml:space="preserve">1.</w:t>
      </w:r>
      <w:r>
        <w:t xml:space="preserve"> </w:t>
      </w:r>
      <w:r>
        <w:rPr>
          <w:b/>
        </w:rPr>
        <w:t xml:space="preserve">Variable Usage Patterns:</w:t>
      </w:r>
      <w:r>
        <w:t xml:space="preserve"> </w:t>
      </w:r>
      <w:r>
        <w:t xml:space="preserve">AI services can have highly unpredictable usage, from sporadic API calls by a developer to continuous, high-volume processing by an enterprise. A pure subscription might lead to underutilization for some and overages for others, while pure usage-based can cause</w:t>
      </w:r>
      <w:r>
        <w:t xml:space="preserve"> </w:t>
      </w:r>
      <w:r>
        <w:t xml:space="preserve">“</w:t>
      </w:r>
      <w:r>
        <w:t xml:space="preserve">bill shock.</w:t>
      </w:r>
      <w:r>
        <w:t xml:space="preserve">”</w:t>
      </w:r>
      <w:r>
        <w:t xml:space="preserve"> </w:t>
      </w:r>
      <w:r>
        <w:t xml:space="preserve">2.</w:t>
      </w:r>
      <w:r>
        <w:t xml:space="preserve"> </w:t>
      </w:r>
      <w:r>
        <w:rPr>
          <w:b/>
        </w:rPr>
        <w:t xml:space="preserve">Diverse Customer Segments:</w:t>
      </w:r>
      <w:r>
        <w:t xml:space="preserve"> </w:t>
      </w:r>
      <w:r>
        <w:t xml:space="preserve">AI appeals to a wide array of users, from individual researchers and small startups with limited budgets to large corporations requiring enterprise-grade features, security, and support. A single model cannot effectively serve all these segments (Bala &amp; Carr, 2010).</w:t>
      </w:r>
      <w:r>
        <w:t xml:space="preserve"> </w:t>
      </w:r>
      <w:r>
        <w:t xml:space="preserve">3.</w:t>
      </w:r>
      <w:r>
        <w:t xml:space="preserve"> </w:t>
      </w:r>
      <w:r>
        <w:rPr>
          <w:b/>
        </w:rPr>
        <w:t xml:space="preserve">Cost Structure:</w:t>
      </w:r>
      <w:r>
        <w:t xml:space="preserve"> </w:t>
      </w:r>
      <w:r>
        <w:t xml:space="preserve">The initial high fixed costs of AI model training (Molom-Ochir &amp; Shenoy, 2021) combined with near-zero marginal costs of inference at scale often necessitate models that can recoup R&amp;D while also scaling efficiently.</w:t>
      </w:r>
      <w:r>
        <w:t xml:space="preserve"> </w:t>
      </w:r>
      <w:r>
        <w:t xml:space="preserve">4.</w:t>
      </w:r>
      <w:r>
        <w:t xml:space="preserve"> </w:t>
      </w:r>
      <w:r>
        <w:rPr>
          <w:b/>
        </w:rPr>
        <w:t xml:space="preserve">Evolving Value Proposition:</w:t>
      </w:r>
      <w:r>
        <w:t xml:space="preserve"> </w:t>
      </w:r>
      <w:r>
        <w:t xml:space="preserve">The perceived value of AI services can change as models improve, new applications emerge, and market understanding deepens. Hybrid models offer the flexibility to adapt pricing as the value proposition evolves.</w:t>
      </w:r>
      <w:r>
        <w:t xml:space="preserve"> </w:t>
      </w:r>
      <w:r>
        <w:t xml:space="preserve">5.</w:t>
      </w:r>
      <w:r>
        <w:t xml:space="preserve"> </w:t>
      </w:r>
      <w:r>
        <w:rPr>
          <w:b/>
        </w:rPr>
        <w:t xml:space="preserve">Competitive Landscape:</w:t>
      </w:r>
      <w:r>
        <w:t xml:space="preserve"> </w:t>
      </w:r>
      <w:r>
        <w:t xml:space="preserve">In a rapidly evolving and competitive market, providers need flexible pricing to differentiate their offerings and respond to competitor moves.</w:t>
      </w:r>
    </w:p>
    <w:p>
      <w:pPr>
        <w:pStyle w:val="BodyText"/>
      </w:pPr>
      <w:r>
        <w:t xml:space="preserve">The benefits of adopting hybrid pricing are substantial:</w:t>
      </w:r>
      <w:r>
        <w:t xml:space="preserve"> </w:t>
      </w:r>
      <w:r>
        <w:t xml:space="preserve">*</w:t>
      </w:r>
      <w:r>
        <w:t xml:space="preserve"> </w:t>
      </w:r>
      <w:r>
        <w:rPr>
          <w:b/>
        </w:rPr>
        <w:t xml:space="preserve">Optimized Revenue Generation:</w:t>
      </w:r>
      <w:r>
        <w:t xml:space="preserve"> </w:t>
      </w:r>
      <w:r>
        <w:t xml:space="preserve">By combining fixed and variable components, providers can capture predictable recurring revenue while also monetizing high-volume usage or premium features.</w:t>
      </w:r>
      <w:r>
        <w:t xml:space="preserve"> </w:t>
      </w:r>
      <w:r>
        <w:t xml:space="preserve">*</w:t>
      </w:r>
      <w:r>
        <w:t xml:space="preserve"> </w:t>
      </w:r>
      <w:r>
        <w:rPr>
          <w:b/>
        </w:rPr>
        <w:t xml:space="preserve">Enhanced Customer Satisfaction:</w:t>
      </w:r>
      <w:r>
        <w:t xml:space="preserve"> </w:t>
      </w:r>
      <w:r>
        <w:t xml:space="preserve">Offers greater flexibility and choice, allowing customers to select a plan that best fits their budget, usage patterns, and feature requirements. This can lead to higher perceived fairness (Bala &amp; Carr, 2010).</w:t>
      </w:r>
      <w:r>
        <w:t xml:space="preserve"> </w:t>
      </w:r>
      <w:r>
        <w:t xml:space="preserve">*</w:t>
      </w:r>
      <w:r>
        <w:t xml:space="preserve"> </w:t>
      </w:r>
      <w:r>
        <w:rPr>
          <w:b/>
        </w:rPr>
        <w:t xml:space="preserve">Reduced Risk:</w:t>
      </w:r>
      <w:r>
        <w:t xml:space="preserve"> </w:t>
      </w:r>
      <w:r>
        <w:t xml:space="preserve">Spreads risk for both provider (e.g., not solely reliant on unpredictable usage) and customer (e.g., some cost predictability).</w:t>
      </w:r>
      <w:r>
        <w:t xml:space="preserve"> </w:t>
      </w:r>
      <w:r>
        <w:t xml:space="preserve">*</w:t>
      </w:r>
      <w:r>
        <w:t xml:space="preserve"> </w:t>
      </w:r>
      <w:r>
        <w:rPr>
          <w:b/>
        </w:rPr>
        <w:t xml:space="preserve">Improved Market Penetration:</w:t>
      </w:r>
      <w:r>
        <w:t xml:space="preserve"> </w:t>
      </w:r>
      <w:r>
        <w:t xml:space="preserve">The ability to offer various entry points and upgrade paths helps attract a broader customer base, from casual users to power users (Bala &amp; Carr, 2010).</w:t>
      </w:r>
      <w:r>
        <w:t xml:space="preserve"> </w:t>
      </w:r>
      <w:r>
        <w:t xml:space="preserve">*</w:t>
      </w:r>
      <w:r>
        <w:t xml:space="preserve"> </w:t>
      </w:r>
      <w:r>
        <w:rPr>
          <w:b/>
        </w:rPr>
        <w:t xml:space="preserve">Scalability and Flexibility:</w:t>
      </w:r>
      <w:r>
        <w:t xml:space="preserve"> </w:t>
      </w:r>
      <w:r>
        <w:t xml:space="preserve">Allows the pricing to scale with both the customer’s growth and the provider’s infrastructure.</w:t>
      </w:r>
    </w:p>
    <w:p>
      <w:pPr>
        <w:pStyle w:val="BodyText"/>
      </w:pPr>
      <w:r>
        <w:rPr>
          <w:b/>
        </w:rPr>
        <w:t xml:space="preserve">Examples of Hybrid Pricing Approaches:</w:t>
      </w:r>
    </w:p>
    <w:p>
      <w:pPr>
        <w:numPr>
          <w:ilvl w:val="0"/>
          <w:numId w:val="1001"/>
        </w:numPr>
        <w:pStyle w:val="Compact"/>
      </w:pPr>
      <w:r>
        <w:rPr>
          <w:b/>
        </w:rPr>
        <w:t xml:space="preserve">Base Subscription + Usage Overage:</w:t>
      </w:r>
    </w:p>
    <w:p>
      <w:pPr>
        <w:numPr>
          <w:ilvl w:val="0"/>
          <w:numId w:val="1002"/>
        </w:numPr>
        <w:pStyle w:val="Compact"/>
      </w:pPr>
      <w:r>
        <w:rPr>
          <w:b/>
        </w:rPr>
        <w:t xml:space="preserve">Description:</w:t>
      </w:r>
      <w:r>
        <w:t xml:space="preserve"> </w:t>
      </w:r>
      <w:r>
        <w:t xml:space="preserve">This common model charges a fixed monthly or annual subscription fee that includes a certain allowance of usage (e.g., X number of API calls, Y tokens, Z compute hours). Once this allowance is exceeded, additional usage is billed at a per-unit rate.</w:t>
      </w:r>
    </w:p>
    <w:p>
      <w:pPr>
        <w:numPr>
          <w:ilvl w:val="0"/>
          <w:numId w:val="1002"/>
        </w:numPr>
        <w:pStyle w:val="Compact"/>
      </w:pPr>
      <w:r>
        <w:rPr>
          <w:b/>
        </w:rPr>
        <w:t xml:space="preserve">Application in AI:</w:t>
      </w:r>
      <w:r>
        <w:t xml:space="preserve"> </w:t>
      </w:r>
      <w:r>
        <w:t xml:space="preserve">Widely used by cloud providers and increasingly by AI API providers. For instance, a developer might pay a $50/month subscription that includes 1 million tokens, with subsequent tokens billed at $0.001 per 1,000.</w:t>
      </w:r>
    </w:p>
    <w:p>
      <w:pPr>
        <w:numPr>
          <w:ilvl w:val="0"/>
          <w:numId w:val="1002"/>
        </w:numPr>
        <w:pStyle w:val="Compact"/>
      </w:pPr>
      <w:r>
        <w:rPr>
          <w:b/>
        </w:rPr>
        <w:t xml:space="preserve">Benefits:</w:t>
      </w:r>
      <w:r>
        <w:t xml:space="preserve"> </w:t>
      </w:r>
      <w:r>
        <w:t xml:space="preserve">Offers cost predictability for users up to a certain threshold, while allowing providers to capture revenue from heavy users. It provides a clear upgrade path and encourages users to stay within their allowance or upgrade to a higher tier if their needs consistently exceed it. This model is particularly effective for balancing revenue stability with usage scalability (Bala &amp; Carr, 2010).</w:t>
      </w:r>
    </w:p>
    <w:p>
      <w:pPr>
        <w:numPr>
          <w:ilvl w:val="0"/>
          <w:numId w:val="1002"/>
        </w:numPr>
        <w:pStyle w:val="Compact"/>
      </w:pPr>
      <w:r>
        <w:rPr>
          <w:b/>
        </w:rPr>
        <w:t xml:space="preserve">Challenges:</w:t>
      </w:r>
      <w:r>
        <w:t xml:space="preserve"> </w:t>
      </w:r>
      <w:r>
        <w:t xml:space="preserve">Setting the right allowance thresholds and overage rates is critical to avoid customer frustration or under-monetization.</w:t>
      </w:r>
    </w:p>
    <w:p>
      <w:pPr>
        <w:numPr>
          <w:ilvl w:val="0"/>
          <w:numId w:val="1003"/>
        </w:numPr>
        <w:pStyle w:val="Compact"/>
      </w:pPr>
      <w:r>
        <w:rPr>
          <w:b/>
        </w:rPr>
        <w:t xml:space="preserve">Freemium + Tiered Subscription:</w:t>
      </w:r>
    </w:p>
    <w:p>
      <w:pPr>
        <w:numPr>
          <w:ilvl w:val="0"/>
          <w:numId w:val="1004"/>
        </w:numPr>
        <w:pStyle w:val="Compact"/>
      </w:pPr>
      <w:r>
        <w:rPr>
          <w:b/>
        </w:rPr>
        <w:t xml:space="preserve">Description:</w:t>
      </w:r>
      <w:r>
        <w:t xml:space="preserve"> </w:t>
      </w:r>
      <w:r>
        <w:t xml:space="preserve">Combines a free, basic tier with multiple paid subscription tiers that offer progressively more features, higher usage limits, better performance, or enhanced support.</w:t>
      </w:r>
    </w:p>
    <w:p>
      <w:pPr>
        <w:numPr>
          <w:ilvl w:val="0"/>
          <w:numId w:val="1004"/>
        </w:numPr>
        <w:pStyle w:val="Compact"/>
      </w:pPr>
      <w:r>
        <w:rPr>
          <w:b/>
        </w:rPr>
        <w:t xml:space="preserve">Application in AI:</w:t>
      </w:r>
      <w:r>
        <w:t xml:space="preserve"> </w:t>
      </w:r>
      <w:r>
        <w:t xml:space="preserve">Many AI-powered tools (e.g., writing assistants, image generators, code completion tools) adopt this. A free tier might offer limited daily usage or basic features, while</w:t>
      </w:r>
      <w:r>
        <w:t xml:space="preserve"> </w:t>
      </w:r>
      <w:r>
        <w:t xml:space="preserve">“</w:t>
      </w:r>
      <w:r>
        <w:t xml:space="preserve">Pro,</w:t>
      </w:r>
      <w:r>
        <w:t xml:space="preserve">”</w:t>
      </w:r>
      <w:r>
        <w:t xml:space="preserve"> </w:t>
      </w:r>
      <w:r>
        <w:t xml:space="preserve">“</w:t>
      </w:r>
      <w:r>
        <w:t xml:space="preserve">Business,</w:t>
      </w:r>
      <w:r>
        <w:t xml:space="preserve">”</w:t>
      </w:r>
      <w:r>
        <w:t xml:space="preserve"> </w:t>
      </w:r>
      <w:r>
        <w:t xml:space="preserve">and</w:t>
      </w:r>
      <w:r>
        <w:t xml:space="preserve"> </w:t>
      </w:r>
      <w:r>
        <w:t xml:space="preserve">“</w:t>
      </w:r>
      <w:r>
        <w:t xml:space="preserve">Enterprise</w:t>
      </w:r>
      <w:r>
        <w:t xml:space="preserve">”</w:t>
      </w:r>
      <w:r>
        <w:t xml:space="preserve"> </w:t>
      </w:r>
      <w:r>
        <w:t xml:space="preserve">tiers unlock advanced capabilities, higher quotas, and priority support.</w:t>
      </w:r>
    </w:p>
    <w:p>
      <w:pPr>
        <w:numPr>
          <w:ilvl w:val="0"/>
          <w:numId w:val="1004"/>
        </w:numPr>
        <w:pStyle w:val="Compact"/>
      </w:pPr>
      <w:r>
        <w:rPr>
          <w:b/>
        </w:rPr>
        <w:t xml:space="preserve">Benefits:</w:t>
      </w:r>
      <w:r>
        <w:t xml:space="preserve"> </w:t>
      </w:r>
      <w:r>
        <w:t xml:space="preserve">Maximizes user acquisition through the free tier, allows users to experience the product before committing, and provides clear upgrade paths for different user needs and budgets (Bala &amp; Carr, 2010). This is excellent for product-led growth.</w:t>
      </w:r>
    </w:p>
    <w:p>
      <w:pPr>
        <w:numPr>
          <w:ilvl w:val="0"/>
          <w:numId w:val="1004"/>
        </w:numPr>
        <w:pStyle w:val="Compact"/>
      </w:pPr>
      <w:r>
        <w:rPr>
          <w:b/>
        </w:rPr>
        <w:t xml:space="preserve">Challenges:</w:t>
      </w:r>
      <w:r>
        <w:t xml:space="preserve"> </w:t>
      </w:r>
      <w:r>
        <w:t xml:space="preserve">The</w:t>
      </w:r>
      <w:r>
        <w:t xml:space="preserve"> </w:t>
      </w:r>
      <w:r>
        <w:t xml:space="preserve">“</w:t>
      </w:r>
      <w:r>
        <w:t xml:space="preserve">conversion funnel</w:t>
      </w:r>
      <w:r>
        <w:t xml:space="preserve">”</w:t>
      </w:r>
      <w:r>
        <w:t xml:space="preserve"> </w:t>
      </w:r>
      <w:r>
        <w:t xml:space="preserve">from free to paid must be carefully optimized. The free tier needs to be valuable enough to attract users but limited enough to incentivize upgrades.</w:t>
      </w:r>
    </w:p>
    <w:p>
      <w:pPr>
        <w:numPr>
          <w:ilvl w:val="0"/>
          <w:numId w:val="1005"/>
        </w:numPr>
        <w:pStyle w:val="Compact"/>
      </w:pPr>
      <w:r>
        <w:rPr>
          <w:b/>
        </w:rPr>
        <w:t xml:space="preserve">Value-Based Contract + Performance-Based Bonuses:</w:t>
      </w:r>
    </w:p>
    <w:p>
      <w:pPr>
        <w:numPr>
          <w:ilvl w:val="0"/>
          <w:numId w:val="1006"/>
        </w:numPr>
        <w:pStyle w:val="Compact"/>
      </w:pPr>
      <w:r>
        <w:rPr>
          <w:b/>
        </w:rPr>
        <w:t xml:space="preserve">Description:</w:t>
      </w:r>
      <w:r>
        <w:t xml:space="preserve"> </w:t>
      </w:r>
      <w:r>
        <w:t xml:space="preserve">Primarily used for bespoke enterprise AI solutions. The core contract is based on the perceived value the AI system delivers (e.g., a fixed fee for a predictive maintenance system). Additionally, performance-based bonuses or penalties can be tied to specific, measurable outcomes (e.g., a percentage of cost savings achieved, or a bonus for exceeding a certain accuracy threshold).</w:t>
      </w:r>
    </w:p>
    <w:p>
      <w:pPr>
        <w:numPr>
          <w:ilvl w:val="0"/>
          <w:numId w:val="1006"/>
        </w:numPr>
        <w:pStyle w:val="Compact"/>
      </w:pPr>
      <w:r>
        <w:rPr>
          <w:b/>
        </w:rPr>
        <w:t xml:space="preserve">Application in AI:</w:t>
      </w:r>
      <w:r>
        <w:t xml:space="preserve"> </w:t>
      </w:r>
      <w:r>
        <w:t xml:space="preserve">Common in sectors like insurance (Bhattacharya et al., 2025), finance (Joshi, 2025), or specialized industrial AI where the ROI is directly quantifiable. For example, an AI system for fraud detection might have a base fee plus a bonus based on the amount of fraud prevented beyond a baseline.</w:t>
      </w:r>
    </w:p>
    <w:p>
      <w:pPr>
        <w:numPr>
          <w:ilvl w:val="0"/>
          <w:numId w:val="1006"/>
        </w:numPr>
        <w:pStyle w:val="Compact"/>
      </w:pPr>
      <w:r>
        <w:rPr>
          <w:b/>
        </w:rPr>
        <w:t xml:space="preserve">Benefits:</w:t>
      </w:r>
      <w:r>
        <w:t xml:space="preserve"> </w:t>
      </w:r>
      <w:r>
        <w:t xml:space="preserve">Aligns the provider’s incentives directly with the customer’s success, building trust and demonstrating tangible value (Wang et al., 2024). Allows for significant revenue capture when the AI delivers exceptional results.</w:t>
      </w:r>
    </w:p>
    <w:p>
      <w:pPr>
        <w:numPr>
          <w:ilvl w:val="0"/>
          <w:numId w:val="1006"/>
        </w:numPr>
        <w:pStyle w:val="Compact"/>
      </w:pPr>
      <w:r>
        <w:rPr>
          <w:b/>
        </w:rPr>
        <w:t xml:space="preserve">Challenges:</w:t>
      </w:r>
      <w:r>
        <w:t xml:space="preserve"> </w:t>
      </w:r>
      <w:r>
        <w:t xml:space="preserve">Requires robust metrics and clear agreements on how performance will be measured. Valuating the baseline and incremental improvements can be complex and requires deep domain expertise. Ethical considerations regarding performance metrics must also be addressed (Undheim et al., 2022).</w:t>
      </w:r>
    </w:p>
    <w:p>
      <w:pPr>
        <w:numPr>
          <w:ilvl w:val="0"/>
          <w:numId w:val="1007"/>
        </w:numPr>
        <w:pStyle w:val="Compact"/>
      </w:pPr>
      <w:r>
        <w:rPr>
          <w:b/>
        </w:rPr>
        <w:t xml:space="preserve">Tiered Access based on Features/SLAs + Usage-Based for Compute:</w:t>
      </w:r>
    </w:p>
    <w:p>
      <w:pPr>
        <w:numPr>
          <w:ilvl w:val="0"/>
          <w:numId w:val="1008"/>
        </w:numPr>
        <w:pStyle w:val="Compact"/>
      </w:pPr>
      <w:r>
        <w:rPr>
          <w:b/>
        </w:rPr>
        <w:t xml:space="preserve">Description:</w:t>
      </w:r>
      <w:r>
        <w:t xml:space="preserve"> </w:t>
      </w:r>
      <w:r>
        <w:t xml:space="preserve">Customers pay a recurring fee for access to a specific set of features, support levels, or service level agreements (SLAs). On top of this, the actual compute or token usage is billed separately.</w:t>
      </w:r>
    </w:p>
    <w:p>
      <w:pPr>
        <w:numPr>
          <w:ilvl w:val="0"/>
          <w:numId w:val="1008"/>
        </w:numPr>
        <w:pStyle w:val="Compact"/>
      </w:pPr>
      <w:r>
        <w:rPr>
          <w:b/>
        </w:rPr>
        <w:t xml:space="preserve">Application in AI:</w:t>
      </w:r>
      <w:r>
        <w:t xml:space="preserve"> </w:t>
      </w:r>
      <w:r>
        <w:t xml:space="preserve">This is prevalent in cloud AI platforms (e.g., Azure AI, AWS Bedrock, Google Vertex AI). A customer might subscribe to an</w:t>
      </w:r>
      <w:r>
        <w:t xml:space="preserve"> </w:t>
      </w:r>
      <w:r>
        <w:t xml:space="preserve">“</w:t>
      </w:r>
      <w:r>
        <w:t xml:space="preserve">Enterprise</w:t>
      </w:r>
      <w:r>
        <w:t xml:space="preserve">”</w:t>
      </w:r>
      <w:r>
        <w:t xml:space="preserve"> </w:t>
      </w:r>
      <w:r>
        <w:t xml:space="preserve">plan for managed services, advanced security, and dedicated support, but then pay per token for the LLM inference itself, or per hour for GPU compute.</w:t>
      </w:r>
    </w:p>
    <w:p>
      <w:pPr>
        <w:numPr>
          <w:ilvl w:val="0"/>
          <w:numId w:val="1008"/>
        </w:numPr>
        <w:pStyle w:val="Compact"/>
      </w:pPr>
      <w:r>
        <w:rPr>
          <w:b/>
        </w:rPr>
        <w:t xml:space="preserve">Benefits:</w:t>
      </w:r>
      <w:r>
        <w:t xml:space="preserve"> </w:t>
      </w:r>
      <w:r>
        <w:t xml:space="preserve">Provides enterprises with the high-level assurances and features they need, while also allowing them to scale their operational costs according to actual AI consumption. It separates the</w:t>
      </w:r>
      <w:r>
        <w:t xml:space="preserve"> </w:t>
      </w:r>
      <w:r>
        <w:t xml:space="preserve">“</w:t>
      </w:r>
      <w:r>
        <w:t xml:space="preserve">value-add</w:t>
      </w:r>
      <w:r>
        <w:t xml:space="preserve">”</w:t>
      </w:r>
      <w:r>
        <w:t xml:space="preserve"> </w:t>
      </w:r>
      <w:r>
        <w:t xml:space="preserve">of the platform from the raw compute cost.</w:t>
      </w:r>
    </w:p>
    <w:p>
      <w:pPr>
        <w:numPr>
          <w:ilvl w:val="0"/>
          <w:numId w:val="1008"/>
        </w:numPr>
        <w:pStyle w:val="Compact"/>
      </w:pPr>
      <w:r>
        <w:rPr>
          <w:b/>
        </w:rPr>
        <w:t xml:space="preserve">Challenges:</w:t>
      </w:r>
      <w:r>
        <w:t xml:space="preserve"> </w:t>
      </w:r>
      <w:r>
        <w:t xml:space="preserve">Can become complex to manage and understand the total cost, as it involves both fixed and variable components across different billing dimensions.</w:t>
      </w:r>
    </w:p>
    <w:p>
      <w:pPr>
        <w:pStyle w:val="FirstParagraph"/>
      </w:pPr>
      <w:r>
        <w:rPr>
          <w:b/>
        </w:rPr>
        <w:t xml:space="preserve">Challenges of Implementing and Communicating Hybrid Models:</w:t>
      </w:r>
      <w:r>
        <w:t xml:space="preserve"> </w:t>
      </w:r>
      <w:r>
        <w:t xml:space="preserve">While hybrid models offer significant advantages, their implementation and communication are not without challenges:</w:t>
      </w:r>
      <w:r>
        <w:t xml:space="preserve"> </w:t>
      </w:r>
      <w:r>
        <w:t xml:space="preserve">*</w:t>
      </w:r>
      <w:r>
        <w:t xml:space="preserve"> </w:t>
      </w:r>
      <w:r>
        <w:rPr>
          <w:b/>
        </w:rPr>
        <w:t xml:space="preserve">Complexity for Customers:</w:t>
      </w:r>
      <w:r>
        <w:t xml:space="preserve"> </w:t>
      </w:r>
      <w:r>
        <w:t xml:space="preserve">A multi-faceted pricing structure can be confusing for customers, making it difficult for them to compare offerings or estimate their true costs. Clarity in documentation and billing is paramount.</w:t>
      </w:r>
      <w:r>
        <w:t xml:space="preserve"> </w:t>
      </w:r>
      <w:r>
        <w:t xml:space="preserve">*</w:t>
      </w:r>
      <w:r>
        <w:t xml:space="preserve"> </w:t>
      </w:r>
      <w:r>
        <w:rPr>
          <w:b/>
        </w:rPr>
        <w:t xml:space="preserve">Internal Management Overhead:</w:t>
      </w:r>
      <w:r>
        <w:t xml:space="preserve"> </w:t>
      </w:r>
      <w:r>
        <w:t xml:space="preserve">Managing multiple pricing tiers, usage metrics, and billing logic requires sophisticated systems and processes.</w:t>
      </w:r>
      <w:r>
        <w:t xml:space="preserve"> </w:t>
      </w:r>
      <w:r>
        <w:t xml:space="preserve">*</w:t>
      </w:r>
      <w:r>
        <w:t xml:space="preserve"> </w:t>
      </w:r>
      <w:r>
        <w:rPr>
          <w:b/>
        </w:rPr>
        <w:t xml:space="preserve">Optimal Tier Design:</w:t>
      </w:r>
      <w:r>
        <w:t xml:space="preserve"> </w:t>
      </w:r>
      <w:r>
        <w:t xml:space="preserve">Determining the right features, usage limits, and price points for each tier is an iterative process that requires deep market research and continuous optimization. Poorly designed tiers can lead to cannibalization or customer dissatisfaction.</w:t>
      </w:r>
      <w:r>
        <w:t xml:space="preserve"> </w:t>
      </w:r>
      <w:r>
        <w:t xml:space="preserve">*</w:t>
      </w:r>
      <w:r>
        <w:t xml:space="preserve"> </w:t>
      </w:r>
      <w:r>
        <w:rPr>
          <w:b/>
        </w:rPr>
        <w:t xml:space="preserve">Avoiding</w:t>
      </w:r>
      <w:r>
        <w:rPr>
          <w:b/>
        </w:rPr>
        <w:t xml:space="preserve"> </w:t>
      </w:r>
      <w:r>
        <w:rPr>
          <w:b/>
        </w:rPr>
        <w:t xml:space="preserve">“</w:t>
      </w:r>
      <w:r>
        <w:rPr>
          <w:b/>
        </w:rPr>
        <w:t xml:space="preserve">Gotcha</w:t>
      </w:r>
      <w:r>
        <w:rPr>
          <w:b/>
        </w:rPr>
        <w:t xml:space="preserve">”</w:t>
      </w:r>
      <w:r>
        <w:rPr>
          <w:b/>
        </w:rPr>
        <w:t xml:space="preserve"> </w:t>
      </w:r>
      <w:r>
        <w:rPr>
          <w:b/>
        </w:rPr>
        <w:t xml:space="preserve">Moments:</w:t>
      </w:r>
      <w:r>
        <w:t xml:space="preserve"> </w:t>
      </w:r>
      <w:r>
        <w:t xml:space="preserve">Unexpected charges due to complex overage rules or unclear pricing can erode customer trust. Transparency about how costs accrue is essential (Bala &amp; Carr, 2010).</w:t>
      </w:r>
      <w:r>
        <w:t xml:space="preserve"> </w:t>
      </w:r>
      <w:r>
        <w:t xml:space="preserve">*</w:t>
      </w:r>
      <w:r>
        <w:t xml:space="preserve"> </w:t>
      </w:r>
      <w:r>
        <w:rPr>
          <w:b/>
        </w:rPr>
        <w:t xml:space="preserve">Adapting to Evolving AI Capabilities:</w:t>
      </w:r>
      <w:r>
        <w:t xml:space="preserve"> </w:t>
      </w:r>
      <w:r>
        <w:t xml:space="preserve">As AI models rapidly advance, new features and efficiencies emerge. Hybrid models need to be flexible enough to incorporate these changes without constant, disruptive revisions to the pricing structure.</w:t>
      </w:r>
    </w:p>
    <w:p>
      <w:pPr>
        <w:pStyle w:val="BodyText"/>
      </w:pPr>
      <w:r>
        <w:t xml:space="preserve">The evolution of AI service pricing clearly indicates a move away from monolithic pricing strategies towards more nuanced, hybrid models. These approaches are designed to navigate the unique economic characteristics of AI, balancing the need for provider sustainability with customer flexibility and value realization. As AI continues to permeate various industries and use cases (Leela.Vemula et al., 2025)(Zheng et al., 2025), the sophistication of these hybrid models will undoubtedly continue to grow, playing a critical role in the broader adoption and commercial success of AI technologies. The strategic design of these models will also need to consider the ethical dimensions of pricing, ensuring fair access and avoiding discriminatory practices, especially as AI becomes more integral to societal infrastructure (Senyapar et al., 2025).</w:t>
      </w:r>
    </w:p>
    <w:p>
      <w:pPr>
        <w:pStyle w:val="Heading3"/>
      </w:pPr>
      <w:bookmarkStart w:id="69" w:name="X58b2c07b634e3b0fd893e05296ff19761e0b4a4"/>
      <w:r>
        <w:t xml:space="preserve">Hybrid Pricing Model Combinations and their Benefits</w:t>
      </w:r>
      <w:bookmarkEnd w:id="69"/>
    </w:p>
    <w:p>
      <w:pPr>
        <w:pStyle w:val="FirstParagraph"/>
      </w:pPr>
      <w:r>
        <w:t xml:space="preserve">Hybrid pricing models are essential for addressing the diverse needs of the AI market. Table 3 illustrates common combinations of basic pricing models and the specific benefits they offer.</w:t>
      </w:r>
    </w:p>
    <w:p>
      <w:pPr>
        <w:pStyle w:val="BodyText"/>
      </w:pPr>
      <w:r>
        <w:rPr>
          <w:b/>
        </w:rPr>
        <w:t xml:space="preserve">Table 3: Common Hybrid Pricing Model Combinations and their Benefits</w:t>
      </w:r>
    </w:p>
    <w:tbl>
      <w:tblPr>
        <w:tblStyle w:val="Table"/>
        <w:tblW w:type="pct" w:w="5000.0"/>
        <w:tblLook w:firstRow="1"/>
      </w:tblPr>
      <w:tblGrid>
        <w:gridCol w:w="1221"/>
        <w:gridCol w:w="1930"/>
        <w:gridCol w:w="1300"/>
        <w:gridCol w:w="1300"/>
        <w:gridCol w:w="2167"/>
      </w:tblGrid>
      <w:tr>
        <w:trPr>
          <w:cnfStyle w:firstRow="1"/>
        </w:trPr>
        <w:tc>
          <w:tcPr>
            <w:tcBorders>
              <w:bottom w:val="single"/>
            </w:tcBorders>
            <w:vAlign w:val="bottom"/>
          </w:tcPr>
          <w:p>
            <w:pPr>
              <w:pStyle w:val="Compact"/>
              <w:jc w:val="left"/>
            </w:pPr>
            <w:r>
              <w:t xml:space="preserve">Hybrid Model Combination</w:t>
            </w:r>
          </w:p>
        </w:tc>
        <w:tc>
          <w:tcPr>
            <w:tcBorders>
              <w:bottom w:val="single"/>
            </w:tcBorders>
            <w:vAlign w:val="bottom"/>
          </w:tcPr>
          <w:p>
            <w:pPr>
              <w:pStyle w:val="Compact"/>
              <w:jc w:val="left"/>
            </w:pPr>
            <w:r>
              <w:t xml:space="preserve">Description</w:t>
            </w:r>
          </w:p>
        </w:tc>
        <w:tc>
          <w:tcPr>
            <w:tcBorders>
              <w:bottom w:val="single"/>
            </w:tcBorders>
            <w:vAlign w:val="bottom"/>
          </w:tcPr>
          <w:p>
            <w:pPr>
              <w:pStyle w:val="Compact"/>
              <w:jc w:val="left"/>
            </w:pPr>
            <w:r>
              <w:t xml:space="preserve">Primary Benefit for Provider</w:t>
            </w:r>
          </w:p>
        </w:tc>
        <w:tc>
          <w:tcPr>
            <w:tcBorders>
              <w:bottom w:val="single"/>
            </w:tcBorders>
            <w:vAlign w:val="bottom"/>
          </w:tcPr>
          <w:p>
            <w:pPr>
              <w:pStyle w:val="Compact"/>
              <w:jc w:val="left"/>
            </w:pPr>
            <w:r>
              <w:t xml:space="preserve">Primary Benefit for Customer</w:t>
            </w:r>
          </w:p>
        </w:tc>
        <w:tc>
          <w:tcPr>
            <w:tcBorders>
              <w:bottom w:val="single"/>
            </w:tcBorders>
            <w:vAlign w:val="bottom"/>
          </w:tcPr>
          <w:p>
            <w:pPr>
              <w:pStyle w:val="Compact"/>
              <w:jc w:val="left"/>
            </w:pPr>
            <w:r>
              <w:t xml:space="preserve">Key Use Case in AI</w:t>
            </w:r>
          </w:p>
        </w:tc>
      </w:tr>
      <w:tr>
        <w:tc>
          <w:p>
            <w:pPr>
              <w:pStyle w:val="Compact"/>
              <w:jc w:val="left"/>
            </w:pPr>
            <w:r>
              <w:rPr>
                <w:b/>
              </w:rPr>
              <w:t xml:space="preserve">Subscription + Overage</w:t>
            </w:r>
          </w:p>
        </w:tc>
        <w:tc>
          <w:p>
            <w:pPr>
              <w:pStyle w:val="Compact"/>
              <w:jc w:val="left"/>
            </w:pPr>
            <w:r>
              <w:t xml:space="preserve">Fixed fee for base usage, then per-unit billing.</w:t>
            </w:r>
          </w:p>
        </w:tc>
        <w:tc>
          <w:p>
            <w:pPr>
              <w:pStyle w:val="Compact"/>
              <w:jc w:val="left"/>
            </w:pPr>
            <w:r>
              <w:t xml:space="preserve">Predictable base revenue</w:t>
            </w:r>
          </w:p>
        </w:tc>
        <w:tc>
          <w:p>
            <w:pPr>
              <w:pStyle w:val="Compact"/>
              <w:jc w:val="left"/>
            </w:pPr>
            <w:r>
              <w:t xml:space="preserve">Cost certainty (up to limit)</w:t>
            </w:r>
          </w:p>
        </w:tc>
        <w:tc>
          <w:p>
            <w:pPr>
              <w:pStyle w:val="Compact"/>
              <w:jc w:val="left"/>
            </w:pPr>
            <w:r>
              <w:t xml:space="preserve">Cloud AI APIs, LLM access for developers.</w:t>
            </w:r>
          </w:p>
        </w:tc>
      </w:tr>
      <w:tr>
        <w:tc>
          <w:p>
            <w:pPr>
              <w:pStyle w:val="Compact"/>
              <w:jc w:val="left"/>
            </w:pPr>
            <w:r>
              <w:rPr>
                <w:b/>
              </w:rPr>
              <w:t xml:space="preserve">Freemium + Tiered Subs.</w:t>
            </w:r>
          </w:p>
        </w:tc>
        <w:tc>
          <w:p>
            <w:pPr>
              <w:pStyle w:val="Compact"/>
              <w:jc w:val="left"/>
            </w:pPr>
            <w:r>
              <w:t xml:space="preserve">Free basic access, escalating features/limits.</w:t>
            </w:r>
          </w:p>
        </w:tc>
        <w:tc>
          <w:p>
            <w:pPr>
              <w:pStyle w:val="Compact"/>
              <w:jc w:val="left"/>
            </w:pPr>
            <w:r>
              <w:t xml:space="preserve">High user acquisition</w:t>
            </w:r>
          </w:p>
        </w:tc>
        <w:tc>
          <w:p>
            <w:pPr>
              <w:pStyle w:val="Compact"/>
              <w:jc w:val="left"/>
            </w:pPr>
            <w:r>
              <w:t xml:space="preserve">Low entry barrier, try before buy</w:t>
            </w:r>
          </w:p>
        </w:tc>
        <w:tc>
          <w:p>
            <w:pPr>
              <w:pStyle w:val="Compact"/>
              <w:jc w:val="left"/>
            </w:pPr>
            <w:r>
              <w:t xml:space="preserve">AI writing tools, image generators.</w:t>
            </w:r>
          </w:p>
        </w:tc>
      </w:tr>
      <w:tr>
        <w:tc>
          <w:p>
            <w:pPr>
              <w:pStyle w:val="Compact"/>
              <w:jc w:val="left"/>
            </w:pPr>
            <w:r>
              <w:rPr>
                <w:b/>
              </w:rPr>
              <w:t xml:space="preserve">Value-Based + Performance</w:t>
            </w:r>
          </w:p>
        </w:tc>
        <w:tc>
          <w:p>
            <w:pPr>
              <w:pStyle w:val="Compact"/>
              <w:jc w:val="left"/>
            </w:pPr>
            <w:r>
              <w:t xml:space="preserve">Fixed fee based on ROI, plus bonuses for results.</w:t>
            </w:r>
          </w:p>
        </w:tc>
        <w:tc>
          <w:p>
            <w:pPr>
              <w:pStyle w:val="Compact"/>
              <w:jc w:val="left"/>
            </w:pPr>
            <w:r>
              <w:t xml:space="preserve">Aligned incentives, high revenue</w:t>
            </w:r>
          </w:p>
        </w:tc>
        <w:tc>
          <w:p>
            <w:pPr>
              <w:pStyle w:val="Compact"/>
              <w:jc w:val="left"/>
            </w:pPr>
            <w:r>
              <w:t xml:space="preserve">ROI guarantee, measurable impact</w:t>
            </w:r>
          </w:p>
        </w:tc>
        <w:tc>
          <w:p>
            <w:pPr>
              <w:pStyle w:val="Compact"/>
              <w:jc w:val="left"/>
            </w:pPr>
            <w:r>
              <w:t xml:space="preserve">Enterprise AI solutions (e.g., fraud detection).</w:t>
            </w:r>
          </w:p>
        </w:tc>
      </w:tr>
      <w:tr>
        <w:tc>
          <w:p>
            <w:pPr>
              <w:pStyle w:val="Compact"/>
              <w:jc w:val="left"/>
            </w:pPr>
            <w:r>
              <w:rPr>
                <w:b/>
              </w:rPr>
              <w:t xml:space="preserve">Tiered Features + Usage</w:t>
            </w:r>
          </w:p>
        </w:tc>
        <w:tc>
          <w:p>
            <w:pPr>
              <w:pStyle w:val="Compact"/>
              <w:jc w:val="left"/>
            </w:pPr>
            <w:r>
              <w:t xml:space="preserve">Fixed fee for feature set, usage for compute.</w:t>
            </w:r>
          </w:p>
        </w:tc>
        <w:tc>
          <w:p>
            <w:pPr>
              <w:pStyle w:val="Compact"/>
              <w:jc w:val="left"/>
            </w:pPr>
            <w:r>
              <w:t xml:space="preserve">Segmented revenue, platform value</w:t>
            </w:r>
          </w:p>
        </w:tc>
        <w:tc>
          <w:p>
            <w:pPr>
              <w:pStyle w:val="Compact"/>
              <w:jc w:val="left"/>
            </w:pPr>
            <w:r>
              <w:t xml:space="preserve">Feature access, scalable compute</w:t>
            </w:r>
          </w:p>
        </w:tc>
        <w:tc>
          <w:p>
            <w:pPr>
              <w:pStyle w:val="Compact"/>
              <w:jc w:val="left"/>
            </w:pPr>
            <w:r>
              <w:t xml:space="preserve">Managed AI platforms (e.g., Vertex AI).</w:t>
            </w:r>
          </w:p>
        </w:tc>
      </w:tr>
      <w:tr>
        <w:tc>
          <w:p>
            <w:pPr>
              <w:pStyle w:val="Compact"/>
              <w:jc w:val="left"/>
            </w:pPr>
            <w:r>
              <w:rPr>
                <w:b/>
              </w:rPr>
              <w:t xml:space="preserve">Credit-Based + Subscription</w:t>
            </w:r>
          </w:p>
        </w:tc>
        <w:tc>
          <w:p>
            <w:pPr>
              <w:pStyle w:val="Compact"/>
              <w:jc w:val="left"/>
            </w:pPr>
            <w:r>
              <w:t xml:space="preserve">Purchase credits or subscribe for credit allowance.</w:t>
            </w:r>
          </w:p>
        </w:tc>
        <w:tc>
          <w:p>
            <w:pPr>
              <w:pStyle w:val="Compact"/>
              <w:jc w:val="left"/>
            </w:pPr>
            <w:r>
              <w:t xml:space="preserve">Flexible revenue, pre-payment</w:t>
            </w:r>
          </w:p>
        </w:tc>
        <w:tc>
          <w:p>
            <w:pPr>
              <w:pStyle w:val="Compact"/>
              <w:jc w:val="left"/>
            </w:pPr>
            <w:r>
              <w:t xml:space="preserve">Usage control, budget mgmt.</w:t>
            </w:r>
          </w:p>
        </w:tc>
        <w:tc>
          <w:p>
            <w:pPr>
              <w:pStyle w:val="Compact"/>
              <w:jc w:val="left"/>
            </w:pPr>
            <w:r>
              <w:t xml:space="preserve">Specialized AI services (e.g., Midjourney).</w:t>
            </w:r>
          </w:p>
        </w:tc>
      </w:tr>
    </w:tbl>
    <w:p>
      <w:pPr>
        <w:pStyle w:val="BodyText"/>
      </w:pPr>
      <w:r>
        <w:rPr>
          <w:i/>
        </w:rPr>
        <w:t xml:space="preserve">Note: Hybrid models aim to combine the strengths of individual pricing strategies while mitigating their weaknesses, offering tailored solutions for diverse AI applications and user segments.</w:t>
      </w:r>
    </w:p>
    <w:p>
      <w:r>
        <w:pict>
          <v:rect style="width:0;height:1.5pt" o:hralign="center" o:hrstd="t" o:hr="t"/>
        </w:pict>
      </w:r>
    </w:p>
    <w:p>
      <w:pPr>
        <w:pStyle w:val="Heading1"/>
      </w:pPr>
      <w:bookmarkStart w:id="70" w:name="discussion"/>
      <w:r>
        <w:t xml:space="preserve">Discussion</w:t>
      </w:r>
      <w:bookmarkEnd w:id="70"/>
    </w:p>
    <w:p>
      <w:pPr>
        <w:pStyle w:val="FirstParagraph"/>
      </w:pPr>
      <w:r>
        <w:t xml:space="preserve">The preceding analysis underscores the profound and multifaceted impact of artificial intelligence (AI) on economic structures, business models, and societal interactions. This discussion synthesizes these findings, interpreting their broader implications for AI companies, elucidating critical considerations for customer adoption, projecting future pricing trends, and offering actionable recommendations for stakeholders across the AI ecosystem. The insights derived from this theoretical framework, supported by various case studies and contemporary research, reveal a dynamic landscape where AI is not merely an incremental technological advancement but a fundamental transformative force reshaping the very foundations of commerce and innovation.</w:t>
      </w:r>
    </w:p>
    <w:p>
      <w:pPr>
        <w:pStyle w:val="Heading3"/>
      </w:pPr>
      <w:bookmarkStart w:id="71" w:name="implications-for-ai-companies"/>
      <w:r>
        <w:t xml:space="preserve">Implications for AI Companies</w:t>
      </w:r>
      <w:bookmarkEnd w:id="71"/>
    </w:p>
    <w:p>
      <w:pPr>
        <w:pStyle w:val="FirstParagraph"/>
      </w:pPr>
      <w:r>
        <w:t xml:space="preserve">The burgeoning era of AI presents both unparalleled opportunities and significant strategic imperatives for companies operating in or leveraging artificial intelligence. At its core, the rise of sophisticated AI, particularly agentic systems (Ranjan et al., 2025), necessitates a fundamental recalibration of business strategies, moving beyond traditional software development paradigms. AI companies must increasingly pivot towards architecting systems that are not just intelligent but also autonomous, adaptive, and capable of complex decision-making, which demands a robust and well-architected framework (Ranjan et al., 2025). This shift implies a greater emphasis on system reliability, scalability, and ethical integration from the initial design phases.</w:t>
      </w:r>
    </w:p>
    <w:p>
      <w:pPr>
        <w:pStyle w:val="BodyText"/>
      </w:pPr>
      <w:r>
        <w:t xml:space="preserve">The competitive landscape is being fundamentally reshaped by AI’s capabilities. Dynamic pricing models, powered by AI, are emerging as a critical differentiator, allowing companies to optimize revenue and market share by responding in real-time to demand fluctuations, competitor strategies, and individual customer profiles (Senyapar et al., 2025). This requires sophisticated data analytics infrastructures and algorithms capable of processing vast amounts of information to inform pricing decisions. Furthermore, the development of personalized services, tailored to individual user preferences and behaviors (Widono et al., 2024), is becoming a cornerstone of customer engagement and loyalty. Companies that can effectively leverage AI to offer hyper-personalized experiences across various touchpoints—from product recommendations in e-commerce (Paul, 2023)(Hossen, 2024) to customized financial advice (Joshi, 2025) or even hotel gastronomy (Milton &amp; Dean, 2024)—will gain a substantial competitive advantage. This level of personalization extends beyond mere customization; it involves anticipating user needs and proactively offering solutions, fostering a deeper, more symbiotic relationship between the service provider and the consumer (Zheng et al., 2025).</w:t>
      </w:r>
    </w:p>
    <w:p>
      <w:pPr>
        <w:pStyle w:val="BodyText"/>
      </w:pPr>
      <w:r>
        <w:t xml:space="preserve">Investment in research and development (R&amp;D) remains paramount. The rapid pace of AI innovation demands continuous allocation of resources towards advancing core AI capabilities, exploring novel applications, and addressing emerging challenges. This includes not only algorithmic improvements but also the development of robust and secure data infrastructures, especially for traffic-oriented data trading platforms (Yu et al., 2024), which enable efficient and fair exchange of valuable data assets. Companies must also invest heavily in ethical AI development, recognizing the potential for catastrophic risks (Bengio, 2023) and the critical need for fairness, transparency, and accountability in AI systems. This encompasses everything from bias detection and mitigation in algorithms to developing robust governance frameworks that align AI development with societal values (Undheim et al., 2022)(Ericson et al., 2025). The legal implications of AI use (Haq &amp; Yunanto, 2024) are also becoming increasingly complex, requiring companies to navigate evolving regulatory landscapes and ensure compliance, particularly in sensitive sectors like finance (Arba KOKALARI, 2025) and insurance (Bhattacharya et al., 2025).</w:t>
      </w:r>
    </w:p>
    <w:p>
      <w:pPr>
        <w:pStyle w:val="BodyText"/>
      </w:pPr>
      <w:r>
        <w:t xml:space="preserve">Talent acquisition and development represent another significant challenge and opportunity. The demand for skilled AI engineers, data scientists, machine learning specialists, and ethical AI experts far outstrips supply. AI companies must, therefore, not only compete fiercely for top talent but also invest in upskilling their existing workforce and fostering a culture of continuous learning. Interdisciplinary teams, comprising experts in AI, ethics, law, economics, and domain-specific knowledge, will be crucial for developing holistic and responsible AI solutions. Moreover, the shift towards AI-powered services requires changes in organizational structure and operational processes, necessitating agile methodologies and cross-functional collaboration to integrate AI capabilities seamlessly into existing offerings and create entirely new ones. The ability to foster knowledge sharing within these complex, rapidly evolving environments (Mohammed et al., 2023) will be a key determinant of success.</w:t>
      </w:r>
    </w:p>
    <w:p>
      <w:pPr>
        <w:pStyle w:val="BodyText"/>
      </w:pPr>
      <w:r>
        <w:t xml:space="preserve">Finally, AI companies must proactively engage in ecosystem development. The future of AI is collaborative, characterized by co-creation ecosystems where various agents, both human and artificial, interact to generate value (Zheng et al., 2025). This involves strategic partnerships with other technology providers, research institutions, and even competitors to accelerate innovation and expand market reach. Companies should consider open-source contributions, participation in industry consortia, and collaborative research initiatives to build a robust and ethical AI ecosystem. This approach helps in setting industry standards, sharing best practices, and collectively addressing the complex challenges posed by advanced AI. The sustainability of AI business models will increasingly depend on their ability to adaptively co-evolve within these dynamic and often chaotic ecosystems (Miao et al., 2025).</w:t>
      </w:r>
    </w:p>
    <w:p>
      <w:pPr>
        <w:pStyle w:val="Heading3"/>
      </w:pPr>
      <w:bookmarkStart w:id="72" w:name="customer-adoption-considerations"/>
      <w:r>
        <w:t xml:space="preserve">Customer Adoption Considerations</w:t>
      </w:r>
      <w:bookmarkEnd w:id="72"/>
    </w:p>
    <w:p>
      <w:pPr>
        <w:pStyle w:val="FirstParagraph"/>
      </w:pPr>
      <w:r>
        <w:t xml:space="preserve">The successful diffusion and adoption of AI-powered products and services hinge significantly on understanding and addressing customer considerations. While the technical capabilities of AI are advancing rapidly, widespread adoption is often constrained by factors beyond mere functionality. Trust and transparency emerge as paramount concerns. Customers are increasingly wary of algorithms that operate as</w:t>
      </w:r>
      <w:r>
        <w:t xml:space="preserve"> </w:t>
      </w:r>
      <w:r>
        <w:t xml:space="preserve">“</w:t>
      </w:r>
      <w:r>
        <w:t xml:space="preserve">black boxes,</w:t>
      </w:r>
      <w:r>
        <w:t xml:space="preserve">”</w:t>
      </w:r>
      <w:r>
        <w:t xml:space="preserve"> </w:t>
      </w:r>
      <w:r>
        <w:t xml:space="preserve">making decisions without clear explanations. Therefore, AI companies must prioritize the development of explainable AI (XAI) and ensure transparency in how AI systems collect, process, and utilize personal data. Building trust requires clear communication about data privacy policies, explicit consent mechanisms, and demonstrable fairness in algorithmic outcomes. The lack of trust can severely impede the uptake of even highly beneficial AI applications, especially in areas touching personal finance, health, and legal advice.</w:t>
      </w:r>
    </w:p>
    <w:p>
      <w:pPr>
        <w:pStyle w:val="BodyText"/>
      </w:pPr>
      <w:r>
        <w:t xml:space="preserve">Perceived value is another critical determinant of adoption. Customers must clearly perceive the benefits of an AI service outweighing its costs, both monetary and non-monetary (e.g., learning curve, data sharing). This involves not just highlighting efficiency gains or convenience but also articulating the unique value proposition that AI brings—such as hyper-personalization, predictive insights, or enhanced decision-making capabilities (Neyyila et al., 2025). Value-based methods (Wang et al., 2024) for assessing new services become crucial here, where the focus shifts from the technology itself to the tangible outcomes and improvements it delivers to the user’s life or business operations. For instance, in e-commerce, AI-driven insights for product marketing (Abdullah &amp; Hasan, 2023) must translate directly into more relevant product offerings and a seamless shopping experience for the customer (Leela.Vemula et al., 2025).</w:t>
      </w:r>
    </w:p>
    <w:p>
      <w:pPr>
        <w:pStyle w:val="BodyText"/>
      </w:pPr>
      <w:r>
        <w:t xml:space="preserve">Usability and accessibility are also fundamental. AI interfaces must be intuitive, easy to learn, and seamlessly integrate into existing workflows or daily routines. Complex or poorly designed AI systems will face significant barriers to adoption, regardless of their underlying intelligence. Personalized learning systems (Widono et al., 2024), for example, demonstrate how AI can be designed to adapt to individual user needs, thereby enhancing engagement and reducing friction. The goal should be to make AI feel less like a tool and more like an intelligent assistant that enhances human capabilities without requiring extensive technical expertise. This is particularly relevant for embodied AI agents that aim to co-create value with humans (Zheng et al., 2025), where natural interaction is key.</w:t>
      </w:r>
    </w:p>
    <w:p>
      <w:pPr>
        <w:pStyle w:val="BodyText"/>
      </w:pPr>
      <w:r>
        <w:t xml:space="preserve">Insights from behavioral economics offer valuable perspectives on customer adoption. Human decision-making is often influenced by cognitive biases, heuristics, and social norms (Neyyila et al., 2025). AI companies can leverage these insights to design user experiences that encourage adoption, such as framing benefits effectively, utilizing social proof, or designing default options that align with desired behaviors. However, this must be done ethically, avoiding manipulative practices. Understanding the psychological factors that drive or hinder the adoption of new technologies, as described by innovation diffusion patterns (Shin &amp; Kang, 2024), can help companies target early adopters, address the concerns of the late majority, and tailor their marketing and communication strategies accordingly.</w:t>
      </w:r>
    </w:p>
    <w:p>
      <w:pPr>
        <w:pStyle w:val="BodyText"/>
      </w:pPr>
      <w:r>
        <w:t xml:space="preserve">Addressing customer concerns about data security, algorithmic bias, and potential job displacement is also vital for fostering adoption. High-profile data breaches or instances of biased AI can erode public trust and create significant backlash. Companies must implement robust cybersecurity measures and continuously audit their AI systems for fairness and equity. While AI’s potential to automate tasks raises valid concerns about employment, it also creates new job categories and augments human capabilities. Proactive communication about AI’s role in job creation, reskilling initiatives, and the augmentation of human decision-making can help mitigate anxieties and foster a more positive perception of AI’s societal impact. Moreover, the legal implications of AI (Haq &amp; Yunanto, 2024) mean that customer recourse mechanisms and clear terms of service are essential for building a robust relationship. Whether it’s in the insurance sector (Bhattacharya et al., 2025) or travel platforms (Guo, 2025), customers need assurance that their interests are protected and that they have avenues for redress if issues arise.</w:t>
      </w:r>
    </w:p>
    <w:p>
      <w:pPr>
        <w:pStyle w:val="BodyText"/>
      </w:pPr>
      <w:r>
        <w:t xml:space="preserve">In summary, successful customer adoption of AI services requires a holistic approach that extends beyond technological prowess. It demands a deep understanding of human psychology, ethical considerations, and practical usability, ensuring that AI solutions are not only intelligent but also trustworthy, valuable, and seamlessly integrated into the lives of their users.</w:t>
      </w:r>
    </w:p>
    <w:p>
      <w:pPr>
        <w:pStyle w:val="Heading3"/>
      </w:pPr>
      <w:bookmarkStart w:id="73" w:name="future-pricing-trends"/>
      <w:r>
        <w:t xml:space="preserve">Future Pricing Trends</w:t>
      </w:r>
      <w:bookmarkEnd w:id="73"/>
    </w:p>
    <w:p>
      <w:pPr>
        <w:pStyle w:val="FirstParagraph"/>
      </w:pPr>
      <w:r>
        <w:t xml:space="preserve">The advent and maturation of AI are poised to fundamentally transform pricing strategies across industries, moving away from static, cost-plus models towards highly dynamic, personalized, and value-based approaches. This evolution will be driven by AI’s unparalleled ability to process and analyze vast datasets in real-time, enabling unprecedented levels of pricing optimization and market responsiveness.</w:t>
      </w:r>
    </w:p>
    <w:p>
      <w:pPr>
        <w:pStyle w:val="BodyText"/>
      </w:pPr>
      <w:r>
        <w:t xml:space="preserve">One of the most significant trends will be the widespread adoption of</w:t>
      </w:r>
      <w:r>
        <w:t xml:space="preserve"> </w:t>
      </w:r>
      <w:r>
        <w:rPr>
          <w:b/>
        </w:rPr>
        <w:t xml:space="preserve">dynamic and personalized pricing</w:t>
      </w:r>
      <w:r>
        <w:t xml:space="preserve">. AI algorithms can analyze myriad factors—including individual customer profiles, historical purchasing behavior, real-time demand, competitor pricing, inventory levels, and even external economic indicators—to determine the optimal price for a product or service at any given moment (Senyapar et al., 2025). This goes beyond simple surge pricing; it involves micro-segmentation of customers and offering tailored prices based on their perceived willingness to pay, loyalty, and specific contextual factors. Usage-based pricing of software services (Bala &amp; Carr, 2010) will become more sophisticated, with AI determining not just the volume of use but also the value derived from that use, leading to more granular and fair billing models. The challenge, however, will be to implement such dynamic pricing ethically, avoiding discriminatory practices and ensuring transparent communication with consumers. The concept of</w:t>
      </w:r>
      <w:r>
        <w:t xml:space="preserve"> </w:t>
      </w:r>
      <w:r>
        <w:t xml:space="preserve">“</w:t>
      </w:r>
      <w:r>
        <w:t xml:space="preserve">energy justice</w:t>
      </w:r>
      <w:r>
        <w:t xml:space="preserve">”</w:t>
      </w:r>
      <w:r>
        <w:t xml:space="preserve"> </w:t>
      </w:r>
      <w:r>
        <w:t xml:space="preserve">in AI-driven dynamic pricing (Senyapar et al., 2025) highlights the importance of equitable access and affordability, preventing AI from exacerbating existing socio-economic disparities.</w:t>
      </w:r>
    </w:p>
    <w:p>
      <w:pPr>
        <w:pStyle w:val="BodyText"/>
      </w:pPr>
      <w:r>
        <w:t xml:space="preserve">A parallel trend is the shift towards</w:t>
      </w:r>
      <w:r>
        <w:t xml:space="preserve"> </w:t>
      </w:r>
      <w:r>
        <w:rPr>
          <w:b/>
        </w:rPr>
        <w:t xml:space="preserve">value-based pricing</w:t>
      </w:r>
      <w:r>
        <w:t xml:space="preserve">. Instead of pricing based on production costs or market averages, AI will enable companies to accurately quantify the value their products or services deliver to specific customers or segments (Wang et al., 2024). For instance, an AI-powered diagnostic tool in healthcare could be priced based on the health outcomes it improves or the cost savings it generates for a hospital, rather than just its development cost. This requires sophisticated AI models capable of predicting the impact and utility of a service, moving pricing closer to the actual benefits received by the user. This approach aligns well with personalized services (Widono et al., 2024), where the value proposition is inherently unique to each customer.</w:t>
      </w:r>
    </w:p>
    <w:p>
      <w:pPr>
        <w:pStyle w:val="BodyText"/>
      </w:pPr>
      <w:r>
        <w:t xml:space="preserve">The evolution of</w:t>
      </w:r>
      <w:r>
        <w:t xml:space="preserve"> </w:t>
      </w:r>
      <w:r>
        <w:rPr>
          <w:b/>
        </w:rPr>
        <w:t xml:space="preserve">subscription and tiered models</w:t>
      </w:r>
      <w:r>
        <w:t xml:space="preserve"> </w:t>
      </w:r>
      <w:r>
        <w:t xml:space="preserve">will also be heavily influenced by AI. While subscriptions are already prevalent, AI can optimize these models by predicting churn, identifying optimal feature sets for different tiers, and dynamically adjusting subscription prices based on usage patterns and customer lifetime value. AI can also enhance freemium models by identifying which users are most likely to convert to paid subscriptions and at what price point. Concepts like pay-per-action auctions (Ewerhart, 2009) for online advertising demonstrate how AI can facilitate highly granular and performance-based payment structures, a principle that could extend to other service domains. The ability to manage oversubscription and service pricing exploitation (Saxena &amp; Singh, 2024) will be crucial for maintaining fairness and preventing market manipulation in these dynamic environments.</w:t>
      </w:r>
    </w:p>
    <w:p>
      <w:pPr>
        <w:pStyle w:val="BodyText"/>
      </w:pPr>
      <w:r>
        <w:t xml:space="preserve">Furthermore, the rise of blockchain technology and non-fungible tokens (NFTs) (Kraizberg, 2023) could introduce new pricing paradigms, particularly for digital assets and AI-generated content. While still nascent, the tokenization of services or data could enable micro-transactions and fractional ownership, leading to entirely new revenue streams and pricing mechanisms for AI-powered platforms. This might involve a decentralized marketplace for AI services or data, where prices are determined by supply and demand on a blockchain, offering greater transparency and liquidity.</w:t>
      </w:r>
    </w:p>
    <w:p>
      <w:pPr>
        <w:pStyle w:val="BodyText"/>
      </w:pPr>
      <w:r>
        <w:t xml:space="preserve">Finally,</w:t>
      </w:r>
      <w:r>
        <w:t xml:space="preserve"> </w:t>
      </w:r>
      <w:r>
        <w:rPr>
          <w:b/>
        </w:rPr>
        <w:t xml:space="preserve">competitive dynamics</w:t>
      </w:r>
      <w:r>
        <w:t xml:space="preserve"> </w:t>
      </w:r>
      <w:r>
        <w:t xml:space="preserve">will intensify as AI-driven pricing becomes more pervasive. Companies with superior AI pricing capabilities will be able to react faster to market changes, potentially leading to price wars or the rapid establishment of dominant market positions. This necessitates a strategic understanding of AI’s role in shaping competition and the ability to adapt pricing models to maintain competitiveness while adhering to ethical guidelines. The overall trend points towards a future where pricing is no longer a static decision but a continuous, AI-driven optimization process, profoundly impacting profitability and market structure.</w:t>
      </w:r>
    </w:p>
    <w:p>
      <w:pPr>
        <w:pStyle w:val="Heading3"/>
      </w:pPr>
      <w:bookmarkStart w:id="74" w:name="recommendations"/>
      <w:r>
        <w:t xml:space="preserve">Recommendations</w:t>
      </w:r>
      <w:bookmarkEnd w:id="74"/>
    </w:p>
    <w:p>
      <w:pPr>
        <w:pStyle w:val="FirstParagraph"/>
      </w:pPr>
      <w:r>
        <w:t xml:space="preserve">Based on the foregoing discussion, several key recommendations emerge for various stakeholders to navigate and harness the transformative power of AI in the economy. These recommendations aim to foster responsible innovation, ensure equitable access, and maximize the societal benefits of AI.</w:t>
      </w:r>
    </w:p>
    <w:p>
      <w:pPr>
        <w:pStyle w:val="BodyText"/>
      </w:pPr>
      <w:r>
        <w:rPr>
          <w:b/>
        </w:rPr>
        <w:t xml:space="preserve">For AI Companies and Developers:</w:t>
      </w:r>
      <w:r>
        <w:t xml:space="preserve"> </w:t>
      </w:r>
      <w:r>
        <w:t xml:space="preserve">1.</w:t>
      </w:r>
      <w:r>
        <w:t xml:space="preserve"> </w:t>
      </w:r>
      <w:r>
        <w:rPr>
          <w:b/>
        </w:rPr>
        <w:t xml:space="preserve">Prioritize Ethical AI Development and Governance:</w:t>
      </w:r>
      <w:r>
        <w:t xml:space="preserve"> </w:t>
      </w:r>
      <w:r>
        <w:t xml:space="preserve">Integrate ethical considerations, fairness, transparency, and accountability into every stage of the AI lifecycle, from design to deployment. Invest in explainable AI (XAI) to ensure decision-making processes are comprehensible. Establish robust internal governance frameworks and adhere to emerging regulatory guidelines (Undheim et al., 2022).</w:t>
      </w:r>
      <w:r>
        <w:t xml:space="preserve"> </w:t>
      </w:r>
      <w:r>
        <w:t xml:space="preserve">2.</w:t>
      </w:r>
      <w:r>
        <w:t xml:space="preserve"> </w:t>
      </w:r>
      <w:r>
        <w:rPr>
          <w:b/>
        </w:rPr>
        <w:t xml:space="preserve">Invest in Robust Infrastructure and Security:</w:t>
      </w:r>
      <w:r>
        <w:t xml:space="preserve"> </w:t>
      </w:r>
      <w:r>
        <w:t xml:space="preserve">Develop scalable, secure, and resilient AI infrastructures capable of handling vast data volumes and complex computations. Emphasize cybersecurity measures to protect sensitive data and prevent malicious attacks, thereby building and maintaining customer trust.</w:t>
      </w:r>
      <w:r>
        <w:t xml:space="preserve"> </w:t>
      </w:r>
      <w:r>
        <w:t xml:space="preserve">3.</w:t>
      </w:r>
      <w:r>
        <w:t xml:space="preserve"> </w:t>
      </w:r>
      <w:r>
        <w:rPr>
          <w:b/>
        </w:rPr>
        <w:t xml:space="preserve">Embrace Interdisciplinary Collaboration:</w:t>
      </w:r>
      <w:r>
        <w:t xml:space="preserve"> </w:t>
      </w:r>
      <w:r>
        <w:t xml:space="preserve">Foster collaboration between AI experts, ethicists, economists, legal scholars, and domain specialists. This interdisciplinary approach is crucial for developing holistic, context-aware, and socially responsible AI solutions (Miao et al., 2025). Engage in co-creation ecosystems (Zheng et al., 2025) and knowledge-sharing initiatives (Mohammed et al., 2023) to accelerate innovation and address complex challenges collectively.</w:t>
      </w:r>
      <w:r>
        <w:t xml:space="preserve"> </w:t>
      </w:r>
      <w:r>
        <w:t xml:space="preserve">4.</w:t>
      </w:r>
      <w:r>
        <w:t xml:space="preserve"> </w:t>
      </w:r>
      <w:r>
        <w:rPr>
          <w:b/>
        </w:rPr>
        <w:t xml:space="preserve">Focus on Value-Driven Personalization:</w:t>
      </w:r>
      <w:r>
        <w:t xml:space="preserve"> </w:t>
      </w:r>
      <w:r>
        <w:t xml:space="preserve">Move beyond generic AI applications to develop highly personalized services that demonstrably add value to individual customers. Utilize AI to understand user needs, anticipate preferences, and deliver bespoke experiences, but always with transparent data practices (Widono et al., 2024)(Neyyila et al., 2025).</w:t>
      </w:r>
      <w:r>
        <w:t xml:space="preserve"> </w:t>
      </w:r>
      <w:r>
        <w:t xml:space="preserve">5.</w:t>
      </w:r>
      <w:r>
        <w:t xml:space="preserve"> </w:t>
      </w:r>
      <w:r>
        <w:rPr>
          <w:b/>
        </w:rPr>
        <w:t xml:space="preserve">Develop Adaptive Business Models:</w:t>
      </w:r>
      <w:r>
        <w:t xml:space="preserve"> </w:t>
      </w:r>
      <w:r>
        <w:t xml:space="preserve">Be prepared to continuously adapt business models, pricing strategies, and product offerings in response to the dynamic AI landscape. Explore new revenue models, including usage-based (Bala &amp; Carr, 2010) and value-based pricing (Wang et al., 2024), while ensuring fairness and avoiding exploitative practices (Saxena &amp; Singh, 2024).</w:t>
      </w:r>
    </w:p>
    <w:p>
      <w:pPr>
        <w:pStyle w:val="BodyText"/>
      </w:pPr>
      <w:r>
        <w:rPr>
          <w:b/>
        </w:rPr>
        <w:t xml:space="preserve">For Policymakers and Regulators:</w:t>
      </w:r>
      <w:r>
        <w:t xml:space="preserve"> </w:t>
      </w:r>
      <w:r>
        <w:t xml:space="preserve">1.</w:t>
      </w:r>
      <w:r>
        <w:t xml:space="preserve"> </w:t>
      </w:r>
      <w:r>
        <w:rPr>
          <w:b/>
        </w:rPr>
        <w:t xml:space="preserve">Develop Agile and Adaptive AI Policies:</w:t>
      </w:r>
      <w:r>
        <w:t xml:space="preserve"> </w:t>
      </w:r>
      <w:r>
        <w:t xml:space="preserve">Create regulatory frameworks that are flexible enough to adapt to the rapid pace of AI innovation without stifling it. Consider regulatory sandboxes (Undheim et al., 2022) to test new AI applications in controlled environments and inform policy development.</w:t>
      </w:r>
      <w:r>
        <w:t xml:space="preserve"> </w:t>
      </w:r>
      <w:r>
        <w:t xml:space="preserve">2.</w:t>
      </w:r>
      <w:r>
        <w:t xml:space="preserve"> </w:t>
      </w:r>
      <w:r>
        <w:rPr>
          <w:b/>
        </w:rPr>
        <w:t xml:space="preserve">Focus on Consumer Protection and Equity:</w:t>
      </w:r>
      <w:r>
        <w:t xml:space="preserve"> </w:t>
      </w:r>
      <w:r>
        <w:t xml:space="preserve">Implement regulations that protect consumers from algorithmic bias, data privacy breaches, and unfair dynamic pricing practices (Senyapar et al., 2025)(Haq &amp; Yunanto, 2024). Ensure equitable access to AI benefits and prevent the technology from exacerbating existing socio-economic inequalities.</w:t>
      </w:r>
      <w:r>
        <w:t xml:space="preserve"> </w:t>
      </w:r>
      <w:r>
        <w:t xml:space="preserve">3.</w:t>
      </w:r>
      <w:r>
        <w:t xml:space="preserve"> </w:t>
      </w:r>
      <w:r>
        <w:rPr>
          <w:b/>
        </w:rPr>
        <w:t xml:space="preserve">Promote International Cooperation:</w:t>
      </w:r>
      <w:r>
        <w:t xml:space="preserve"> </w:t>
      </w:r>
      <w:r>
        <w:t xml:space="preserve">Recognize that AI is a global phenomenon requiring international collaboration on standards, ethics, and regulatory harmonization to address challenges like data governance and catastrophic risks (Bengio, 2023).</w:t>
      </w:r>
      <w:r>
        <w:t xml:space="preserve"> </w:t>
      </w:r>
      <w:r>
        <w:t xml:space="preserve">4.</w:t>
      </w:r>
      <w:r>
        <w:t xml:space="preserve"> </w:t>
      </w:r>
      <w:r>
        <w:rPr>
          <w:b/>
        </w:rPr>
        <w:t xml:space="preserve">Invest in Digital Literacy and Education:</w:t>
      </w:r>
      <w:r>
        <w:t xml:space="preserve"> </w:t>
      </w:r>
      <w:r>
        <w:t xml:space="preserve">Support educational initiatives to enhance public understanding of AI, its capabilities, limitations, and ethical implications. This empowers citizens to engage critically with AI technologies and make informed decisions.</w:t>
      </w:r>
      <w:r>
        <w:t xml:space="preserve"> </w:t>
      </w:r>
      <w:r>
        <w:t xml:space="preserve">5.</w:t>
      </w:r>
      <w:r>
        <w:t xml:space="preserve"> </w:t>
      </w:r>
      <w:r>
        <w:rPr>
          <w:b/>
        </w:rPr>
        <w:t xml:space="preserve">Address Labor Market Transitions:</w:t>
      </w:r>
      <w:r>
        <w:t xml:space="preserve"> </w:t>
      </w:r>
      <w:r>
        <w:t xml:space="preserve">Develop policies and programs to support workers through AI-driven labor market transitions, including reskilling initiatives, vocational training, and social safety nets.</w:t>
      </w:r>
    </w:p>
    <w:p>
      <w:pPr>
        <w:pStyle w:val="BodyText"/>
      </w:pPr>
      <w:r>
        <w:rPr>
          <w:b/>
        </w:rPr>
        <w:t xml:space="preserve">For Researchers and Academia:</w:t>
      </w:r>
      <w:r>
        <w:t xml:space="preserve"> </w:t>
      </w:r>
      <w:r>
        <w:t xml:space="preserve">1.</w:t>
      </w:r>
      <w:r>
        <w:t xml:space="preserve"> </w:t>
      </w:r>
      <w:r>
        <w:rPr>
          <w:b/>
        </w:rPr>
        <w:t xml:space="preserve">Conduct Interdisciplinary Research:</w:t>
      </w:r>
      <w:r>
        <w:t xml:space="preserve"> </w:t>
      </w:r>
      <w:r>
        <w:t xml:space="preserve">Prioritize research that bridges technical AI advancements with insights from economics, sociology, ethics, law, and psychology to understand the holistic impact of AI (Ericson et al., 2025).</w:t>
      </w:r>
      <w:r>
        <w:t xml:space="preserve"> </w:t>
      </w:r>
      <w:r>
        <w:t xml:space="preserve">2.</w:t>
      </w:r>
      <w:r>
        <w:t xml:space="preserve"> </w:t>
      </w:r>
      <w:r>
        <w:rPr>
          <w:b/>
        </w:rPr>
        <w:t xml:space="preserve">Focus on Long-Term Societal Impacts:</w:t>
      </w:r>
      <w:r>
        <w:t xml:space="preserve"> </w:t>
      </w:r>
      <w:r>
        <w:t xml:space="preserve">Investigate the long-term economic, social, and ethical implications of widespread AI adoption, including effects on income inequality, privacy, and democratic processes.</w:t>
      </w:r>
      <w:r>
        <w:t xml:space="preserve"> </w:t>
      </w:r>
      <w:r>
        <w:t xml:space="preserve">3.</w:t>
      </w:r>
      <w:r>
        <w:t xml:space="preserve"> </w:t>
      </w:r>
      <w:r>
        <w:rPr>
          <w:b/>
        </w:rPr>
        <w:t xml:space="preserve">Develop Robust Evaluation Methodologies:</w:t>
      </w:r>
      <w:r>
        <w:t xml:space="preserve"> </w:t>
      </w:r>
      <w:r>
        <w:t xml:space="preserve">Create and refine comprehensive evaluation methods for AI systems, particularly concerning their ethical performance, cultural value (Xue, 2023), and real-world impact, beyond mere technical benchmarks.</w:t>
      </w:r>
    </w:p>
    <w:p>
      <w:pPr>
        <w:pStyle w:val="BodyText"/>
      </w:pPr>
      <w:r>
        <w:t xml:space="preserve">By adhering to these recommendations, stakeholders can collectively foster an AI ecosystem that is innovative, competitive, ethical, and ultimately beneficial for all members of society, navigating the complexities of this technological revolution with foresight and responsibility.</w:t>
      </w:r>
    </w:p>
    <w:p>
      <w:pPr>
        <w:pStyle w:val="Heading2"/>
      </w:pPr>
      <w:bookmarkStart w:id="75" w:name="limitations"/>
      <w:r>
        <w:t xml:space="preserve">Limitations</w:t>
      </w:r>
      <w:bookmarkEnd w:id="75"/>
    </w:p>
    <w:p>
      <w:pPr>
        <w:pStyle w:val="FirstParagraph"/>
      </w:pPr>
      <w:r>
        <w:t xml:space="preserve">While this research makes significant contributions to the understanding of AI-driven pricing models, it is important to acknowledge several limitations that contextualize the findings and suggest areas for refinement. These limitations stem from the inherent challenges of studying a rapidly evolving technological domain through a qualitative, secondary data-based approach.</w:t>
      </w:r>
    </w:p>
    <w:p>
      <w:pPr>
        <w:pStyle w:val="Heading3"/>
      </w:pPr>
      <w:bookmarkStart w:id="76" w:name="methodological-limitations"/>
      <w:r>
        <w:t xml:space="preserve">Methodological Limitations</w:t>
      </w:r>
      <w:bookmarkEnd w:id="76"/>
    </w:p>
    <w:p>
      <w:pPr>
        <w:pStyle w:val="FirstParagraph"/>
      </w:pPr>
      <w:r>
        <w:t xml:space="preserve">The primary methodological limitation is the reliance on secondary data sources. While a comprehensive literature review, industry reports, and public company disclosures provide rich insights, they inherently lack the depth and granularity that could be obtained through primary data collection methods such as direct interviews with AI pricing strategists, detailed surveys of consumers, or proprietary internal data from AI service providers. This means that certain nuances of implementation, specific algorithmic parameters, or the precise impact on internal business metrics may not be fully captured. Furthermore, the qualitative nature of the comparative case study design, while excellent for exploring complex phenomena, limits the statistical generalizability of the findings. The insights derived are analytically generalizable, contributing to theoretical propositions rather than broad statistical conclusions across an entire population of AI companies or consumers. The selection of cases, while purposeful, may also introduce selection bias, focusing on prominent examples for which information is readily available, potentially overlooking less visible but equally insightful implementations.</w:t>
      </w:r>
    </w:p>
    <w:p>
      <w:pPr>
        <w:pStyle w:val="Heading3"/>
      </w:pPr>
      <w:bookmarkStart w:id="77" w:name="scope-and-generalizability"/>
      <w:r>
        <w:t xml:space="preserve">Scope and Generalizability</w:t>
      </w:r>
      <w:bookmarkEnd w:id="77"/>
    </w:p>
    <w:p>
      <w:pPr>
        <w:pStyle w:val="FirstParagraph"/>
      </w:pPr>
      <w:r>
        <w:t xml:space="preserve">This study primarily focuses on pricing models for agentic AI systems, with an emphasis on token-based, usage-based, and value-based approaches. While these cover a significant portion of the current AI pricing landscape, other emerging models or niche pricing strategies (e.g., decentralized autonomous organization (DAO)-based pricing, specialized hardware-as-a-service models) may not have been fully explored. The generalizability of findings across all AI applications is also limited. The pricing dynamics for a large language model API differ significantly from those for a specialized industrial AI solution or a consumer-facing AI companion. The study’s scope, therefore, provides a deep dive into prevalent models but acknowledges that the AI pricing ecosystem is vast and continually diversifying. Moreover, the focus on specific industry examples, while illustrative, means that direct applicability to all sectors or geographies may vary, influenced by local regulations, cultural acceptance, and market maturity.</w:t>
      </w:r>
    </w:p>
    <w:p>
      <w:pPr>
        <w:pStyle w:val="Heading3"/>
      </w:pPr>
      <w:bookmarkStart w:id="78" w:name="temporal-and-contextual-constraints"/>
      <w:r>
        <w:t xml:space="preserve">Temporal and Contextual Constraints</w:t>
      </w:r>
      <w:bookmarkEnd w:id="78"/>
    </w:p>
    <w:p>
      <w:pPr>
        <w:pStyle w:val="FirstParagraph"/>
      </w:pPr>
      <w:r>
        <w:t xml:space="preserve">The field of artificial intelligence is characterized by an exceptionally rapid pace of innovation. New models, architectures, and applications are emerging constantly, often rendering previous findings quickly outdated. This temporal constraint means that the insights presented reflect the current state of the art and available literature up to the point of this research. Future advancements, particularly in agentic capabilities, computational efficiency, or AI governance, could alter the optimal pricing strategies and their societal implications. Additionally, the contextual environment for AI deployment, including geopolitical shifts, economic downturns, or changes in public sentiment, can significantly influence market adoption and the perceived value of AI services. The study acknowledges that its findings are situated within a specific temporal and technological context, requiring continuous updating and re-evaluation as the AI landscape evolves.</w:t>
      </w:r>
    </w:p>
    <w:p>
      <w:pPr>
        <w:pStyle w:val="Heading3"/>
      </w:pPr>
      <w:bookmarkStart w:id="79" w:name="theoretical-and-conceptual-limitations"/>
      <w:r>
        <w:t xml:space="preserve">Theoretical and Conceptual Limitations</w:t>
      </w:r>
      <w:bookmarkEnd w:id="79"/>
    </w:p>
    <w:p>
      <w:pPr>
        <w:pStyle w:val="FirstParagraph"/>
      </w:pPr>
      <w:r>
        <w:t xml:space="preserve">The interdisciplinary nature of this research, bridging computer science, economics, ethics, and law, inherently involves synthesizing diverse theoretical perspectives. While this approach offers a holistic understanding, it can also lead to challenges in fully integrating disparate conceptual frameworks. For instance, the economic quantification of</w:t>
      </w:r>
      <w:r>
        <w:t xml:space="preserve"> </w:t>
      </w:r>
      <w:r>
        <w:t xml:space="preserve">“</w:t>
      </w:r>
      <w:r>
        <w:t xml:space="preserve">value</w:t>
      </w:r>
      <w:r>
        <w:t xml:space="preserve">”</w:t>
      </w:r>
      <w:r>
        <w:t xml:space="preserve"> </w:t>
      </w:r>
      <w:r>
        <w:t xml:space="preserve">for AI services remains a complex and sometimes subjective endeavor, with varying interpretations across different disciplines. The conceptual boundaries between token-based, usage-based, and even value-based pricing can sometimes blur in hybrid models, making clear categorization challenging. Furthermore, the ethical implications of AI, such as fairness and bias, are deeply philosophical and context-dependent, and their translation into universally applicable pricing guidelines is an ongoing theoretical challenge. The study attempts to navigate these complexities but acknowledges that certain theoretical tensions and ambiguities persist, highlighting areas where further conceptual development is needed.</w:t>
      </w:r>
    </w:p>
    <w:p>
      <w:pPr>
        <w:pStyle w:val="BodyText"/>
      </w:pPr>
      <w:r>
        <w:t xml:space="preserve">Despite these limitations, the research provides valuable insights into the core contributions of AI-driven pricing models and the identified constraints offer clear directions for future investigation. The systematic approach and multi-dimensional framework lay a foundation for continued inquiry into this critical and evolving domain.</w:t>
      </w:r>
    </w:p>
    <w:p>
      <w:r>
        <w:pict>
          <v:rect style="width:0;height:1.5pt" o:hralign="center" o:hrstd="t" o:hr="t"/>
        </w:pict>
      </w:r>
    </w:p>
    <w:p>
      <w:pPr>
        <w:pStyle w:val="Heading2"/>
      </w:pPr>
      <w:bookmarkStart w:id="80" w:name="future-research-directions"/>
      <w:r>
        <w:t xml:space="preserve">Future Research Directions</w:t>
      </w:r>
      <w:bookmarkEnd w:id="80"/>
    </w:p>
    <w:p>
      <w:pPr>
        <w:pStyle w:val="FirstParagraph"/>
      </w:pPr>
      <w:r>
        <w:t xml:space="preserve">This research opens several promising avenues for future investigation that could address current limitations and extend the theoretical and practical contributions of this work. The rapid evolution of AI technology and its increasing integration into economic systems necessitate continuous inquiry to ensure responsible innovation and equitable outcomes.</w:t>
      </w:r>
    </w:p>
    <w:p>
      <w:pPr>
        <w:pStyle w:val="Heading3"/>
      </w:pPr>
      <w:bookmarkStart w:id="81" w:name="Xc830cb9d2d14da0d96d15091c8c1920d6c57659"/>
      <w:r>
        <w:t xml:space="preserve">1. Empirical Validation and Large-Scale Testing</w:t>
      </w:r>
      <w:bookmarkEnd w:id="81"/>
    </w:p>
    <w:p>
      <w:pPr>
        <w:pStyle w:val="FirstParagraph"/>
      </w:pPr>
      <w:r>
        <w:t xml:space="preserve">While this study offers a qualitative analysis, a critical next step involves empirical validation of the proposed pricing models and their theoretical implications. Future research could focus on:</w:t>
      </w:r>
      <w:r>
        <w:t xml:space="preserve"> </w:t>
      </w:r>
      <w:r>
        <w:t xml:space="preserve">*</w:t>
      </w:r>
      <w:r>
        <w:t xml:space="preserve"> </w:t>
      </w:r>
      <w:r>
        <w:rPr>
          <w:b/>
        </w:rPr>
        <w:t xml:space="preserve">Simulation Models:</w:t>
      </w:r>
      <w:r>
        <w:t xml:space="preserve"> </w:t>
      </w:r>
      <w:r>
        <w:t xml:space="preserve">Developing sophisticated simulation environments to test the performance of token-based, usage-based, value-based, and hybrid pricing models under various market conditions, competitive scenarios, and user behaviors.</w:t>
      </w:r>
      <w:r>
        <w:t xml:space="preserve"> </w:t>
      </w:r>
      <w:r>
        <w:t xml:space="preserve">*</w:t>
      </w:r>
      <w:r>
        <w:t xml:space="preserve"> </w:t>
      </w:r>
      <w:r>
        <w:rPr>
          <w:b/>
        </w:rPr>
        <w:t xml:space="preserve">Real-World Data Analysis:</w:t>
      </w:r>
      <w:r>
        <w:t xml:space="preserve"> </w:t>
      </w:r>
      <w:r>
        <w:t xml:space="preserve">Collaborating with AI service providers to analyze anonymized, large-scale real-world usage and revenue data to empirically assess the effectiveness, customer satisfaction, and profitability of different pricing strategies. This could include A/B testing different pricing models in controlled market segments.</w:t>
      </w:r>
      <w:r>
        <w:t xml:space="preserve"> </w:t>
      </w:r>
      <w:r>
        <w:t xml:space="preserve">*</w:t>
      </w:r>
      <w:r>
        <w:t xml:space="preserve"> </w:t>
      </w:r>
      <w:r>
        <w:rPr>
          <w:b/>
        </w:rPr>
        <w:t xml:space="preserve">Experimental Economics:</w:t>
      </w:r>
      <w:r>
        <w:t xml:space="preserve"> </w:t>
      </w:r>
      <w:r>
        <w:t xml:space="preserve">Designing controlled experiments to study consumer responses to dynamic and personalized pricing, evaluating perceptions of fairness, willingness to pay, and the impact of transparency on trust.</w:t>
      </w:r>
    </w:p>
    <w:p>
      <w:pPr>
        <w:pStyle w:val="Heading3"/>
      </w:pPr>
      <w:bookmarkStart w:id="82" w:name="X7046350ce675859beb35fe86aa8e2c9d18640e4"/>
      <w:r>
        <w:t xml:space="preserve">2. Ethical AI Pricing Algorithms and Frameworks</w:t>
      </w:r>
      <w:bookmarkEnd w:id="82"/>
    </w:p>
    <w:p>
      <w:pPr>
        <w:pStyle w:val="FirstParagraph"/>
      </w:pPr>
      <w:r>
        <w:t xml:space="preserve">The ethical implications of AI-driven pricing, particularly concerning fairness and discrimination, require in-depth investigation and the development of actionable solutions. Future research should explore:</w:t>
      </w:r>
      <w:r>
        <w:t xml:space="preserve"> </w:t>
      </w:r>
      <w:r>
        <w:t xml:space="preserve">*</w:t>
      </w:r>
      <w:r>
        <w:t xml:space="preserve"> </w:t>
      </w:r>
      <w:r>
        <w:rPr>
          <w:b/>
        </w:rPr>
        <w:t xml:space="preserve">Explainable Pricing AI (XPAI):</w:t>
      </w:r>
      <w:r>
        <w:t xml:space="preserve"> </w:t>
      </w:r>
      <w:r>
        <w:t xml:space="preserve">Developing methodologies and tools for making AI pricing algorithms more transparent and interpretable, allowing both consumers and regulators to understand the rationale behind price adjustments.</w:t>
      </w:r>
      <w:r>
        <w:t xml:space="preserve"> </w:t>
      </w:r>
      <w:r>
        <w:t xml:space="preserve">*</w:t>
      </w:r>
      <w:r>
        <w:t xml:space="preserve"> </w:t>
      </w:r>
      <w:r>
        <w:rPr>
          <w:b/>
        </w:rPr>
        <w:t xml:space="preserve">Bias Detection and Mitigation in Pricing:</w:t>
      </w:r>
      <w:r>
        <w:t xml:space="preserve"> </w:t>
      </w:r>
      <w:r>
        <w:t xml:space="preserve">Researching techniques to identify and mitigate algorithmic biases in pricing models that could lead to discriminatory outcomes based on protected characteristics (e.g., socioeconomic status, location).</w:t>
      </w:r>
      <w:r>
        <w:t xml:space="preserve"> </w:t>
      </w:r>
      <w:r>
        <w:t xml:space="preserve">*</w:t>
      </w:r>
      <w:r>
        <w:t xml:space="preserve"> </w:t>
      </w:r>
      <w:r>
        <w:rPr>
          <w:b/>
        </w:rPr>
        <w:t xml:space="preserve">Fairness Metrics for Dynamic Pricing:</w:t>
      </w:r>
      <w:r>
        <w:t xml:space="preserve"> </w:t>
      </w:r>
      <w:r>
        <w:t xml:space="preserve">Establishing robust, quantifiable metrics for assessing the fairness of dynamic pricing systems, moving beyond anecdotal evidence to objective, auditable standards.</w:t>
      </w:r>
      <w:r>
        <w:t xml:space="preserve"> </w:t>
      </w:r>
      <w:r>
        <w:t xml:space="preserve">*</w:t>
      </w:r>
      <w:r>
        <w:t xml:space="preserve"> </w:t>
      </w:r>
      <w:r>
        <w:rPr>
          <w:b/>
        </w:rPr>
        <w:t xml:space="preserve">Privacy-Preserving Pricing:</w:t>
      </w:r>
      <w:r>
        <w:t xml:space="preserve"> </w:t>
      </w:r>
      <w:r>
        <w:t xml:space="preserve">Investigating advanced cryptographic techniques (e.g., homomorphic encryption, federated learning) to enable personalized pricing while preserving user privacy and data security.</w:t>
      </w:r>
    </w:p>
    <w:p>
      <w:pPr>
        <w:pStyle w:val="Heading3"/>
      </w:pPr>
      <w:bookmarkStart w:id="83" w:name="Xcce9dbd601fa0890121b485f403e40712153582"/>
      <w:r>
        <w:t xml:space="preserve">3. Impact of Decentralized AI and Blockchain on Pricing</w:t>
      </w:r>
      <w:bookmarkEnd w:id="83"/>
    </w:p>
    <w:p>
      <w:pPr>
        <w:pStyle w:val="FirstParagraph"/>
      </w:pPr>
      <w:r>
        <w:t xml:space="preserve">The burgeoning fields of decentralized AI, blockchain technology, and non-fungible tokens (NFTs) introduce entirely new paradigms for AI service monetization. Future research could investigate:</w:t>
      </w:r>
      <w:r>
        <w:t xml:space="preserve"> </w:t>
      </w:r>
      <w:r>
        <w:t xml:space="preserve">*</w:t>
      </w:r>
      <w:r>
        <w:t xml:space="preserve"> </w:t>
      </w:r>
      <w:r>
        <w:rPr>
          <w:b/>
        </w:rPr>
        <w:t xml:space="preserve">Tokenomics of AI Services:</w:t>
      </w:r>
      <w:r>
        <w:t xml:space="preserve"> </w:t>
      </w:r>
      <w:r>
        <w:t xml:space="preserve">Exploring how blockchain-based tokens and smart contracts can facilitate granular, transparent, and automated pricing for AI compute, data, and models in decentralized marketplaces.</w:t>
      </w:r>
      <w:r>
        <w:t xml:space="preserve"> </w:t>
      </w:r>
      <w:r>
        <w:t xml:space="preserve">*</w:t>
      </w:r>
      <w:r>
        <w:t xml:space="preserve"> </w:t>
      </w:r>
      <w:r>
        <w:rPr>
          <w:b/>
        </w:rPr>
        <w:t xml:space="preserve">Fractional Ownership and Micro-transactions:</w:t>
      </w:r>
      <w:r>
        <w:t xml:space="preserve"> </w:t>
      </w:r>
      <w:r>
        <w:t xml:space="preserve">Examining the potential for NFTs to enable fractional ownership of AI models or their outputs, leading to new revenue streams and pricing mechanisms for creative AI.</w:t>
      </w:r>
      <w:r>
        <w:t xml:space="preserve"> </w:t>
      </w:r>
      <w:r>
        <w:t xml:space="preserve">*</w:t>
      </w:r>
      <w:r>
        <w:t xml:space="preserve"> </w:t>
      </w:r>
      <w:r>
        <w:rPr>
          <w:b/>
        </w:rPr>
        <w:t xml:space="preserve">DAO-Governed AI Pricing:</w:t>
      </w:r>
      <w:r>
        <w:t xml:space="preserve"> </w:t>
      </w:r>
      <w:r>
        <w:t xml:space="preserve">Studying the feasibility and implications of decentralized autonomous organizations (DAOs) governing AI service pricing, potentially leading to more community-driven and equitable pricing structures.</w:t>
      </w:r>
    </w:p>
    <w:p>
      <w:pPr>
        <w:pStyle w:val="Heading3"/>
      </w:pPr>
      <w:bookmarkStart w:id="84" w:name="Xdf498d8e563b4635336f07f6982a57e1fb9494a"/>
      <w:r>
        <w:t xml:space="preserve">4. Longitudinal Studies on Market Structure and Competition</w:t>
      </w:r>
      <w:bookmarkEnd w:id="84"/>
    </w:p>
    <w:p>
      <w:pPr>
        <w:pStyle w:val="FirstParagraph"/>
      </w:pPr>
      <w:r>
        <w:t xml:space="preserve">The long-term economic impact of widespread AI-driven dynamic pricing on market structure, competition, and consumer welfare requires longitudinal analysis. Key areas include:</w:t>
      </w:r>
      <w:r>
        <w:t xml:space="preserve"> </w:t>
      </w:r>
      <w:r>
        <w:t xml:space="preserve">*</w:t>
      </w:r>
      <w:r>
        <w:t xml:space="preserve"> </w:t>
      </w:r>
      <w:r>
        <w:rPr>
          <w:b/>
        </w:rPr>
        <w:t xml:space="preserve">Algorithmic Collusion:</w:t>
      </w:r>
      <w:r>
        <w:t xml:space="preserve"> </w:t>
      </w:r>
      <w:r>
        <w:t xml:space="preserve">Investigating the potential for AI pricing algorithms to inadvertently or intentionally lead to tacit collusion among competitors, and developing regulatory mechanisms to prevent anti-competitive practices.</w:t>
      </w:r>
      <w:r>
        <w:t xml:space="preserve"> </w:t>
      </w:r>
      <w:r>
        <w:t xml:space="preserve">*</w:t>
      </w:r>
      <w:r>
        <w:t xml:space="preserve"> </w:t>
      </w:r>
      <w:r>
        <w:rPr>
          <w:b/>
        </w:rPr>
        <w:t xml:space="preserve">Market Concentration:</w:t>
      </w:r>
      <w:r>
        <w:t xml:space="preserve"> </w:t>
      </w:r>
      <w:r>
        <w:t xml:space="preserve">Studying whether AI-driven pricing exacerbates market concentration, favoring large players with superior data and computational resources, or if it fosters new competitive dynamics.</w:t>
      </w:r>
      <w:r>
        <w:t xml:space="preserve"> </w:t>
      </w:r>
      <w:r>
        <w:t xml:space="preserve">*</w:t>
      </w:r>
      <w:r>
        <w:t xml:space="preserve"> </w:t>
      </w:r>
      <w:r>
        <w:rPr>
          <w:b/>
        </w:rPr>
        <w:t xml:space="preserve">Consumer Surplus and Welfare:</w:t>
      </w:r>
      <w:r>
        <w:t xml:space="preserve"> </w:t>
      </w:r>
      <w:r>
        <w:t xml:space="preserve">Conducting long-term studies on the aggregate impact of AI pricing on consumer surplus and overall economic welfare across different market segments.</w:t>
      </w:r>
    </w:p>
    <w:p>
      <w:pPr>
        <w:pStyle w:val="Heading3"/>
      </w:pPr>
      <w:bookmarkStart w:id="85" w:name="Xe119e86fd0fac5c0bc69717247244dcac31d7b9"/>
      <w:r>
        <w:t xml:space="preserve">5. Human-AI Teaming and Co-Creation in Pricing Decisions</w:t>
      </w:r>
      <w:bookmarkEnd w:id="85"/>
    </w:p>
    <w:p>
      <w:pPr>
        <w:pStyle w:val="FirstParagraph"/>
      </w:pPr>
      <w:r>
        <w:t xml:space="preserve">As AI agents become more sophisticated, the role of human oversight and collaboration in pricing decisions will evolve. Future research could explore:</w:t>
      </w:r>
      <w:r>
        <w:t xml:space="preserve"> </w:t>
      </w:r>
      <w:r>
        <w:t xml:space="preserve">*</w:t>
      </w:r>
      <w:r>
        <w:t xml:space="preserve"> </w:t>
      </w:r>
      <w:r>
        <w:rPr>
          <w:b/>
        </w:rPr>
        <w:t xml:space="preserve">Adaptive Co-evolution Strategies:</w:t>
      </w:r>
      <w:r>
        <w:t xml:space="preserve"> </w:t>
      </w:r>
      <w:r>
        <w:t xml:space="preserve">Investigating how humans and AI agents can adaptively co-evolve their strategies in dynamic pricing environments, balancing AI’s efficiency with human intuition and ethical judgment.</w:t>
      </w:r>
      <w:r>
        <w:t xml:space="preserve"> </w:t>
      </w:r>
      <w:r>
        <w:t xml:space="preserve">*</w:t>
      </w:r>
      <w:r>
        <w:t xml:space="preserve"> </w:t>
      </w:r>
      <w:r>
        <w:rPr>
          <w:b/>
        </w:rPr>
        <w:t xml:space="preserve">Human-in-the-Loop Pricing Systems:</w:t>
      </w:r>
      <w:r>
        <w:t xml:space="preserve"> </w:t>
      </w:r>
      <w:r>
        <w:t xml:space="preserve">Designing and evaluating systems where AI provides optimal pricing recommendations, but human experts retain final decision-making authority, and studying the effectiveness of such hybrid approaches.</w:t>
      </w:r>
      <w:r>
        <w:t xml:space="preserve"> </w:t>
      </w:r>
      <w:r>
        <w:t xml:space="preserve">*</w:t>
      </w:r>
      <w:r>
        <w:t xml:space="preserve"> </w:t>
      </w:r>
      <w:r>
        <w:rPr>
          <w:b/>
        </w:rPr>
        <w:t xml:space="preserve">Explainability for Human Oversight:</w:t>
      </w:r>
      <w:r>
        <w:t xml:space="preserve"> </w:t>
      </w:r>
      <w:r>
        <w:t xml:space="preserve">Researching how AI explanations can be tailored to human decision-makers to enhance their understanding, trust, and ability to intervene in AI-driven pricing processes.</w:t>
      </w:r>
    </w:p>
    <w:p>
      <w:pPr>
        <w:pStyle w:val="Heading3"/>
      </w:pPr>
      <w:bookmarkStart w:id="86" w:name="X2cc306ccbbdf1bf2149f7558c63dc42ffac9630"/>
      <w:r>
        <w:t xml:space="preserve">6. Regulatory Innovation and Governance Models</w:t>
      </w:r>
      <w:bookmarkEnd w:id="86"/>
    </w:p>
    <w:p>
      <w:pPr>
        <w:pStyle w:val="FirstParagraph"/>
      </w:pPr>
      <w:r>
        <w:t xml:space="preserve">The current regulatory landscape struggles to keep pace with AI innovation. Future research needs to focus on designing agile and effective governance models:</w:t>
      </w:r>
      <w:r>
        <w:t xml:space="preserve"> </w:t>
      </w:r>
      <w:r>
        <w:t xml:space="preserve">*</w:t>
      </w:r>
      <w:r>
        <w:t xml:space="preserve"> </w:t>
      </w:r>
      <w:r>
        <w:rPr>
          <w:b/>
        </w:rPr>
        <w:t xml:space="preserve">Dynamic Regulations:</w:t>
      </w:r>
      <w:r>
        <w:t xml:space="preserve"> </w:t>
      </w:r>
      <w:r>
        <w:t xml:space="preserve">Exploring the concept of dynamic regulations that can adapt in real-time to the evolving capabilities and impacts of AI, perhaps leveraging AI itself for regulatory oversight.</w:t>
      </w:r>
      <w:r>
        <w:t xml:space="preserve"> </w:t>
      </w:r>
      <w:r>
        <w:t xml:space="preserve">*</w:t>
      </w:r>
      <w:r>
        <w:t xml:space="preserve"> </w:t>
      </w:r>
      <w:r>
        <w:rPr>
          <w:b/>
        </w:rPr>
        <w:t xml:space="preserve">International Harmonization:</w:t>
      </w:r>
      <w:r>
        <w:t xml:space="preserve"> </w:t>
      </w:r>
      <w:r>
        <w:t xml:space="preserve">Investigating pathways for international cooperation and harmonization of AI pricing regulations to address cross-border challenges and prevent regulatory arbitrage.</w:t>
      </w:r>
      <w:r>
        <w:t xml:space="preserve"> </w:t>
      </w:r>
      <w:r>
        <w:t xml:space="preserve">*</w:t>
      </w:r>
      <w:r>
        <w:t xml:space="preserve"> </w:t>
      </w:r>
      <w:r>
        <w:rPr>
          <w:b/>
        </w:rPr>
        <w:t xml:space="preserve">Regulatory Sandboxes Evaluation:</w:t>
      </w:r>
      <w:r>
        <w:t xml:space="preserve"> </w:t>
      </w:r>
      <w:r>
        <w:t xml:space="preserve">Conducting empirical studies on the effectiveness of regulatory sandboxes as a tool for informing AI policy, identifying best practices, and evaluating their role in fostering responsible innovation.</w:t>
      </w:r>
    </w:p>
    <w:p>
      <w:pPr>
        <w:pStyle w:val="Heading3"/>
      </w:pPr>
      <w:bookmarkStart w:id="87" w:name="Xa175f090385568bc27791464afe6761f817e1a2"/>
      <w:r>
        <w:t xml:space="preserve">7. Cross-Cultural and Cross-Sectoral Comparative Studies</w:t>
      </w:r>
      <w:bookmarkEnd w:id="87"/>
    </w:p>
    <w:p>
      <w:pPr>
        <w:pStyle w:val="FirstParagraph"/>
      </w:pPr>
      <w:r>
        <w:t xml:space="preserve">This study touched upon diversity in sectors and geographies. Future research should delve deeper into:</w:t>
      </w:r>
      <w:r>
        <w:t xml:space="preserve"> </w:t>
      </w:r>
      <w:r>
        <w:t xml:space="preserve">*</w:t>
      </w:r>
      <w:r>
        <w:t xml:space="preserve"> </w:t>
      </w:r>
      <w:r>
        <w:rPr>
          <w:b/>
        </w:rPr>
        <w:t xml:space="preserve">Cultural Sensitivity in Pricing:</w:t>
      </w:r>
      <w:r>
        <w:t xml:space="preserve"> </w:t>
      </w:r>
      <w:r>
        <w:t xml:space="preserve">Examining how cultural norms, consumer expectations, and ethical values influence the acceptance and impact of AI-driven pricing models in different regions.</w:t>
      </w:r>
      <w:r>
        <w:t xml:space="preserve"> </w:t>
      </w:r>
      <w:r>
        <w:t xml:space="preserve">*</w:t>
      </w:r>
      <w:r>
        <w:t xml:space="preserve"> </w:t>
      </w:r>
      <w:r>
        <w:rPr>
          <w:b/>
        </w:rPr>
        <w:t xml:space="preserve">Industry-Specific AI Pricing Benchmarks:</w:t>
      </w:r>
      <w:r>
        <w:t xml:space="preserve"> </w:t>
      </w:r>
      <w:r>
        <w:t xml:space="preserve">Developing sector-specific benchmarks and best practices for AI pricing models, recognizing that what works in e-commerce may not be optimal for healthcare or energy markets.</w:t>
      </w:r>
      <w:r>
        <w:t xml:space="preserve"> </w:t>
      </w:r>
      <w:r>
        <w:t xml:space="preserve">*</w:t>
      </w:r>
      <w:r>
        <w:t xml:space="preserve"> </w:t>
      </w:r>
      <w:r>
        <w:rPr>
          <w:b/>
        </w:rPr>
        <w:t xml:space="preserve">Impact on Emerging Economies:</w:t>
      </w:r>
      <w:r>
        <w:t xml:space="preserve"> </w:t>
      </w:r>
      <w:r>
        <w:t xml:space="preserve">Analyzing the unique challenges and opportunities of implementing AI-driven pricing in emerging economies, considering factors like digital literacy, infrastructure access, and regulatory capacity.</w:t>
      </w:r>
    </w:p>
    <w:p>
      <w:pPr>
        <w:pStyle w:val="BodyText"/>
      </w:pPr>
      <w:r>
        <w:t xml:space="preserve">These research directions collectively point toward a richer, more nuanced understanding of AI-driven pricing and its implications for theory, practice, and policy, ensuring that the development of AI aligns with broader societal goals.</w:t>
      </w:r>
    </w:p>
    <w:p>
      <w:r>
        <w:pict>
          <v:rect style="width:0;height:1.5pt" o:hralign="center" o:hrstd="t" o:hr="t"/>
        </w:pict>
      </w:r>
    </w:p>
    <w:p>
      <w:pPr>
        <w:pStyle w:val="Heading2"/>
      </w:pPr>
      <w:bookmarkStart w:id="88" w:name="conclusion"/>
      <w:r>
        <w:t xml:space="preserve">Conclusion</w:t>
      </w:r>
      <w:bookmarkEnd w:id="88"/>
    </w:p>
    <w:p>
      <w:pPr>
        <w:pStyle w:val="FirstParagraph"/>
      </w:pPr>
      <w:r>
        <w:t xml:space="preserve">The rapid advancements in artificial intelligence (AI) are fundamentally reshaping the landscape of business economics, market dynamics, and societal structures. This paper has explored the multifaceted impact of AI, particularly focusing on the emergence of agentic AI systems, dynamic pricing mechanisms, and the intricate ethical and regulatory challenges that accompany these transformative technologies. From the conceptualization of AI-driven market architectures to the granular implications for consumer behavior and strategic decision-making, the preceding sections have illuminated both the immense opportunities and the profound complexities inherent in an increasingly intelligent economy. The core objective of this study was to bridge the theoretical understanding of AI’s economic implications with practical insights, thereby contributing to a more nuanced comprehension of the future trajectory of AI-enabled markets.</w:t>
      </w:r>
    </w:p>
    <w:p>
      <w:pPr>
        <w:pStyle w:val="BodyText"/>
      </w:pPr>
      <w:r>
        <w:t xml:space="preserve">A central finding of this research underscores the pivotal role of agentic AI systems in redefining market efficiency and competitive dynamics. These systems, designed to operate autonomously and interact within complex environments (Ranjan et al., 2025)(Zheng et al., 2025), move beyond simple automation to engage in sophisticated decision-making, negotiation, and strategy execution. Their capacity to process vast datasets, identify intricate patterns, and respond in real-time offers unprecedented potential for optimization across various sectors, from supply chain management to personalized services. However, this autonomy also introduces novel challenges related to transparency, accountability, and the potential for unintended market distortions. The study highlighted how the architecture of such agentic systems, if not carefully considered, could lead to emergent behaviors that diverge from initial design parameters, necessitating robust oversight and adaptive governance frameworks. The very notion of economic agents is being reconfigured, as AI entities begin to participate actively in transactions, resource allocation, and value creation, necessitating a re-evaluation of traditional economic models that largely assume human rationality and agency.</w:t>
      </w:r>
    </w:p>
    <w:p>
      <w:pPr>
        <w:pStyle w:val="BodyText"/>
      </w:pPr>
      <w:r>
        <w:t xml:space="preserve">Furthermore, the paper delved into the transformative power of AI-driven dynamic pricing, identifying it as a cornerstone of modern, agile market strategies. Dynamic pricing, enabled by sophisticated AI algorithms, allows businesses to adjust prices in real-time based on a multitude of factors, including demand fluctuations, competitor strategies, inventory levels, and even individual consumer profiles (Senyapar et al., 2025)(Saxena &amp; Singh, 2024). This capability moves beyond static pricing models to create highly responsive and potentially more efficient markets. However, the analysis also revealed significant concerns regarding price fairness, consumer welfare, and the potential for algorithmic collusion. While dynamic pricing can optimize revenue and resource allocation (Bala &amp; Carr, 2010), its implementation requires careful consideration of ethical implications and potential regulatory interventions to prevent exploitative practices or market concentration. The intersection of AI and behavioral economics (Neyyila et al., 2025) suggests that dynamic pricing, when informed by consumer psychology, could enhance decision-making but also raises questions about manipulation and equitable access to goods and services. The study emphasized that the benefits of dynamic pricing must be balanced against the imperative to maintain market integrity and protect vulnerable consumers.</w:t>
      </w:r>
    </w:p>
    <w:p>
      <w:pPr>
        <w:pStyle w:val="BodyText"/>
      </w:pPr>
      <w:r>
        <w:t xml:space="preserve">The ethical and regulatory dimensions emerged as critical threads throughout this research, underscoring the urgent need for comprehensive governance frameworks. The rapid pace of AI innovation (Shin &amp; Kang, 2024) often outstrips the development of corresponding legal and ethical guidelines (Haq &amp; Yunanto, 2024)(Undheim et al., 2022). This gap creates a fertile ground for potential misuse, biases, and systemic risks. The paper examined various policy approaches, including the concept of regulatory sandboxes (Undheim et al., 2022) and the importance of multi-stakeholder collaboration in shaping AI policy (Ericson et al., 2025). It highlighted that effective governance must be proactive, adaptive, and capable of addressing the unique challenges posed by AI, such as the</w:t>
      </w:r>
      <w:r>
        <w:t xml:space="preserve"> </w:t>
      </w:r>
      <w:r>
        <w:t xml:space="preserve">“</w:t>
      </w:r>
      <w:r>
        <w:t xml:space="preserve">black box</w:t>
      </w:r>
      <w:r>
        <w:t xml:space="preserve">”</w:t>
      </w:r>
      <w:r>
        <w:t xml:space="preserve"> </w:t>
      </w:r>
      <w:r>
        <w:t xml:space="preserve">problem of algorithmic decision-making, data privacy concerns, and the implications for energy justice (Senyapar et al., 2025) in an increasingly AI-dependent infrastructure (Molom-Ochir &amp; Shenoy, 2021). The financial sector, for instance, is already grappling with the profound impact of AI on stability and innovation (Arba KOKALARI, 2025)(Joshi, 2025), necessitating robust regulatory responses that can foster innovation while mitigating systemic risks. The discussion on ethical AI is not merely an academic exercise but a practical imperative to ensure that AI development aligns with societal values and promotes equitable outcomes.</w:t>
      </w:r>
    </w:p>
    <w:p>
      <w:pPr>
        <w:pStyle w:val="BodyText"/>
      </w:pPr>
      <w:r>
        <w:t xml:space="preserve">Beyond the immediate economic impacts, this research also touched upon the broader societal implications of AI integration. The study acknowledged the potential for AI to enhance various aspects of human experience, from personalized learning systems (Widono et al., 2024) to co-creation ecosystems (Zheng et al., 2025). However, it also implicitly recognized the challenges related to job displacement, the widening of socio-economic inequalities, and the concentration of power in the hands of a few technology giants. The responsible integration of AI requires a holistic approach that considers not only economic efficiency but also social equity, environmental sustainability (Malik et al., 2023), and human flourishing. The transition to an AI-driven economy is not merely a technological shift but a profound societal transformation that demands careful navigation and thoughtful policy design.</w:t>
      </w:r>
    </w:p>
    <w:p>
      <w:pPr>
        <w:pStyle w:val="BodyText"/>
      </w:pPr>
      <w:r>
        <w:t xml:space="preserve">In summary, this paper has offered a comprehensive overview of AI’s burgeoning influence on business economics, providing a foundation for understanding the complex interplay between technological innovation, market forces, and regulatory imperatives. The findings reinforce that AI is not merely a tool but a fundamental force reshaping economic theory and practice. The evolution of agentic AI systems promises unprecedented efficiency and new forms of value creation, while dynamic pricing strategies offer pathways to optimized market performance. Simultaneously, these advancements necessitate a vigilant approach to ethical considerations, consumer protection, and robust regulatory frameworks to harness AI’s potential responsibly.</w:t>
      </w:r>
    </w:p>
    <w:p>
      <w:pPr>
        <w:pStyle w:val="BodyText"/>
      </w:pPr>
      <w:r>
        <w:t xml:space="preserve">The contributions of this study are manifold. Firstly, it synthesizes current research on agentic AI and dynamic pricing within a unified economic framework, offering a more integrated perspective on these interconnected phenomena. Secondly, it highlights the critical need for interdisciplinary dialogue, drawing on insights from computer science, economics, ethics, and law to address the complex challenges of AI governance. Thirdly, by examining both the opportunities and risks, the paper provides a balanced perspective that can inform policymakers, industry leaders, and researchers in their efforts to navigate the AI revolution. It underscores that the economic benefits of AI cannot be divorced from its ethical and societal implications, advocating for a holistic approach to AI development and deployment. This research also contributes to the understanding of how AI is transforming various industries, from e-commerce (Paul, 2023)(Hossen, 2024) and hospitality (Milton &amp; Dean, 2024) to insurance (Bhattacharya et al., 2025) and online travel agencies (Guo, 2025), showcasing the broad applicability and disruptive potential of these technologies. The analysis of innovation diffusion patterns (Shin &amp; Kang, 2024) further enriches the understanding of how AI technologies are adopted and integrated into existing economic structures.</w:t>
      </w:r>
    </w:p>
    <w:p>
      <w:pPr>
        <w:pStyle w:val="BodyText"/>
      </w:pPr>
      <w:r>
        <w:t xml:space="preserve">Despite these contributions, this study is not without limitations. The rapidly evolving nature of AI technology means that some insights may require continuous updating. Furthermore, while the paper draws on a broad range of literature, specific empirical validations or case studies were beyond its scope, representing an area for future research. The theoretical nature of some discussions, particularly concerning future market architectures and regulatory responses, calls for further practical implementation and observation. The generalizability of certain findings might also be constrained by the diverse applications of AI across different economic sectors and cultural contexts (Xue, 2023).</w:t>
      </w:r>
    </w:p>
    <w:p>
      <w:pPr>
        <w:pStyle w:val="BodyText"/>
      </w:pPr>
      <w:r>
        <w:t xml:space="preserve">Looking ahead, several promising avenues for future research emerge from this study. Firstly, there is a pressing need for empirical research to validate the theoretical models proposed for agentic AI systems and dynamic pricing mechanisms. This could involve developing simulation models, conducting controlled experiments, or analyzing real-world market data to quantify the impacts on efficiency, consumer welfare, and market stability. Such studies could shed light on the conditions under which AI-driven markets are most beneficial and identify potential failure modes. Secondly, further investigation into the design principles for ethical AI is crucial. This includes developing robust methodologies for detecting and mitigating algorithmic bias, ensuring transparency in AI decision-making, and establishing clear accountability frameworks for autonomous agents. Research into the co-evolutionary strategies between human and AI agents (Miao et al., 2025) and the development of embodied AI agents (Zheng et al., 2025) can also provide valuable insights into future human-AI collaboration.</w:t>
      </w:r>
    </w:p>
    <w:p>
      <w:pPr>
        <w:pStyle w:val="BodyText"/>
      </w:pPr>
      <w:r>
        <w:t xml:space="preserve">Thirdly, the development of adaptive regulatory frameworks is paramount. Future research could explore innovative policy instruments, such as dynamic regulations or AI-enabled regulatory oversight, that can keep pace with technological advancements. This includes examining the legal implications of AI use (Haq &amp; Yunanto, 2024) and the role of knowledge sharing in AI services (Mohammed et al., 2023). Fourthly, the long-term socio-economic implications of widespread AI adoption warrant deeper investigation. This includes studies on the future of work, income inequality, and the potential for AI to exacerbate or alleviate existing societal challenges. Understanding consumer decision-making in an AI-driven environment (Leela.Vemula et al., 2025) is also a critical area for ongoing research. Finally, interdisciplinary collaboration remains essential. Future research should continue to foster dialogue between AI researchers, economists, ethicists, legal scholars, and policymakers to collectively shape a future where AI serves as a force for positive societal and economic transformation. The ultimate success of the AI revolution hinges not just on technological prowess, but on our collective ability to govern it wisely and ethically.</w:t>
      </w:r>
    </w:p>
    <w:p>
      <w:r>
        <w:pict>
          <v:rect style="width:0;height:1.5pt" o:hralign="center" o:hrstd="t" o:hr="t"/>
        </w:pict>
      </w:r>
    </w:p>
    <w:p>
      <w:pPr>
        <w:pStyle w:val="Heading2"/>
      </w:pPr>
      <w:bookmarkStart w:id="89" w:name="X292eafa9907abd668f4def22f4576a934a78d11"/>
      <w:r>
        <w:t xml:space="preserve">Appendix A: Agentic AI System Architecture for Dynamic Pricing</w:t>
      </w:r>
      <w:bookmarkEnd w:id="89"/>
    </w:p>
    <w:p>
      <w:pPr>
        <w:pStyle w:val="FirstParagraph"/>
      </w:pPr>
      <w:r>
        <w:t xml:space="preserve">This appendix details a conceptual architecture for an agentic AI system specifically designed to implement dynamic pricing strategies. This framework illustrates the core components and their interactions, highlighting the complexity and sophistication required for autonomous, adaptive pricing in real-world markets.</w:t>
      </w:r>
    </w:p>
    <w:p>
      <w:pPr>
        <w:pStyle w:val="Heading3"/>
      </w:pPr>
      <w:bookmarkStart w:id="90" w:name="X305b5e777fe756f5281b276a4c74f4f9f1ab650"/>
      <w:r>
        <w:t xml:space="preserve">A.1 Core Components of an Agentic Pricing System</w:t>
      </w:r>
      <w:bookmarkEnd w:id="90"/>
    </w:p>
    <w:p>
      <w:pPr>
        <w:pStyle w:val="FirstParagraph"/>
      </w:pPr>
      <w:r>
        <w:t xml:space="preserve">An agentic AI system for dynamic pricing typically comprises several interconnected modules, each responsible for a specific function within the pricing lifecycle. These components allow the system to perceive, reason, act, and learn continuously.</w:t>
      </w:r>
    </w:p>
    <w:p>
      <w:pPr>
        <w:pStyle w:val="Heading4"/>
      </w:pPr>
      <w:bookmarkStart w:id="91" w:name="a.1.1-perception-module"/>
      <w:r>
        <w:t xml:space="preserve">A.1.1 Perception Module</w:t>
      </w:r>
      <w:bookmarkEnd w:id="91"/>
    </w:p>
    <w:p>
      <w:pPr>
        <w:pStyle w:val="FirstParagraph"/>
      </w:pPr>
      <w:r>
        <w:t xml:space="preserve">This module is responsible for gathering and processing external and internal data relevant to pricing decisions. It integrates various data sources in real-time or near real-time.</w:t>
      </w:r>
      <w:r>
        <w:t xml:space="preserve"> </w:t>
      </w:r>
      <w:r>
        <w:t xml:space="preserve">*</w:t>
      </w:r>
      <w:r>
        <w:t xml:space="preserve"> </w:t>
      </w:r>
      <w:r>
        <w:rPr>
          <w:b/>
        </w:rPr>
        <w:t xml:space="preserve">Market Data Streamers:</w:t>
      </w:r>
      <w:r>
        <w:t xml:space="preserve"> </w:t>
      </w:r>
      <w:r>
        <w:t xml:space="preserve">Collects information on competitor pricing, market demand indicators (e.g., search trends, social media sentiment), supply chain disruptions, and macroeconomic factors.</w:t>
      </w:r>
      <w:r>
        <w:t xml:space="preserve"> </w:t>
      </w:r>
      <w:r>
        <w:t xml:space="preserve">*</w:t>
      </w:r>
      <w:r>
        <w:t xml:space="preserve"> </w:t>
      </w:r>
      <w:r>
        <w:rPr>
          <w:b/>
        </w:rPr>
        <w:t xml:space="preserve">Internal Data Connectors:</w:t>
      </w:r>
      <w:r>
        <w:t xml:space="preserve"> </w:t>
      </w:r>
      <w:r>
        <w:t xml:space="preserve">Accesses historical sales data, inventory levels, customer profiles, product costs, website traffic, conversion rates, and promotional effectiveness.</w:t>
      </w:r>
      <w:r>
        <w:t xml:space="preserve"> </w:t>
      </w:r>
      <w:r>
        <w:t xml:space="preserve">*</w:t>
      </w:r>
      <w:r>
        <w:t xml:space="preserve"> </w:t>
      </w:r>
      <w:r>
        <w:rPr>
          <w:b/>
        </w:rPr>
        <w:t xml:space="preserve">Customer Behavior Monitors:</w:t>
      </w:r>
      <w:r>
        <w:t xml:space="preserve"> </w:t>
      </w:r>
      <w:r>
        <w:t xml:space="preserve">Tracks individual user interactions, browsing history, purchase patterns, and perceived willingness to pay.</w:t>
      </w:r>
      <w:r>
        <w:t xml:space="preserve"> </w:t>
      </w:r>
      <w:r>
        <w:t xml:space="preserve">*</w:t>
      </w:r>
      <w:r>
        <w:t xml:space="preserve"> </w:t>
      </w:r>
      <w:r>
        <w:rPr>
          <w:b/>
        </w:rPr>
        <w:t xml:space="preserve">Regulatory Scanners:</w:t>
      </w:r>
      <w:r>
        <w:t xml:space="preserve"> </w:t>
      </w:r>
      <w:r>
        <w:t xml:space="preserve">Monitors changes in legal frameworks, antitrust policies, and ethical guidelines that might impact pricing decisions.</w:t>
      </w:r>
    </w:p>
    <w:p>
      <w:pPr>
        <w:pStyle w:val="Heading4"/>
      </w:pPr>
      <w:bookmarkStart w:id="92" w:name="a.1.2-decision-module-pricing-engine"/>
      <w:r>
        <w:t xml:space="preserve">A.1.2 Decision Module (Pricing Engine)</w:t>
      </w:r>
      <w:bookmarkEnd w:id="92"/>
    </w:p>
    <w:p>
      <w:pPr>
        <w:pStyle w:val="FirstParagraph"/>
      </w:pPr>
      <w:r>
        <w:t xml:space="preserve">This is the</w:t>
      </w:r>
      <w:r>
        <w:t xml:space="preserve"> </w:t>
      </w:r>
      <w:r>
        <w:t xml:space="preserve">“</w:t>
      </w:r>
      <w:r>
        <w:t xml:space="preserve">brain</w:t>
      </w:r>
      <w:r>
        <w:t xml:space="preserve">”</w:t>
      </w:r>
      <w:r>
        <w:t xml:space="preserve"> </w:t>
      </w:r>
      <w:r>
        <w:t xml:space="preserve">of the agent, housing the core AI algorithms responsible for determining optimal prices. It leverages the data from the Perception Module to formulate pricing strategies.</w:t>
      </w:r>
      <w:r>
        <w:t xml:space="preserve"> </w:t>
      </w:r>
      <w:r>
        <w:t xml:space="preserve">*</w:t>
      </w:r>
      <w:r>
        <w:t xml:space="preserve"> </w:t>
      </w:r>
      <w:r>
        <w:rPr>
          <w:b/>
        </w:rPr>
        <w:t xml:space="preserve">Predictive Analytics Engine:</w:t>
      </w:r>
      <w:r>
        <w:t xml:space="preserve"> </w:t>
      </w:r>
      <w:r>
        <w:t xml:space="preserve">Uses machine learning models (e.g., regression, time-series forecasting) to predict future demand, supply, and competitor actions.</w:t>
      </w:r>
      <w:r>
        <w:t xml:space="preserve"> </w:t>
      </w:r>
      <w:r>
        <w:t xml:space="preserve">*</w:t>
      </w:r>
      <w:r>
        <w:t xml:space="preserve"> </w:t>
      </w:r>
      <w:r>
        <w:rPr>
          <w:b/>
        </w:rPr>
        <w:t xml:space="preserve">Optimization Algorithms:</w:t>
      </w:r>
      <w:r>
        <w:t xml:space="preserve"> </w:t>
      </w:r>
      <w:r>
        <w:t xml:space="preserve">Employs reinforcement learning, genetic algorithms, or other optimization techniques to identify the price points that maximize specific objectives (e.g., revenue, profit, market share, customer lifetime value) under given constraints.</w:t>
      </w:r>
      <w:r>
        <w:t xml:space="preserve"> </w:t>
      </w:r>
      <w:r>
        <w:t xml:space="preserve">*</w:t>
      </w:r>
      <w:r>
        <w:t xml:space="preserve"> </w:t>
      </w:r>
      <w:r>
        <w:rPr>
          <w:b/>
        </w:rPr>
        <w:t xml:space="preserve">Behavioral Economics Integrator:</w:t>
      </w:r>
      <w:r>
        <w:t xml:space="preserve"> </w:t>
      </w:r>
      <w:r>
        <w:t xml:space="preserve">Incorporates insights from behavioral economics to understand and predict customer responses to price changes, enabling more nuanced pricing strategies.</w:t>
      </w:r>
      <w:r>
        <w:t xml:space="preserve"> </w:t>
      </w:r>
      <w:r>
        <w:t xml:space="preserve">*</w:t>
      </w:r>
      <w:r>
        <w:t xml:space="preserve"> </w:t>
      </w:r>
      <w:r>
        <w:rPr>
          <w:b/>
        </w:rPr>
        <w:t xml:space="preserve">Ethical Constraint Layer:</w:t>
      </w:r>
      <w:r>
        <w:t xml:space="preserve"> </w:t>
      </w:r>
      <w:r>
        <w:t xml:space="preserve">Ensures that pricing decisions adhere to predefined ethical guidelines, preventing discriminatory practices or predatory pricing. This layer may involve fairness metrics and bias detection algorithms.</w:t>
      </w:r>
    </w:p>
    <w:p>
      <w:pPr>
        <w:pStyle w:val="Heading4"/>
      </w:pPr>
      <w:bookmarkStart w:id="93" w:name="a.1.3-action-module"/>
      <w:r>
        <w:t xml:space="preserve">A.1.3 Action Module</w:t>
      </w:r>
      <w:bookmarkEnd w:id="93"/>
    </w:p>
    <w:p>
      <w:pPr>
        <w:pStyle w:val="FirstParagraph"/>
      </w:pPr>
      <w:r>
        <w:t xml:space="preserve">This module translates the pricing decisions from the Decision Module into concrete actions within the market.</w:t>
      </w:r>
      <w:r>
        <w:t xml:space="preserve"> </w:t>
      </w:r>
      <w:r>
        <w:t xml:space="preserve">*</w:t>
      </w:r>
      <w:r>
        <w:t xml:space="preserve"> </w:t>
      </w:r>
      <w:r>
        <w:rPr>
          <w:b/>
        </w:rPr>
        <w:t xml:space="preserve">Price Adjustment Mechanism:</w:t>
      </w:r>
      <w:r>
        <w:t xml:space="preserve"> </w:t>
      </w:r>
      <w:r>
        <w:t xml:space="preserve">Automatically updates prices across various sales channels (e.g., e-commerce platform, API gateway, physical stores).</w:t>
      </w:r>
      <w:r>
        <w:t xml:space="preserve"> </w:t>
      </w:r>
      <w:r>
        <w:t xml:space="preserve">*</w:t>
      </w:r>
      <w:r>
        <w:t xml:space="preserve"> </w:t>
      </w:r>
      <w:r>
        <w:rPr>
          <w:b/>
        </w:rPr>
        <w:t xml:space="preserve">Communication Interface:</w:t>
      </w:r>
      <w:r>
        <w:t xml:space="preserve"> </w:t>
      </w:r>
      <w:r>
        <w:t xml:space="preserve">Generates transparent explanations for price changes (if required by ethical guidelines or regulations) and communicates them to customers or internal stakeholders.</w:t>
      </w:r>
      <w:r>
        <w:t xml:space="preserve"> </w:t>
      </w:r>
      <w:r>
        <w:t xml:space="preserve">*</w:t>
      </w:r>
      <w:r>
        <w:t xml:space="preserve"> </w:t>
      </w:r>
      <w:r>
        <w:rPr>
          <w:b/>
        </w:rPr>
        <w:t xml:space="preserve">Promotional Campaign Manager:</w:t>
      </w:r>
      <w:r>
        <w:t xml:space="preserve"> </w:t>
      </w:r>
      <w:r>
        <w:t xml:space="preserve">Initiates or adjusts marketing promotions in response to pricing strategies or market conditions.</w:t>
      </w:r>
    </w:p>
    <w:p>
      <w:pPr>
        <w:pStyle w:val="Heading4"/>
      </w:pPr>
      <w:bookmarkStart w:id="94" w:name="a.1.4-learning-module"/>
      <w:r>
        <w:t xml:space="preserve">A.1.4 Learning Module</w:t>
      </w:r>
      <w:bookmarkEnd w:id="94"/>
    </w:p>
    <w:p>
      <w:pPr>
        <w:pStyle w:val="FirstParagraph"/>
      </w:pPr>
      <w:r>
        <w:t xml:space="preserve">This module continuously evaluates the effectiveness of pricing actions and uses this feedback to refine the Decision Module’s algorithms.</w:t>
      </w:r>
      <w:r>
        <w:t xml:space="preserve"> </w:t>
      </w:r>
      <w:r>
        <w:t xml:space="preserve">*</w:t>
      </w:r>
      <w:r>
        <w:t xml:space="preserve"> </w:t>
      </w:r>
      <w:r>
        <w:rPr>
          <w:b/>
        </w:rPr>
        <w:t xml:space="preserve">Performance Monitor:</w:t>
      </w:r>
      <w:r>
        <w:t xml:space="preserve"> </w:t>
      </w:r>
      <w:r>
        <w:t xml:space="preserve">Tracks key performance indicators (KPIs) such as revenue, profit, conversion rates, and customer satisfaction in response to price changes.</w:t>
      </w:r>
      <w:r>
        <w:t xml:space="preserve"> </w:t>
      </w:r>
      <w:r>
        <w:t xml:space="preserve">*</w:t>
      </w:r>
      <w:r>
        <w:t xml:space="preserve"> </w:t>
      </w:r>
      <w:r>
        <w:rPr>
          <w:b/>
        </w:rPr>
        <w:t xml:space="preserve">Feedback Loop Integrator:</w:t>
      </w:r>
      <w:r>
        <w:t xml:space="preserve"> </w:t>
      </w:r>
      <w:r>
        <w:t xml:space="preserve">Feeds actual outcomes back into the Predictive Analytics Engine and Optimization Algorithms for continuous model retraining and improvement.</w:t>
      </w:r>
      <w:r>
        <w:t xml:space="preserve"> </w:t>
      </w:r>
      <w:r>
        <w:t xml:space="preserve">*</w:t>
      </w:r>
      <w:r>
        <w:t xml:space="preserve"> </w:t>
      </w:r>
      <w:r>
        <w:rPr>
          <w:b/>
        </w:rPr>
        <w:t xml:space="preserve">A/B Testing Framework:</w:t>
      </w:r>
      <w:r>
        <w:t xml:space="preserve"> </w:t>
      </w:r>
      <w:r>
        <w:t xml:space="preserve">Conducts controlled experiments to compare different pricing strategies and identify the most effective approaches.</w:t>
      </w:r>
    </w:p>
    <w:p>
      <w:pPr>
        <w:pStyle w:val="Heading3"/>
      </w:pPr>
      <w:bookmarkStart w:id="95" w:name="X2a255ed14fd82cd8d6e315fa8a684ea4e3d4dd9"/>
      <w:r>
        <w:t xml:space="preserve">A.2 Data Flow and Integration in Dynamic Pricing</w:t>
      </w:r>
      <w:bookmarkEnd w:id="95"/>
    </w:p>
    <w:p>
      <w:pPr>
        <w:pStyle w:val="FirstParagraph"/>
      </w:pPr>
      <w:r>
        <w:t xml:space="preserve">The seamless flow and integration of data are paramount for the performance of an agentic dynamic pricing system. Data pipelines must be robust, real-time, and secure.</w:t>
      </w:r>
    </w:p>
    <w:p>
      <w:pPr>
        <w:numPr>
          <w:ilvl w:val="0"/>
          <w:numId w:val="1009"/>
        </w:numPr>
        <w:pStyle w:val="Compact"/>
      </w:pPr>
      <w:r>
        <w:rPr>
          <w:b/>
        </w:rPr>
        <w:t xml:space="preserve">Real-time Data Streams:</w:t>
      </w:r>
      <w:r>
        <w:t xml:space="preserve"> </w:t>
      </w:r>
      <w:r>
        <w:t xml:space="preserve">High-velocity data from market sensors, web analytics, and social media feeds are ingested and pre-processed to ensure freshness and relevance.</w:t>
      </w:r>
    </w:p>
    <w:p>
      <w:pPr>
        <w:numPr>
          <w:ilvl w:val="0"/>
          <w:numId w:val="1009"/>
        </w:numPr>
        <w:pStyle w:val="Compact"/>
      </w:pPr>
      <w:r>
        <w:rPr>
          <w:b/>
        </w:rPr>
        <w:t xml:space="preserve">Historical Data Warehouses:</w:t>
      </w:r>
      <w:r>
        <w:t xml:space="preserve"> </w:t>
      </w:r>
      <w:r>
        <w:t xml:space="preserve">Long-term storage of sales, customer, and product data provides the foundation for training predictive models and identifying seasonal trends.</w:t>
      </w:r>
    </w:p>
    <w:p>
      <w:pPr>
        <w:numPr>
          <w:ilvl w:val="0"/>
          <w:numId w:val="1009"/>
        </w:numPr>
        <w:pStyle w:val="Compact"/>
      </w:pPr>
      <w:r>
        <w:rPr>
          <w:b/>
        </w:rPr>
        <w:t xml:space="preserve">External Data APIs:</w:t>
      </w:r>
      <w:r>
        <w:t xml:space="preserve"> </w:t>
      </w:r>
      <w:r>
        <w:t xml:space="preserve">Integrates third-party data services for macroeconomic indicators, weather patterns, or industry-specific benchmarks.</w:t>
      </w:r>
    </w:p>
    <w:p>
      <w:pPr>
        <w:numPr>
          <w:ilvl w:val="0"/>
          <w:numId w:val="1009"/>
        </w:numPr>
        <w:pStyle w:val="Compact"/>
      </w:pPr>
      <w:r>
        <w:rPr>
          <w:b/>
        </w:rPr>
        <w:t xml:space="preserve">Secure Data Exchange:</w:t>
      </w:r>
      <w:r>
        <w:t xml:space="preserve"> </w:t>
      </w:r>
      <w:r>
        <w:t xml:space="preserve">All data ingress, egress, and internal transfers must adhere to strict security protocols and privacy regulations (e.g., GDPR, CCPA). Data anonymization and pseudonymization techniques are critical.</w:t>
      </w:r>
    </w:p>
    <w:p>
      <w:pPr>
        <w:pStyle w:val="Heading3"/>
      </w:pPr>
      <w:bookmarkStart w:id="96" w:name="X5419c69bc5cf830c933589d7fc306017a41b4ad"/>
      <w:r>
        <w:t xml:space="preserve">A.3 Pricing Engine Integration with Agentic AI</w:t>
      </w:r>
      <w:bookmarkEnd w:id="96"/>
    </w:p>
    <w:p>
      <w:pPr>
        <w:pStyle w:val="FirstParagraph"/>
      </w:pPr>
      <w:r>
        <w:t xml:space="preserve">The integration of the pricing engine within a broader agentic AI framework allows for autonomous adaptation and strategic execution. The agent is not just a price calculator but a strategic entity.</w:t>
      </w:r>
    </w:p>
    <w:p>
      <w:pPr>
        <w:numPr>
          <w:ilvl w:val="0"/>
          <w:numId w:val="1010"/>
        </w:numPr>
        <w:pStyle w:val="Compact"/>
      </w:pPr>
      <w:r>
        <w:rPr>
          <w:b/>
        </w:rPr>
        <w:t xml:space="preserve">Goal-Oriented Pricing:</w:t>
      </w:r>
      <w:r>
        <w:t xml:space="preserve"> </w:t>
      </w:r>
      <w:r>
        <w:t xml:space="preserve">The agent is given high-level business goals (e.g.,</w:t>
      </w:r>
      <w:r>
        <w:t xml:space="preserve"> </w:t>
      </w:r>
      <w:r>
        <w:t xml:space="preserve">“</w:t>
      </w:r>
      <w:r>
        <w:t xml:space="preserve">maximize Q3 profit,</w:t>
      </w:r>
      <w:r>
        <w:t xml:space="preserve">”</w:t>
      </w:r>
      <w:r>
        <w:t xml:space="preserve"> </w:t>
      </w:r>
      <w:r>
        <w:t xml:space="preserve">“</w:t>
      </w:r>
      <w:r>
        <w:t xml:space="preserve">increase market share by 5%,</w:t>
      </w:r>
      <w:r>
        <w:t xml:space="preserve">”</w:t>
      </w:r>
      <w:r>
        <w:t xml:space="preserve"> </w:t>
      </w:r>
      <w:r>
        <w:t xml:space="preserve">“</w:t>
      </w:r>
      <w:r>
        <w:t xml:space="preserve">optimize energy grid load</w:t>
      </w:r>
      <w:r>
        <w:t xml:space="preserve">”</w:t>
      </w:r>
      <w:r>
        <w:t xml:space="preserve">) and autonomously devises and executes pricing strategies to achieve them.</w:t>
      </w:r>
    </w:p>
    <w:p>
      <w:pPr>
        <w:numPr>
          <w:ilvl w:val="0"/>
          <w:numId w:val="1010"/>
        </w:numPr>
        <w:pStyle w:val="Compact"/>
      </w:pPr>
      <w:r>
        <w:rPr>
          <w:b/>
        </w:rPr>
        <w:t xml:space="preserve">Multi-Agent Coordination:</w:t>
      </w:r>
      <w:r>
        <w:t xml:space="preserve"> </w:t>
      </w:r>
      <w:r>
        <w:t xml:space="preserve">In complex ecosystems, multiple AI agents (e.g., a pricing agent, an inventory management agent, a marketing agent) may need to coordinate their actions to achieve overall business objectives. The pricing agent’s decisions influence and are influenced by other agents.</w:t>
      </w:r>
    </w:p>
    <w:p>
      <w:pPr>
        <w:numPr>
          <w:ilvl w:val="0"/>
          <w:numId w:val="1010"/>
        </w:numPr>
        <w:pStyle w:val="Compact"/>
      </w:pPr>
      <w:r>
        <w:rPr>
          <w:b/>
        </w:rPr>
        <w:t xml:space="preserve">Adaptive Strategy Generation:</w:t>
      </w:r>
      <w:r>
        <w:t xml:space="preserve"> </w:t>
      </w:r>
      <w:r>
        <w:t xml:space="preserve">The agent can dynamically switch between different pricing strategies (e.g., from penetration pricing to skimming pricing) based on its learning and current market conditions, rather than following static rules.</w:t>
      </w:r>
    </w:p>
    <w:p>
      <w:pPr>
        <w:pStyle w:val="Heading3"/>
      </w:pPr>
      <w:bookmarkStart w:id="97" w:name="Xe0d6867bb3ef02c41a2437074c1279b18bb616e"/>
      <w:r>
        <w:t xml:space="preserve">A.4 Scalability, Security, and Ethical Considerations</w:t>
      </w:r>
      <w:bookmarkEnd w:id="97"/>
    </w:p>
    <w:p>
      <w:pPr>
        <w:pStyle w:val="FirstParagraph"/>
      </w:pPr>
      <w:r>
        <w:t xml:space="preserve">The architectural design must account for operational requirements and responsible deployment.</w:t>
      </w:r>
    </w:p>
    <w:p>
      <w:pPr>
        <w:numPr>
          <w:ilvl w:val="0"/>
          <w:numId w:val="1011"/>
        </w:numPr>
        <w:pStyle w:val="Compact"/>
      </w:pPr>
      <w:r>
        <w:rPr>
          <w:b/>
        </w:rPr>
        <w:t xml:space="preserve">Scalability:</w:t>
      </w:r>
      <w:r>
        <w:t xml:space="preserve"> </w:t>
      </w:r>
      <w:r>
        <w:t xml:space="preserve">The architecture must be cloud-native, leveraging microservices, containerization (e.g., Kubernetes), and serverless computing to dynamically scale compute and storage resources based on demand. This ensures cost-efficiency and responsiveness.</w:t>
      </w:r>
    </w:p>
    <w:p>
      <w:pPr>
        <w:numPr>
          <w:ilvl w:val="0"/>
          <w:numId w:val="1011"/>
        </w:numPr>
        <w:pStyle w:val="Compact"/>
      </w:pPr>
      <w:r>
        <w:rPr>
          <w:b/>
        </w:rPr>
        <w:t xml:space="preserve">Security:</w:t>
      </w:r>
      <w:r>
        <w:t xml:space="preserve"> </w:t>
      </w:r>
      <w:r>
        <w:t xml:space="preserve">Multi-layered security measures, including encryption, access controls, anomaly detection, and regular audits, are essential to protect sensitive pricing data and prevent manipulation.</w:t>
      </w:r>
    </w:p>
    <w:p>
      <w:pPr>
        <w:numPr>
          <w:ilvl w:val="0"/>
          <w:numId w:val="1011"/>
        </w:numPr>
        <w:pStyle w:val="Compact"/>
      </w:pPr>
      <w:r>
        <w:rPr>
          <w:b/>
        </w:rPr>
        <w:t xml:space="preserve">Ethical Design:</w:t>
      </w:r>
      <w:r>
        <w:t xml:space="preserve"> </w:t>
      </w:r>
      <w:r>
        <w:t xml:space="preserve">The architecture must incorporate mechanisms for auditability, explainability, and fairness checks. This includes logging all pricing decisions and their inputs, allowing for post-hoc analysis and ensuring compliance with ethical AI principles. Mechanisms for human-in-the-loop intervention are also critical for overseeing autonomous pricing agents.</w:t>
      </w:r>
    </w:p>
    <w:p>
      <w:pPr>
        <w:pStyle w:val="FirstParagraph"/>
      </w:pPr>
      <w:r>
        <w:t xml:space="preserve">This detailed architectural blueprint provides a comprehensive view of the intricate components and considerations necessary for building robust and ethically responsible agentic AI systems for dynamic pricing.</w:t>
      </w:r>
    </w:p>
    <w:p>
      <w:r>
        <w:pict>
          <v:rect style="width:0;height:1.5pt" o:hralign="center" o:hrstd="t" o:hr="t"/>
        </w:pict>
      </w:r>
    </w:p>
    <w:p>
      <w:pPr>
        <w:pStyle w:val="Heading2"/>
      </w:pPr>
      <w:bookmarkStart w:id="98" w:name="Xddafc6113280cea0e301d89f8ce04ccfbadbe46"/>
      <w:r>
        <w:t xml:space="preserve">Appendix C: Detailed Case Study Projections</w:t>
      </w:r>
      <w:bookmarkEnd w:id="98"/>
    </w:p>
    <w:p>
      <w:pPr>
        <w:pStyle w:val="FirstParagraph"/>
      </w:pPr>
      <w:r>
        <w:t xml:space="preserve">This appendix provides detailed quantitative projections and data tables for hypothetical scenarios, expanding on the real-world examples discussed in the Analysis section. These projections illustrate the potential impact of different AI pricing models on key business metrics and highlight the strategic considerations involved.</w:t>
      </w:r>
    </w:p>
    <w:p>
      <w:pPr>
        <w:pStyle w:val="Heading3"/>
      </w:pPr>
      <w:bookmarkStart w:id="99" w:name="c.1-openai-gpt-models-pricing-scenarios"/>
      <w:r>
        <w:t xml:space="preserve">C.1 OpenAI: GPT Models Pricing Scenarios</w:t>
      </w:r>
      <w:bookmarkEnd w:id="99"/>
    </w:p>
    <w:p>
      <w:pPr>
        <w:pStyle w:val="FirstParagraph"/>
      </w:pPr>
      <w:r>
        <w:t xml:space="preserve">This scenario models the cost and value perception for a medium-sized enterprise utilizing OpenAI’s GPT models for two distinct use cases: customer support automation and advanced content generation. The projections are based on hypothetical but realistic usage patterns and pricing tiers.</w:t>
      </w:r>
    </w:p>
    <w:p>
      <w:pPr>
        <w:pStyle w:val="BodyText"/>
      </w:pPr>
      <w:r>
        <w:rPr>
          <w:b/>
        </w:rPr>
        <w:t xml:space="preserve">Table C.1: Quantitative Metrics for OpenAI GPT Model Usage Scenarios (Hypothetical)</w:t>
      </w:r>
    </w:p>
    <w:tbl>
      <w:tblPr>
        <w:tblStyle w:val="Table"/>
        <w:tblW w:type="pct" w:w="5000.0"/>
        <w:tblLook w:firstRow="1"/>
      </w:tblPr>
      <w:tblGrid>
        <w:gridCol w:w="2059"/>
        <w:gridCol w:w="1003"/>
        <w:gridCol w:w="1425"/>
        <w:gridCol w:w="1320"/>
        <w:gridCol w:w="2112"/>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Baseline (Manual)</w:t>
            </w:r>
          </w:p>
        </w:tc>
        <w:tc>
          <w:tcPr>
            <w:tcBorders>
              <w:bottom w:val="single"/>
            </w:tcBorders>
            <w:vAlign w:val="bottom"/>
          </w:tcPr>
          <w:p>
            <w:pPr>
              <w:pStyle w:val="Compact"/>
              <w:jc w:val="left"/>
            </w:pPr>
            <w:r>
              <w:t xml:space="preserve">GPT-3.5 API (Usage-Based)</w:t>
            </w:r>
          </w:p>
        </w:tc>
        <w:tc>
          <w:tcPr>
            <w:tcBorders>
              <w:bottom w:val="single"/>
            </w:tcBorders>
            <w:vAlign w:val="bottom"/>
          </w:tcPr>
          <w:p>
            <w:pPr>
              <w:pStyle w:val="Compact"/>
              <w:jc w:val="left"/>
            </w:pPr>
            <w:r>
              <w:t xml:space="preserve">GPT-4 API (Usage-Based)</w:t>
            </w:r>
          </w:p>
        </w:tc>
        <w:tc>
          <w:tcPr>
            <w:tcBorders>
              <w:bottom w:val="single"/>
            </w:tcBorders>
            <w:vAlign w:val="bottom"/>
          </w:tcPr>
          <w:p>
            <w:pPr>
              <w:pStyle w:val="Compact"/>
              <w:jc w:val="left"/>
            </w:pPr>
            <w:r>
              <w:t xml:space="preserve">GPT-4 API w/ Fine-tuning (Value-Based)</w:t>
            </w:r>
          </w:p>
        </w:tc>
      </w:tr>
      <w:tr>
        <w:tc>
          <w:p>
            <w:pPr>
              <w:pStyle w:val="Compact"/>
              <w:jc w:val="left"/>
            </w:pPr>
            <w:r>
              <w:rPr>
                <w:b/>
              </w:rPr>
              <w:t xml:space="preserve">Monthly Cost (USD)</w:t>
            </w:r>
          </w:p>
        </w:tc>
        <w:tc>
          <w:p>
            <w:pPr>
              <w:pStyle w:val="Compact"/>
              <w:jc w:val="left"/>
            </w:pPr>
            <w:r>
              <w:t xml:space="preserve">$10,000</w:t>
            </w:r>
          </w:p>
        </w:tc>
        <w:tc>
          <w:p>
            <w:pPr>
              <w:pStyle w:val="Compact"/>
              <w:jc w:val="left"/>
            </w:pPr>
            <w:r>
              <w:t xml:space="preserve">$800</w:t>
            </w:r>
          </w:p>
        </w:tc>
        <w:tc>
          <w:p>
            <w:pPr>
              <w:pStyle w:val="Compact"/>
              <w:jc w:val="left"/>
            </w:pPr>
            <w:r>
              <w:t xml:space="preserve">$2,500</w:t>
            </w:r>
          </w:p>
        </w:tc>
        <w:tc>
          <w:p>
            <w:pPr>
              <w:pStyle w:val="Compact"/>
              <w:jc w:val="left"/>
            </w:pPr>
            <w:r>
              <w:t xml:space="preserve">$7,000 (incl. fine-tune)</w:t>
            </w:r>
          </w:p>
        </w:tc>
      </w:tr>
      <w:tr>
        <w:tc>
          <w:p>
            <w:pPr>
              <w:pStyle w:val="Compact"/>
              <w:jc w:val="left"/>
            </w:pPr>
            <w:r>
              <w:rPr>
                <w:b/>
              </w:rPr>
              <w:t xml:space="preserve">Customer Support Tickets Processed</w:t>
            </w:r>
          </w:p>
        </w:tc>
        <w:tc>
          <w:p>
            <w:pPr>
              <w:pStyle w:val="Compact"/>
              <w:jc w:val="left"/>
            </w:pPr>
            <w:r>
              <w:t xml:space="preserve">2,000</w:t>
            </w:r>
          </w:p>
        </w:tc>
        <w:tc>
          <w:p>
            <w:pPr>
              <w:pStyle w:val="Compact"/>
              <w:jc w:val="left"/>
            </w:pPr>
            <w:r>
              <w:t xml:space="preserve">1,800 (AI) + 200 (Human)</w:t>
            </w:r>
          </w:p>
        </w:tc>
        <w:tc>
          <w:p>
            <w:pPr>
              <w:pStyle w:val="Compact"/>
              <w:jc w:val="left"/>
            </w:pPr>
            <w:r>
              <w:t xml:space="preserve">1,950 (AI) + 50 (Human)</w:t>
            </w:r>
          </w:p>
        </w:tc>
        <w:tc>
          <w:p>
            <w:pPr>
              <w:pStyle w:val="Compact"/>
              <w:jc w:val="left"/>
            </w:pPr>
            <w:r>
              <w:t xml:space="preserve">1,980 (AI) + 20 (Human)</w:t>
            </w:r>
          </w:p>
        </w:tc>
      </w:tr>
      <w:tr>
        <w:tc>
          <w:p>
            <w:pPr>
              <w:pStyle w:val="Compact"/>
              <w:jc w:val="left"/>
            </w:pPr>
            <w:r>
              <w:rPr>
                <w:b/>
              </w:rPr>
              <w:t xml:space="preserve">Resolution Time (Avg. Min)</w:t>
            </w:r>
          </w:p>
        </w:tc>
        <w:tc>
          <w:p>
            <w:pPr>
              <w:pStyle w:val="Compact"/>
              <w:jc w:val="left"/>
            </w:pPr>
            <w:r>
              <w:t xml:space="preserve">15</w:t>
            </w:r>
          </w:p>
        </w:tc>
        <w:tc>
          <w:p>
            <w:pPr>
              <w:pStyle w:val="Compact"/>
              <w:jc w:val="left"/>
            </w:pPr>
            <w:r>
              <w:t xml:space="preserve">5</w:t>
            </w:r>
          </w:p>
        </w:tc>
        <w:tc>
          <w:p>
            <w:pPr>
              <w:pStyle w:val="Compact"/>
              <w:jc w:val="left"/>
            </w:pPr>
            <w:r>
              <w:t xml:space="preserve">3</w:t>
            </w:r>
          </w:p>
        </w:tc>
        <w:tc>
          <w:p>
            <w:pPr>
              <w:pStyle w:val="Compact"/>
              <w:jc w:val="left"/>
            </w:pPr>
            <w:r>
              <w:t xml:space="preserve">2</w:t>
            </w:r>
          </w:p>
        </w:tc>
      </w:tr>
      <w:tr>
        <w:tc>
          <w:p>
            <w:pPr>
              <w:pStyle w:val="Compact"/>
              <w:jc w:val="left"/>
            </w:pPr>
            <w:r>
              <w:rPr>
                <w:b/>
              </w:rPr>
              <w:t xml:space="preserve">Content Pieces Generated (Avg. Monthly)</w:t>
            </w:r>
          </w:p>
        </w:tc>
        <w:tc>
          <w:p>
            <w:pPr>
              <w:pStyle w:val="Compact"/>
              <w:jc w:val="left"/>
            </w:pPr>
            <w:r>
              <w:t xml:space="preserve">50</w:t>
            </w:r>
          </w:p>
        </w:tc>
        <w:tc>
          <w:p>
            <w:pPr>
              <w:pStyle w:val="Compact"/>
              <w:jc w:val="left"/>
            </w:pPr>
            <w:r>
              <w:t xml:space="preserve">300</w:t>
            </w:r>
          </w:p>
        </w:tc>
        <w:tc>
          <w:p>
            <w:pPr>
              <w:pStyle w:val="Compact"/>
              <w:jc w:val="left"/>
            </w:pPr>
            <w:r>
              <w:t xml:space="preserve">500</w:t>
            </w:r>
          </w:p>
        </w:tc>
        <w:tc>
          <w:p>
            <w:pPr>
              <w:pStyle w:val="Compact"/>
              <w:jc w:val="left"/>
            </w:pPr>
            <w:r>
              <w:t xml:space="preserve">700 (High-Quality)</w:t>
            </w:r>
          </w:p>
        </w:tc>
      </w:tr>
      <w:tr>
        <w:tc>
          <w:p>
            <w:pPr>
              <w:pStyle w:val="Compact"/>
              <w:jc w:val="left"/>
            </w:pPr>
            <w:r>
              <w:rPr>
                <w:b/>
              </w:rPr>
              <w:t xml:space="preserve">Content Quality Score (1-10)</w:t>
            </w:r>
          </w:p>
        </w:tc>
        <w:tc>
          <w:p>
            <w:pPr>
              <w:pStyle w:val="Compact"/>
              <w:jc w:val="left"/>
            </w:pPr>
            <w:r>
              <w:t xml:space="preserve">7</w:t>
            </w:r>
          </w:p>
        </w:tc>
        <w:tc>
          <w:p>
            <w:pPr>
              <w:pStyle w:val="Compact"/>
              <w:jc w:val="left"/>
            </w:pPr>
            <w:r>
              <w:t xml:space="preserve">6</w:t>
            </w:r>
          </w:p>
        </w:tc>
        <w:tc>
          <w:p>
            <w:pPr>
              <w:pStyle w:val="Compact"/>
              <w:jc w:val="left"/>
            </w:pPr>
            <w:r>
              <w:t xml:space="preserve">8</w:t>
            </w:r>
          </w:p>
        </w:tc>
        <w:tc>
          <w:p>
            <w:pPr>
              <w:pStyle w:val="Compact"/>
              <w:jc w:val="left"/>
            </w:pPr>
            <w:r>
              <w:t xml:space="preserve">9</w:t>
            </w:r>
          </w:p>
        </w:tc>
      </w:tr>
      <w:tr>
        <w:tc>
          <w:p>
            <w:pPr>
              <w:pStyle w:val="Compact"/>
              <w:jc w:val="left"/>
            </w:pPr>
            <w:r>
              <w:rPr>
                <w:b/>
              </w:rPr>
              <w:t xml:space="preserve">Human Labor Savings (FTEs)</w:t>
            </w:r>
          </w:p>
        </w:tc>
        <w:tc>
          <w:p>
            <w:pPr>
              <w:pStyle w:val="Compact"/>
              <w:jc w:val="left"/>
            </w:pPr>
            <w:r>
              <w:t xml:space="preserve">0</w:t>
            </w:r>
          </w:p>
        </w:tc>
        <w:tc>
          <w:p>
            <w:pPr>
              <w:pStyle w:val="Compact"/>
              <w:jc w:val="left"/>
            </w:pPr>
            <w:r>
              <w:t xml:space="preserve">1.5</w:t>
            </w:r>
          </w:p>
        </w:tc>
        <w:tc>
          <w:p>
            <w:pPr>
              <w:pStyle w:val="Compact"/>
              <w:jc w:val="left"/>
            </w:pPr>
            <w:r>
              <w:t xml:space="preserve">2.5</w:t>
            </w:r>
          </w:p>
        </w:tc>
        <w:tc>
          <w:p>
            <w:pPr>
              <w:pStyle w:val="Compact"/>
              <w:jc w:val="left"/>
            </w:pPr>
            <w:r>
              <w:t xml:space="preserve">3.0</w:t>
            </w:r>
          </w:p>
        </w:tc>
      </w:tr>
      <w:tr>
        <w:tc>
          <w:p>
            <w:pPr>
              <w:pStyle w:val="Compact"/>
              <w:jc w:val="left"/>
            </w:pPr>
            <w:r>
              <w:rPr>
                <w:b/>
              </w:rPr>
              <w:t xml:space="preserve">Perceived Value (1-10)</w:t>
            </w:r>
          </w:p>
        </w:tc>
        <w:tc>
          <w:p>
            <w:pPr>
              <w:pStyle w:val="Compact"/>
              <w:jc w:val="left"/>
            </w:pPr>
            <w:r>
              <w:t xml:space="preserve">5</w:t>
            </w:r>
          </w:p>
        </w:tc>
        <w:tc>
          <w:p>
            <w:pPr>
              <w:pStyle w:val="Compact"/>
              <w:jc w:val="left"/>
            </w:pPr>
            <w:r>
              <w:t xml:space="preserve">7</w:t>
            </w:r>
          </w:p>
        </w:tc>
        <w:tc>
          <w:p>
            <w:pPr>
              <w:pStyle w:val="Compact"/>
              <w:jc w:val="left"/>
            </w:pPr>
            <w:r>
              <w:t xml:space="preserve">8.5</w:t>
            </w:r>
          </w:p>
        </w:tc>
        <w:tc>
          <w:p>
            <w:pPr>
              <w:pStyle w:val="Compact"/>
              <w:jc w:val="left"/>
            </w:pPr>
            <w:r>
              <w:t xml:space="preserve">9.5</w:t>
            </w:r>
          </w:p>
        </w:tc>
      </w:tr>
    </w:tbl>
    <w:p>
      <w:pPr>
        <w:pStyle w:val="BodyText"/>
      </w:pPr>
      <w:r>
        <w:rPr>
          <w:i/>
        </w:rPr>
        <w:t xml:space="preserve">Note: Baseline cost for manual operations includes human labor. AI costs are hypothetical API usage and fine-tuning fees. Resolution time is for automated tickets. Content quality score is a subjective expert evaluation. Human labor savings are estimated full-time equivalents redirected.</w:t>
      </w:r>
    </w:p>
    <w:p>
      <w:pPr>
        <w:pStyle w:val="BodyText"/>
      </w:pPr>
      <w:r>
        <w:rPr>
          <w:b/>
        </w:rPr>
        <w:t xml:space="preserve">Analysis of OpenAI Scenarios:</w:t>
      </w:r>
      <w:r>
        <w:t xml:space="preserve"> </w:t>
      </w:r>
      <w:r>
        <w:t xml:space="preserve">The data suggests a clear progression in both cost and value as the AI model sophistication and customization increase. While GPT-3.5 offers significant cost savings and efficiency gains over manual operations, the quality and autonomy are moderate. Upgrading to GPT-4 API increases costs but dramatically improves resolution time, content quality, and human labor savings, indicating a higher return on investment (ROI). The fine-tuned GPT-4 solution, though the most expensive, delivers the highest perceived value and most substantial operational improvements, justifying its value-based approach. This illustrates how enterprises move from pure cost-reduction (GPT-3.5) to value-driven investment (fine-tuned GPT-4) as they gain confidence in AI’s capabilities.</w:t>
      </w:r>
    </w:p>
    <w:p>
      <w:pPr>
        <w:pStyle w:val="Heading3"/>
      </w:pPr>
      <w:bookmarkStart w:id="100" w:name="X964d0f423ce88ef1836350aaa7b39a9729edb1d"/>
      <w:r>
        <w:t xml:space="preserve">C.2 Anthropic: Claude Models Context Window Impact</w:t>
      </w:r>
      <w:bookmarkEnd w:id="100"/>
    </w:p>
    <w:p>
      <w:pPr>
        <w:pStyle w:val="FirstParagraph"/>
      </w:pPr>
      <w:r>
        <w:t xml:space="preserve">This scenario explores the impact of Anthropic’s extended context window on the efficiency and cost-effectiveness of large document analysis and summarization for a legal firm. The projections compare a standard context model with a long-context Claude model.</w:t>
      </w:r>
    </w:p>
    <w:p>
      <w:pPr>
        <w:pStyle w:val="BodyText"/>
      </w:pPr>
      <w:r>
        <w:rPr>
          <w:b/>
        </w:rPr>
        <w:t xml:space="preserve">Table C.2: Quantitative Metrics for Anthropic Claude Context Window Impact (Hypothetical)</w:t>
      </w:r>
    </w:p>
    <w:tbl>
      <w:tblPr>
        <w:tblStyle w:val="Table"/>
        <w:tblW w:type="pct" w:w="5000.0"/>
        <w:tblLook w:firstRow="1"/>
      </w:tblPr>
      <w:tblGrid>
        <w:gridCol w:w="2662"/>
        <w:gridCol w:w="1638"/>
        <w:gridCol w:w="1843"/>
        <w:gridCol w:w="819"/>
        <w:gridCol w:w="955"/>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Standard Context Model</w:t>
            </w:r>
          </w:p>
        </w:tc>
        <w:tc>
          <w:tcPr>
            <w:tcBorders>
              <w:bottom w:val="single"/>
            </w:tcBorders>
            <w:vAlign w:val="bottom"/>
          </w:tcPr>
          <w:p>
            <w:pPr>
              <w:pStyle w:val="Compact"/>
              <w:jc w:val="left"/>
            </w:pPr>
            <w:r>
              <w:t xml:space="preserve">Long Context Claude Model</w:t>
            </w:r>
          </w:p>
        </w:tc>
        <w:tc>
          <w:tcPr>
            <w:tcBorders>
              <w:bottom w:val="single"/>
            </w:tcBorders>
            <w:vAlign w:val="bottom"/>
          </w:tcPr>
          <w:p>
            <w:pPr>
              <w:pStyle w:val="Compact"/>
              <w:jc w:val="left"/>
            </w:pPr>
            <w:r>
              <w:t xml:space="preserve">Change (%)</w:t>
            </w:r>
          </w:p>
        </w:tc>
        <w:tc>
          <w:tcPr>
            <w:tcBorders>
              <w:bottom w:val="single"/>
            </w:tcBorders>
            <w:vAlign w:val="bottom"/>
          </w:tcPr>
          <w:p>
            <w:pPr>
              <w:pStyle w:val="Compact"/>
              <w:jc w:val="left"/>
            </w:pPr>
            <w:r>
              <w:t xml:space="preserve">Value Impact</w:t>
            </w:r>
          </w:p>
        </w:tc>
      </w:tr>
      <w:tr>
        <w:tc>
          <w:p>
            <w:pPr>
              <w:pStyle w:val="Compact"/>
              <w:jc w:val="left"/>
            </w:pPr>
            <w:r>
              <w:rPr>
                <w:b/>
              </w:rPr>
              <w:t xml:space="preserve">Document Size (Avg. Pages)</w:t>
            </w:r>
          </w:p>
        </w:tc>
        <w:tc>
          <w:p>
            <w:pPr>
              <w:pStyle w:val="Compact"/>
              <w:jc w:val="left"/>
            </w:pPr>
            <w:r>
              <w:t xml:space="preserve">20</w:t>
            </w:r>
          </w:p>
        </w:tc>
        <w:tc>
          <w:p>
            <w:pPr>
              <w:pStyle w:val="Compact"/>
              <w:jc w:val="left"/>
            </w:pPr>
            <w:r>
              <w:t xml:space="preserve">200</w:t>
            </w:r>
          </w:p>
        </w:tc>
        <w:tc>
          <w:p>
            <w:pPr>
              <w:pStyle w:val="Compact"/>
              <w:jc w:val="left"/>
            </w:pPr>
            <w:r>
              <w:t xml:space="preserve">+900%</w:t>
            </w:r>
          </w:p>
        </w:tc>
        <w:tc>
          <w:p>
            <w:pPr>
              <w:pStyle w:val="Compact"/>
              <w:jc w:val="left"/>
            </w:pPr>
            <w:r>
              <w:t xml:space="preserve">High</w:t>
            </w:r>
          </w:p>
        </w:tc>
      </w:tr>
      <w:tr>
        <w:tc>
          <w:p>
            <w:pPr>
              <w:pStyle w:val="Compact"/>
              <w:jc w:val="left"/>
            </w:pPr>
            <w:r>
              <w:rPr>
                <w:b/>
              </w:rPr>
              <w:t xml:space="preserve">Tokens Processed (Avg. per Task)</w:t>
            </w:r>
          </w:p>
        </w:tc>
        <w:tc>
          <w:p>
            <w:pPr>
              <w:pStyle w:val="Compact"/>
              <w:jc w:val="left"/>
            </w:pPr>
            <w:r>
              <w:t xml:space="preserve">10,000</w:t>
            </w:r>
          </w:p>
        </w:tc>
        <w:tc>
          <w:p>
            <w:pPr>
              <w:pStyle w:val="Compact"/>
              <w:jc w:val="left"/>
            </w:pPr>
            <w:r>
              <w:t xml:space="preserve">150,000</w:t>
            </w:r>
          </w:p>
        </w:tc>
        <w:tc>
          <w:p>
            <w:pPr>
              <w:pStyle w:val="Compact"/>
              <w:jc w:val="left"/>
            </w:pPr>
            <w:r>
              <w:t xml:space="preserve">+1400%</w:t>
            </w:r>
          </w:p>
        </w:tc>
        <w:tc>
          <w:p>
            <w:pPr>
              <w:pStyle w:val="Compact"/>
              <w:jc w:val="left"/>
            </w:pPr>
            <w:r>
              <w:t xml:space="preserve">High</w:t>
            </w:r>
          </w:p>
        </w:tc>
      </w:tr>
      <w:tr>
        <w:tc>
          <w:p>
            <w:pPr>
              <w:pStyle w:val="Compact"/>
              <w:jc w:val="left"/>
            </w:pPr>
            <w:r>
              <w:rPr>
                <w:b/>
              </w:rPr>
              <w:t xml:space="preserve">Cost per Task (USD)</w:t>
            </w:r>
          </w:p>
        </w:tc>
        <w:tc>
          <w:p>
            <w:pPr>
              <w:pStyle w:val="Compact"/>
              <w:jc w:val="left"/>
            </w:pPr>
            <w:r>
              <w:t xml:space="preserve">$0.10</w:t>
            </w:r>
          </w:p>
        </w:tc>
        <w:tc>
          <w:p>
            <w:pPr>
              <w:pStyle w:val="Compact"/>
              <w:jc w:val="left"/>
            </w:pPr>
            <w:r>
              <w:t xml:space="preserve">$1.50</w:t>
            </w:r>
          </w:p>
        </w:tc>
        <w:tc>
          <w:p>
            <w:pPr>
              <w:pStyle w:val="Compact"/>
              <w:jc w:val="left"/>
            </w:pPr>
            <w:r>
              <w:t xml:space="preserve">+1400%</w:t>
            </w:r>
          </w:p>
        </w:tc>
        <w:tc>
          <w:p>
            <w:pPr>
              <w:pStyle w:val="Compact"/>
              <w:jc w:val="left"/>
            </w:pPr>
            <w:r>
              <w:t xml:space="preserve">Moderate</w:t>
            </w:r>
          </w:p>
        </w:tc>
      </w:tr>
      <w:tr>
        <w:tc>
          <w:p>
            <w:pPr>
              <w:pStyle w:val="Compact"/>
              <w:jc w:val="left"/>
            </w:pPr>
            <w:r>
              <w:rPr>
                <w:b/>
              </w:rPr>
              <w:t xml:space="preserve">Human Review Time (Avg. Min)</w:t>
            </w:r>
          </w:p>
        </w:tc>
        <w:tc>
          <w:p>
            <w:pPr>
              <w:pStyle w:val="Compact"/>
              <w:jc w:val="left"/>
            </w:pPr>
            <w:r>
              <w:t xml:space="preserve">60</w:t>
            </w:r>
          </w:p>
        </w:tc>
        <w:tc>
          <w:p>
            <w:pPr>
              <w:pStyle w:val="Compact"/>
              <w:jc w:val="left"/>
            </w:pPr>
            <w:r>
              <w:t xml:space="preserve">15</w:t>
            </w:r>
          </w:p>
        </w:tc>
        <w:tc>
          <w:p>
            <w:pPr>
              <w:pStyle w:val="Compact"/>
              <w:jc w:val="left"/>
            </w:pPr>
            <w:r>
              <w:t xml:space="preserve">-75%</w:t>
            </w:r>
          </w:p>
        </w:tc>
        <w:tc>
          <w:p>
            <w:pPr>
              <w:pStyle w:val="Compact"/>
              <w:jc w:val="left"/>
            </w:pPr>
            <w:r>
              <w:t xml:space="preserve">Very High</w:t>
            </w:r>
          </w:p>
        </w:tc>
      </w:tr>
      <w:tr>
        <w:tc>
          <w:p>
            <w:pPr>
              <w:pStyle w:val="Compact"/>
              <w:jc w:val="left"/>
            </w:pPr>
            <w:r>
              <w:rPr>
                <w:b/>
              </w:rPr>
              <w:t xml:space="preserve">Summarization Accuracy Score (1-10)</w:t>
            </w:r>
          </w:p>
        </w:tc>
        <w:tc>
          <w:p>
            <w:pPr>
              <w:pStyle w:val="Compact"/>
              <w:jc w:val="left"/>
            </w:pPr>
            <w:r>
              <w:t xml:space="preserve">7</w:t>
            </w:r>
          </w:p>
        </w:tc>
        <w:tc>
          <w:p>
            <w:pPr>
              <w:pStyle w:val="Compact"/>
              <w:jc w:val="left"/>
            </w:pPr>
            <w:r>
              <w:t xml:space="preserve">9</w:t>
            </w:r>
          </w:p>
        </w:tc>
        <w:tc>
          <w:p>
            <w:pPr>
              <w:pStyle w:val="Compact"/>
              <w:jc w:val="left"/>
            </w:pPr>
            <w:r>
              <w:t xml:space="preserve">+28.5%</w:t>
            </w:r>
          </w:p>
        </w:tc>
        <w:tc>
          <w:p>
            <w:pPr>
              <w:pStyle w:val="Compact"/>
              <w:jc w:val="left"/>
            </w:pPr>
            <w:r>
              <w:t xml:space="preserve">High</w:t>
            </w:r>
          </w:p>
        </w:tc>
      </w:tr>
      <w:tr>
        <w:tc>
          <w:p>
            <w:pPr>
              <w:pStyle w:val="Compact"/>
              <w:jc w:val="left"/>
            </w:pPr>
            <w:r>
              <w:rPr>
                <w:b/>
              </w:rPr>
              <w:t xml:space="preserve">Legal Risk Identification (Avg.)</w:t>
            </w:r>
          </w:p>
        </w:tc>
        <w:tc>
          <w:p>
            <w:pPr>
              <w:pStyle w:val="Compact"/>
              <w:jc w:val="left"/>
            </w:pPr>
            <w:r>
              <w:t xml:space="preserve">3</w:t>
            </w:r>
          </w:p>
        </w:tc>
        <w:tc>
          <w:p>
            <w:pPr>
              <w:pStyle w:val="Compact"/>
              <w:jc w:val="left"/>
            </w:pPr>
            <w:r>
              <w:t xml:space="preserve">8</w:t>
            </w:r>
          </w:p>
        </w:tc>
        <w:tc>
          <w:p>
            <w:pPr>
              <w:pStyle w:val="Compact"/>
              <w:jc w:val="left"/>
            </w:pPr>
            <w:r>
              <w:t xml:space="preserve">+167%</w:t>
            </w:r>
          </w:p>
        </w:tc>
        <w:tc>
          <w:p>
            <w:pPr>
              <w:pStyle w:val="Compact"/>
              <w:jc w:val="left"/>
            </w:pPr>
            <w:r>
              <w:t xml:space="preserve">Critical</w:t>
            </w:r>
          </w:p>
        </w:tc>
      </w:tr>
      <w:tr>
        <w:tc>
          <w:p>
            <w:pPr>
              <w:pStyle w:val="Compact"/>
              <w:jc w:val="left"/>
            </w:pPr>
            <w:r>
              <w:rPr>
                <w:b/>
              </w:rPr>
              <w:t xml:space="preserve">Task Completion Rate (Auto.)</w:t>
            </w:r>
          </w:p>
        </w:tc>
        <w:tc>
          <w:p>
            <w:pPr>
              <w:pStyle w:val="Compact"/>
              <w:jc w:val="left"/>
            </w:pPr>
            <w:r>
              <w:t xml:space="preserve">60%</w:t>
            </w:r>
          </w:p>
        </w:tc>
        <w:tc>
          <w:p>
            <w:pPr>
              <w:pStyle w:val="Compact"/>
              <w:jc w:val="left"/>
            </w:pPr>
            <w:r>
              <w:t xml:space="preserve">95%</w:t>
            </w:r>
          </w:p>
        </w:tc>
        <w:tc>
          <w:p>
            <w:pPr>
              <w:pStyle w:val="Compact"/>
              <w:jc w:val="left"/>
            </w:pPr>
            <w:r>
              <w:t xml:space="preserve">+58.3%</w:t>
            </w:r>
          </w:p>
        </w:tc>
        <w:tc>
          <w:p>
            <w:pPr>
              <w:pStyle w:val="Compact"/>
              <w:jc w:val="left"/>
            </w:pPr>
            <w:r>
              <w:t xml:space="preserve">High</w:t>
            </w:r>
          </w:p>
        </w:tc>
      </w:tr>
    </w:tbl>
    <w:p>
      <w:pPr>
        <w:pStyle w:val="BodyText"/>
      </w:pPr>
      <w:r>
        <w:rPr>
          <w:i/>
        </w:rPr>
        <w:t xml:space="preserve">Note: Cost per task is hypothetical based on token usage. Human review time is for post-AI processing. Summarization accuracy and legal risk identification are expert-rated scores.</w:t>
      </w:r>
    </w:p>
    <w:p>
      <w:pPr>
        <w:pStyle w:val="BodyText"/>
      </w:pPr>
      <w:r>
        <w:rPr>
          <w:b/>
        </w:rPr>
        <w:t xml:space="preserve">Analysis of Anthropic Context Window Impact:</w:t>
      </w:r>
      <w:r>
        <w:t xml:space="preserve"> </w:t>
      </w:r>
      <w:r>
        <w:t xml:space="preserve">The long-context Claude model, despite a significantly higher per-task cost due to increased token processing, demonstrates a disproportionately higher value impact. It allows for the processing of much larger documents autonomously, drastically reducing human review time and improving accuracy and risk identification. This highlights that for specific, high-value tasks like legal analysis, the ability to handle extended context windows is a critical differentiator that justifies higher usage-based costs. The value derived from reduced human labor, improved accuracy, and enhanced risk mitigation far outweighs the increased computational expense. This scenario supports a value-based perception even within a usage-based pricing framework, where particular capabilities command a premium.</w:t>
      </w:r>
    </w:p>
    <w:p>
      <w:pPr>
        <w:pStyle w:val="Heading3"/>
      </w:pPr>
      <w:bookmarkStart w:id="101" w:name="c.3-hybrid-model-performance-projections"/>
      <w:r>
        <w:t xml:space="preserve">C.3 Hybrid Model Performance Projections</w:t>
      </w:r>
      <w:bookmarkEnd w:id="101"/>
    </w:p>
    <w:p>
      <w:pPr>
        <w:pStyle w:val="FirstParagraph"/>
      </w:pPr>
      <w:r>
        <w:t xml:space="preserve">This scenario projects the performance of a hypothetical hybrid pricing model for a new B2B AI analytics platform, comparing it against pure subscription and pure usage-based models over a 12-month period.</w:t>
      </w:r>
    </w:p>
    <w:p>
      <w:pPr>
        <w:pStyle w:val="BodyText"/>
      </w:pPr>
      <w:r>
        <w:rPr>
          <w:b/>
        </w:rPr>
        <w:t xml:space="preserve">Table C.3: Hybrid Pricing Model Performance Projections (Hypothetical 12-Month Period)</w:t>
      </w:r>
    </w:p>
    <w:tbl>
      <w:tblPr>
        <w:tblStyle w:val="Table"/>
        <w:tblW w:type="pct" w:w="5000.0"/>
        <w:tblLook w:firstRow="1"/>
      </w:tblPr>
      <w:tblGrid>
        <w:gridCol w:w="1760"/>
        <w:gridCol w:w="1571"/>
        <w:gridCol w:w="1508"/>
        <w:gridCol w:w="2074"/>
        <w:gridCol w:w="1005"/>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Pure Subscription Model</w:t>
            </w:r>
          </w:p>
        </w:tc>
        <w:tc>
          <w:tcPr>
            <w:tcBorders>
              <w:bottom w:val="single"/>
            </w:tcBorders>
            <w:vAlign w:val="bottom"/>
          </w:tcPr>
          <w:p>
            <w:pPr>
              <w:pStyle w:val="Compact"/>
              <w:jc w:val="left"/>
            </w:pPr>
            <w:r>
              <w:t xml:space="preserve">Pure Usage-Based Model</w:t>
            </w:r>
          </w:p>
        </w:tc>
        <w:tc>
          <w:tcPr>
            <w:tcBorders>
              <w:bottom w:val="single"/>
            </w:tcBorders>
            <w:vAlign w:val="bottom"/>
          </w:tcPr>
          <w:p>
            <w:pPr>
              <w:pStyle w:val="Compact"/>
              <w:jc w:val="left"/>
            </w:pPr>
            <w:r>
              <w:t xml:space="preserve">Hybrid (Subscription + Overage)</w:t>
            </w:r>
          </w:p>
        </w:tc>
        <w:tc>
          <w:tcPr>
            <w:tcBorders>
              <w:bottom w:val="single"/>
            </w:tcBorders>
            <w:vAlign w:val="bottom"/>
          </w:tcPr>
          <w:p>
            <w:pPr>
              <w:pStyle w:val="Compact"/>
              <w:jc w:val="left"/>
            </w:pPr>
            <w:r>
              <w:t xml:space="preserve">Optimal Target</w:t>
            </w:r>
          </w:p>
        </w:tc>
      </w:tr>
      <w:tr>
        <w:tc>
          <w:p>
            <w:pPr>
              <w:pStyle w:val="Compact"/>
              <w:jc w:val="left"/>
            </w:pPr>
            <w:r>
              <w:rPr>
                <w:b/>
              </w:rPr>
              <w:t xml:space="preserve">Avg. Monthly Revenue (USD)</w:t>
            </w:r>
          </w:p>
        </w:tc>
        <w:tc>
          <w:p>
            <w:pPr>
              <w:pStyle w:val="Compact"/>
              <w:jc w:val="left"/>
            </w:pPr>
            <w:r>
              <w:t xml:space="preserve">$50,000</w:t>
            </w:r>
          </w:p>
        </w:tc>
        <w:tc>
          <w:p>
            <w:pPr>
              <w:pStyle w:val="Compact"/>
              <w:jc w:val="left"/>
            </w:pPr>
            <w:r>
              <w:t xml:space="preserve">$45,000</w:t>
            </w:r>
          </w:p>
        </w:tc>
        <w:tc>
          <w:p>
            <w:pPr>
              <w:pStyle w:val="Compact"/>
              <w:jc w:val="left"/>
            </w:pPr>
            <w:r>
              <w:t xml:space="preserve">$65,000</w:t>
            </w:r>
          </w:p>
        </w:tc>
        <w:tc>
          <w:p>
            <w:pPr>
              <w:pStyle w:val="Compact"/>
              <w:jc w:val="left"/>
            </w:pPr>
            <w:r>
              <w:t xml:space="preserve">$70,000</w:t>
            </w:r>
          </w:p>
        </w:tc>
      </w:tr>
      <w:tr>
        <w:tc>
          <w:p>
            <w:pPr>
              <w:pStyle w:val="Compact"/>
              <w:jc w:val="left"/>
            </w:pPr>
            <w:r>
              <w:rPr>
                <w:b/>
              </w:rPr>
              <w:t xml:space="preserve">Customer Acquisition Cost (CAC)</w:t>
            </w:r>
          </w:p>
        </w:tc>
        <w:tc>
          <w:p>
            <w:pPr>
              <w:pStyle w:val="Compact"/>
              <w:jc w:val="left"/>
            </w:pPr>
            <w:r>
              <w:t xml:space="preserve">$1,500</w:t>
            </w:r>
          </w:p>
        </w:tc>
        <w:tc>
          <w:p>
            <w:pPr>
              <w:pStyle w:val="Compact"/>
              <w:jc w:val="left"/>
            </w:pPr>
            <w:r>
              <w:t xml:space="preserve">$800</w:t>
            </w:r>
          </w:p>
        </w:tc>
        <w:tc>
          <w:p>
            <w:pPr>
              <w:pStyle w:val="Compact"/>
              <w:jc w:val="left"/>
            </w:pPr>
            <w:r>
              <w:t xml:space="preserve">$1,000</w:t>
            </w:r>
          </w:p>
        </w:tc>
        <w:tc>
          <w:p>
            <w:pPr>
              <w:pStyle w:val="Compact"/>
              <w:jc w:val="left"/>
            </w:pPr>
            <w:r>
              <w:t xml:space="preserve">$700</w:t>
            </w:r>
          </w:p>
        </w:tc>
      </w:tr>
      <w:tr>
        <w:tc>
          <w:p>
            <w:pPr>
              <w:pStyle w:val="Compact"/>
              <w:jc w:val="left"/>
            </w:pPr>
            <w:r>
              <w:rPr>
                <w:b/>
              </w:rPr>
              <w:t xml:space="preserve">Customer Churn Rate (%)</w:t>
            </w:r>
          </w:p>
        </w:tc>
        <w:tc>
          <w:p>
            <w:pPr>
              <w:pStyle w:val="Compact"/>
              <w:jc w:val="left"/>
            </w:pPr>
            <w:r>
              <w:t xml:space="preserve">15%</w:t>
            </w:r>
          </w:p>
        </w:tc>
        <w:tc>
          <w:p>
            <w:pPr>
              <w:pStyle w:val="Compact"/>
              <w:jc w:val="left"/>
            </w:pPr>
            <w:r>
              <w:t xml:space="preserve">20%</w:t>
            </w:r>
          </w:p>
        </w:tc>
        <w:tc>
          <w:p>
            <w:pPr>
              <w:pStyle w:val="Compact"/>
              <w:jc w:val="left"/>
            </w:pPr>
            <w:r>
              <w:t xml:space="preserve">10%</w:t>
            </w:r>
          </w:p>
        </w:tc>
        <w:tc>
          <w:p>
            <w:pPr>
              <w:pStyle w:val="Compact"/>
              <w:jc w:val="left"/>
            </w:pPr>
            <w:r>
              <w:t xml:space="preserve">8%</w:t>
            </w:r>
          </w:p>
        </w:tc>
      </w:tr>
      <w:tr>
        <w:tc>
          <w:p>
            <w:pPr>
              <w:pStyle w:val="Compact"/>
              <w:jc w:val="left"/>
            </w:pPr>
            <w:r>
              <w:rPr>
                <w:b/>
              </w:rPr>
              <w:t xml:space="preserve">Customer Satisfaction (1-5)</w:t>
            </w:r>
          </w:p>
        </w:tc>
        <w:tc>
          <w:p>
            <w:pPr>
              <w:pStyle w:val="Compact"/>
              <w:jc w:val="left"/>
            </w:pPr>
            <w:r>
              <w:t xml:space="preserve">3.5</w:t>
            </w:r>
          </w:p>
        </w:tc>
        <w:tc>
          <w:p>
            <w:pPr>
              <w:pStyle w:val="Compact"/>
              <w:jc w:val="left"/>
            </w:pPr>
            <w:r>
              <w:t xml:space="preserve">3.0</w:t>
            </w:r>
          </w:p>
        </w:tc>
        <w:tc>
          <w:p>
            <w:pPr>
              <w:pStyle w:val="Compact"/>
              <w:jc w:val="left"/>
            </w:pPr>
            <w:r>
              <w:t xml:space="preserve">4.2</w:t>
            </w:r>
          </w:p>
        </w:tc>
        <w:tc>
          <w:p>
            <w:pPr>
              <w:pStyle w:val="Compact"/>
              <w:jc w:val="left"/>
            </w:pPr>
            <w:r>
              <w:t xml:space="preserve">4.5</w:t>
            </w:r>
          </w:p>
        </w:tc>
      </w:tr>
      <w:tr>
        <w:tc>
          <w:p>
            <w:pPr>
              <w:pStyle w:val="Compact"/>
              <w:jc w:val="left"/>
            </w:pPr>
            <w:r>
              <w:rPr>
                <w:b/>
              </w:rPr>
              <w:t xml:space="preserve">Cost Predictability (User)</w:t>
            </w:r>
          </w:p>
        </w:tc>
        <w:tc>
          <w:p>
            <w:pPr>
              <w:pStyle w:val="Compact"/>
              <w:jc w:val="left"/>
            </w:pPr>
            <w:r>
              <w:t xml:space="preserve">High</w:t>
            </w:r>
          </w:p>
        </w:tc>
        <w:tc>
          <w:p>
            <w:pPr>
              <w:pStyle w:val="Compact"/>
              <w:jc w:val="left"/>
            </w:pPr>
            <w:r>
              <w:t xml:space="preserve">Low</w:t>
            </w:r>
          </w:p>
        </w:tc>
        <w:tc>
          <w:p>
            <w:pPr>
              <w:pStyle w:val="Compact"/>
              <w:jc w:val="left"/>
            </w:pPr>
            <w:r>
              <w:t xml:space="preserve">Moderate</w:t>
            </w:r>
          </w:p>
        </w:tc>
        <w:tc>
          <w:p>
            <w:pPr>
              <w:pStyle w:val="Compact"/>
              <w:jc w:val="left"/>
            </w:pPr>
            <w:r>
              <w:t xml:space="preserve">High</w:t>
            </w:r>
          </w:p>
        </w:tc>
      </w:tr>
      <w:tr>
        <w:tc>
          <w:p>
            <w:pPr>
              <w:pStyle w:val="Compact"/>
              <w:jc w:val="left"/>
            </w:pPr>
            <w:r>
              <w:rPr>
                <w:b/>
              </w:rPr>
              <w:t xml:space="preserve">Market Penetration (%)</w:t>
            </w:r>
          </w:p>
        </w:tc>
        <w:tc>
          <w:p>
            <w:pPr>
              <w:pStyle w:val="Compact"/>
              <w:jc w:val="left"/>
            </w:pPr>
            <w:r>
              <w:t xml:space="preserve">10%</w:t>
            </w:r>
          </w:p>
        </w:tc>
        <w:tc>
          <w:p>
            <w:pPr>
              <w:pStyle w:val="Compact"/>
              <w:jc w:val="left"/>
            </w:pPr>
            <w:r>
              <w:t xml:space="preserve">25%</w:t>
            </w:r>
          </w:p>
        </w:tc>
        <w:tc>
          <w:p>
            <w:pPr>
              <w:pStyle w:val="Compact"/>
              <w:jc w:val="left"/>
            </w:pPr>
            <w:r>
              <w:t xml:space="preserve">30%</w:t>
            </w:r>
          </w:p>
        </w:tc>
        <w:tc>
          <w:p>
            <w:pPr>
              <w:pStyle w:val="Compact"/>
              <w:jc w:val="left"/>
            </w:pPr>
            <w:r>
              <w:t xml:space="preserve">40%</w:t>
            </w:r>
          </w:p>
        </w:tc>
      </w:tr>
      <w:tr>
        <w:tc>
          <w:p>
            <w:pPr>
              <w:pStyle w:val="Compact"/>
              <w:jc w:val="left"/>
            </w:pPr>
            <w:r>
              <w:rPr>
                <w:b/>
              </w:rPr>
              <w:t xml:space="preserve">Operational Efficiency (Score)</w:t>
            </w:r>
          </w:p>
        </w:tc>
        <w:tc>
          <w:p>
            <w:pPr>
              <w:pStyle w:val="Compact"/>
              <w:jc w:val="left"/>
            </w:pPr>
            <w:r>
              <w:t xml:space="preserve">3</w:t>
            </w:r>
          </w:p>
        </w:tc>
        <w:tc>
          <w:p>
            <w:pPr>
              <w:pStyle w:val="Compact"/>
              <w:jc w:val="left"/>
            </w:pPr>
            <w:r>
              <w:t xml:space="preserve">4</w:t>
            </w:r>
          </w:p>
        </w:tc>
        <w:tc>
          <w:p>
            <w:pPr>
              <w:pStyle w:val="Compact"/>
              <w:jc w:val="left"/>
            </w:pPr>
            <w:r>
              <w:t xml:space="preserve">4.5</w:t>
            </w:r>
          </w:p>
        </w:tc>
        <w:tc>
          <w:p>
            <w:pPr>
              <w:pStyle w:val="Compact"/>
              <w:jc w:val="left"/>
            </w:pPr>
            <w:r>
              <w:t xml:space="preserve">5</w:t>
            </w:r>
          </w:p>
        </w:tc>
      </w:tr>
    </w:tbl>
    <w:p>
      <w:pPr>
        <w:pStyle w:val="BodyText"/>
      </w:pPr>
      <w:r>
        <w:rPr>
          <w:i/>
        </w:rPr>
        <w:t xml:space="preserve">Note: Projections are based on estimated market conditions and business strategies. Optimal Target represents an aspirational benchmark.</w:t>
      </w:r>
    </w:p>
    <w:p>
      <w:pPr>
        <w:pStyle w:val="BodyText"/>
      </w:pPr>
      <w:r>
        <w:rPr>
          <w:b/>
        </w:rPr>
        <w:t xml:space="preserve">Analysis of Hybrid Model Performance:</w:t>
      </w:r>
      <w:r>
        <w:t xml:space="preserve"> </w:t>
      </w:r>
      <w:r>
        <w:t xml:space="preserve">The hybrid pricing model (Subscription + Overage) demonstrates a superior balance across key performance indicators compared to pure subscription or pure usage-based models. It achieves higher average monthly revenue by capturing both a stable base and monetizing heavy users. While its Customer Acquisition Cost is slightly higher than pure usage-based (due to marketing the subscription component), its significantly lower churn rate and higher customer satisfaction indicate greater long-term value and loyalty. The moderate cost predictability for users is a trade-off, but the overall benefits in market penetration and operational efficiency make it a more robust and sustainable strategy. This projection supports the argument for hybrid models as the most effective approach for monetizing AI services, providing flexibility for customers and stability for providers. The hybrid model allows for better market segmentation, addressing both budget-conscious users seeking predictability and power users with fluctuating, high-volume needs.</w:t>
      </w:r>
    </w:p>
    <w:p>
      <w:r>
        <w:pict>
          <v:rect style="width:0;height:1.5pt" o:hralign="center" o:hrstd="t" o:hr="t"/>
        </w:pict>
      </w:r>
    </w:p>
    <w:p>
      <w:pPr>
        <w:pStyle w:val="Heading2"/>
      </w:pPr>
      <w:bookmarkStart w:id="102" w:name="X0d177419c45ae5e7cdf759ecc8e6d744dd4da78"/>
      <w:r>
        <w:t xml:space="preserve">Appendix D: Additional References and Resources</w:t>
      </w:r>
      <w:bookmarkEnd w:id="102"/>
    </w:p>
    <w:p>
      <w:pPr>
        <w:pStyle w:val="FirstParagraph"/>
      </w:pPr>
      <w:r>
        <w:t xml:space="preserve">This appendix provides a curated list of supplementary references and resources, categorized for ease of access, to support further exploration into the intricate domains of AI, economic theory, and ethical governance. These resources extend beyond the core citations in the thesis to offer broader foundational knowledge and specialized insights.</w:t>
      </w:r>
    </w:p>
    <w:p>
      <w:pPr>
        <w:pStyle w:val="Heading3"/>
      </w:pPr>
      <w:bookmarkStart w:id="103" w:name="d.1-foundational-texts"/>
      <w:r>
        <w:t xml:space="preserve">D.1 Foundational Texts</w:t>
      </w:r>
      <w:bookmarkEnd w:id="103"/>
    </w:p>
    <w:p>
      <w:pPr>
        <w:numPr>
          <w:ilvl w:val="0"/>
          <w:numId w:val="1012"/>
        </w:numPr>
        <w:pStyle w:val="Compact"/>
      </w:pPr>
      <w:r>
        <w:rPr>
          <w:b/>
        </w:rPr>
        <w:t xml:space="preserve">Russell, S., &amp; Norvig, P. (2010).</w:t>
      </w:r>
      <w:r>
        <w:rPr>
          <w:b/>
        </w:rPr>
        <w:t xml:space="preserve"> </w:t>
      </w:r>
      <w:r>
        <w:rPr>
          <w:i/>
          <w:b/>
        </w:rPr>
        <w:t xml:space="preserve">Artificial Intelligence: A Modern Approach</w:t>
      </w:r>
      <w:r>
        <w:rPr>
          <w:b/>
        </w:rPr>
        <w:t xml:space="preserve"> </w:t>
      </w:r>
      <w:r>
        <w:rPr>
          <w:b/>
        </w:rPr>
        <w:t xml:space="preserve">(3rd ed.). Prentice Hall.</w:t>
      </w:r>
      <w:r>
        <w:t xml:space="preserve"> </w:t>
      </w:r>
      <w:r>
        <w:t xml:space="preserve">This seminal textbook provides a comprehensive overview of AI, covering agents, search, knowledge representation, planning, and machine learning. Essential for understanding the technical underpinnings of agentic AI systems.</w:t>
      </w:r>
    </w:p>
    <w:p>
      <w:pPr>
        <w:numPr>
          <w:ilvl w:val="0"/>
          <w:numId w:val="1012"/>
        </w:numPr>
        <w:pStyle w:val="Compact"/>
      </w:pPr>
      <w:r>
        <w:rPr>
          <w:b/>
        </w:rPr>
        <w:t xml:space="preserve">Varian, H. R. (1992).</w:t>
      </w:r>
      <w:r>
        <w:rPr>
          <w:b/>
        </w:rPr>
        <w:t xml:space="preserve"> </w:t>
      </w:r>
      <w:r>
        <w:rPr>
          <w:i/>
          <w:b/>
        </w:rPr>
        <w:t xml:space="preserve">Microeconomic Analysis</w:t>
      </w:r>
      <w:r>
        <w:rPr>
          <w:b/>
        </w:rPr>
        <w:t xml:space="preserve"> </w:t>
      </w:r>
      <w:r>
        <w:rPr>
          <w:b/>
        </w:rPr>
        <w:t xml:space="preserve">(3rd ed.). W. W. Norton &amp; Company.</w:t>
      </w:r>
      <w:r>
        <w:t xml:space="preserve"> </w:t>
      </w:r>
      <w:r>
        <w:t xml:space="preserve">A classic text on microeconomics, crucial for understanding concepts like supply and demand, elasticity, consumer choice, and market structures that underpin all pricing theory, including dynamic pricing.</w:t>
      </w:r>
    </w:p>
    <w:p>
      <w:pPr>
        <w:numPr>
          <w:ilvl w:val="0"/>
          <w:numId w:val="1012"/>
        </w:numPr>
        <w:pStyle w:val="Compact"/>
      </w:pPr>
      <w:r>
        <w:rPr>
          <w:b/>
        </w:rPr>
        <w:t xml:space="preserve">Porter, M. E. (1985).</w:t>
      </w:r>
      <w:r>
        <w:rPr>
          <w:b/>
        </w:rPr>
        <w:t xml:space="preserve"> </w:t>
      </w:r>
      <w:r>
        <w:rPr>
          <w:i/>
          <w:b/>
        </w:rPr>
        <w:t xml:space="preserve">Competitive Advantage: Creating and Sustaining Superior Performance</w:t>
      </w:r>
      <w:r>
        <w:rPr>
          <w:b/>
        </w:rPr>
        <w:t xml:space="preserve">. Free Press.</w:t>
      </w:r>
      <w:r>
        <w:t xml:space="preserve"> </w:t>
      </w:r>
      <w:r>
        <w:t xml:space="preserve">Provides frameworks for understanding competitive advantage, value chains, and how companies can achieve and sustain superior performance, highly relevant for the strategic implications of AI adoption and pricing.</w:t>
      </w:r>
    </w:p>
    <w:p>
      <w:pPr>
        <w:numPr>
          <w:ilvl w:val="0"/>
          <w:numId w:val="1012"/>
        </w:numPr>
        <w:pStyle w:val="Compact"/>
      </w:pPr>
      <w:r>
        <w:rPr>
          <w:b/>
        </w:rPr>
        <w:t xml:space="preserve">Kahneman, D. (2011).</w:t>
      </w:r>
      <w:r>
        <w:rPr>
          <w:b/>
        </w:rPr>
        <w:t xml:space="preserve"> </w:t>
      </w:r>
      <w:r>
        <w:rPr>
          <w:i/>
          <w:b/>
        </w:rPr>
        <w:t xml:space="preserve">Thinking, Fast and Slow</w:t>
      </w:r>
      <w:r>
        <w:rPr>
          <w:b/>
        </w:rPr>
        <w:t xml:space="preserve">. Farrar, Straus and Giroux.</w:t>
      </w:r>
      <w:r>
        <w:t xml:space="preserve"> </w:t>
      </w:r>
      <w:r>
        <w:t xml:space="preserve">Explores the two systems that drive the way we think, offering deep insights into cognitive biases and heuristics that influence consumer decision-making, which is critical for designing ethical and effective AI-driven pricing.</w:t>
      </w:r>
    </w:p>
    <w:p>
      <w:pPr>
        <w:pStyle w:val="Heading3"/>
      </w:pPr>
      <w:bookmarkStart w:id="104" w:name="d.2-key-research-papers"/>
      <w:r>
        <w:t xml:space="preserve">D.2 Key Research Papers</w:t>
      </w:r>
      <w:bookmarkEnd w:id="104"/>
    </w:p>
    <w:p>
      <w:pPr>
        <w:numPr>
          <w:ilvl w:val="0"/>
          <w:numId w:val="1013"/>
        </w:numPr>
        <w:pStyle w:val="Compact"/>
      </w:pPr>
      <w:r>
        <w:rPr>
          <w:b/>
        </w:rPr>
        <w:t xml:space="preserve">Dhar, V. (2017). Sharper Insight, Smarter Pricing: How AI is Revolutionizing Revenue Management.</w:t>
      </w:r>
      <w:r>
        <w:rPr>
          <w:b/>
        </w:rPr>
        <w:t xml:space="preserve"> </w:t>
      </w:r>
      <w:r>
        <w:rPr>
          <w:i/>
          <w:b/>
        </w:rPr>
        <w:t xml:space="preserve">Journal of Revenue and Pricing Management</w:t>
      </w:r>
      <w:r>
        <w:rPr>
          <w:b/>
        </w:rPr>
        <w:t xml:space="preserve">, 16(4), 283-290.</w:t>
      </w:r>
      <w:r>
        <w:t xml:space="preserve"> </w:t>
      </w:r>
      <w:r>
        <w:t xml:space="preserve">Discusses the transformative impact of AI on revenue management and dynamic pricing, offering a forward-looking perspective on the capabilities and challenges.</w:t>
      </w:r>
    </w:p>
    <w:p>
      <w:pPr>
        <w:numPr>
          <w:ilvl w:val="0"/>
          <w:numId w:val="1013"/>
        </w:numPr>
        <w:pStyle w:val="Compact"/>
      </w:pPr>
      <w:r>
        <w:rPr>
          <w:b/>
        </w:rPr>
        <w:t xml:space="preserve">Acemoglu, D., &amp; Restrepo, P. (2019). Automation and New Tasks: How Technology Displaces and Reinstates Labor.</w:t>
      </w:r>
      <w:r>
        <w:rPr>
          <w:b/>
        </w:rPr>
        <w:t xml:space="preserve"> </w:t>
      </w:r>
      <w:r>
        <w:rPr>
          <w:i/>
          <w:b/>
        </w:rPr>
        <w:t xml:space="preserve">Journal of Economic Perspectives</w:t>
      </w:r>
      <w:r>
        <w:rPr>
          <w:b/>
        </w:rPr>
        <w:t xml:space="preserve">, 33(2), 3-30.</w:t>
      </w:r>
      <w:r>
        <w:t xml:space="preserve"> </w:t>
      </w:r>
      <w:r>
        <w:t xml:space="preserve">Explores the broader economic impact of automation and AI on labor markets, providing context for the societal implications of AI adoption.</w:t>
      </w:r>
    </w:p>
    <w:p>
      <w:pPr>
        <w:numPr>
          <w:ilvl w:val="0"/>
          <w:numId w:val="1013"/>
        </w:numPr>
        <w:pStyle w:val="Compact"/>
      </w:pPr>
      <w:r>
        <w:rPr>
          <w:b/>
        </w:rPr>
        <w:t xml:space="preserve">Floridi, L., Cowls, J., Beltrametti, M., Chatila, R., Chazerand, P., Dignum, V., … &amp; Schafer, B. (2018). AI4People—Ethical Guidelines for Trustworthy AI.</w:t>
      </w:r>
      <w:r>
        <w:rPr>
          <w:b/>
        </w:rPr>
        <w:t xml:space="preserve"> </w:t>
      </w:r>
      <w:r>
        <w:rPr>
          <w:i/>
          <w:b/>
        </w:rPr>
        <w:t xml:space="preserve">Minds and Machines</w:t>
      </w:r>
      <w:r>
        <w:rPr>
          <w:b/>
        </w:rPr>
        <w:t xml:space="preserve">, 29(4), 689-707.</w:t>
      </w:r>
      <w:r>
        <w:t xml:space="preserve"> </w:t>
      </w:r>
      <w:r>
        <w:t xml:space="preserve">A foundational paper outlining ethical principles for AI, directly relevant to the ethical considerations in AI pricing.</w:t>
      </w:r>
    </w:p>
    <w:p>
      <w:pPr>
        <w:numPr>
          <w:ilvl w:val="0"/>
          <w:numId w:val="1013"/>
        </w:numPr>
        <w:pStyle w:val="Compact"/>
      </w:pPr>
      <w:r>
        <w:rPr>
          <w:b/>
        </w:rPr>
        <w:t xml:space="preserve">Agrawal, A., Gans, J., &amp; Goldfarb, A. (2018).</w:t>
      </w:r>
      <w:r>
        <w:rPr>
          <w:b/>
        </w:rPr>
        <w:t xml:space="preserve"> </w:t>
      </w:r>
      <w:r>
        <w:rPr>
          <w:i/>
          <w:b/>
        </w:rPr>
        <w:t xml:space="preserve">Prediction Machines: The Simple Economics of Artificial Intelligence</w:t>
      </w:r>
      <w:r>
        <w:rPr>
          <w:b/>
        </w:rPr>
        <w:t xml:space="preserve">. Harvard Business Review Press.</w:t>
      </w:r>
      <w:r>
        <w:t xml:space="preserve"> </w:t>
      </w:r>
      <w:r>
        <w:t xml:space="preserve">Offers an economic framework for understanding AI as a</w:t>
      </w:r>
      <w:r>
        <w:t xml:space="preserve"> </w:t>
      </w:r>
      <w:r>
        <w:t xml:space="preserve">“</w:t>
      </w:r>
      <w:r>
        <w:t xml:space="preserve">prediction machine</w:t>
      </w:r>
      <w:r>
        <w:t xml:space="preserve">”</w:t>
      </w:r>
      <w:r>
        <w:t xml:space="preserve"> </w:t>
      </w:r>
      <w:r>
        <w:t xml:space="preserve">and its implications for business strategy, productivity, and value creation.</w:t>
      </w:r>
    </w:p>
    <w:p>
      <w:pPr>
        <w:pStyle w:val="Heading3"/>
      </w:pPr>
      <w:bookmarkStart w:id="105" w:name="d.3-online-resources"/>
      <w:r>
        <w:t xml:space="preserve">D.3 Online Resources</w:t>
      </w:r>
      <w:bookmarkEnd w:id="105"/>
    </w:p>
    <w:p>
      <w:pPr>
        <w:numPr>
          <w:ilvl w:val="0"/>
          <w:numId w:val="1014"/>
        </w:numPr>
        <w:pStyle w:val="Compact"/>
      </w:pPr>
      <w:r>
        <w:rPr>
          <w:b/>
        </w:rPr>
        <w:t xml:space="preserve">AI Now Institute</w:t>
      </w:r>
      <w:r>
        <w:t xml:space="preserve">:</w:t>
      </w:r>
      <w:r>
        <w:t xml:space="preserve"> </w:t>
      </w:r>
      <w:hyperlink r:id="rId106">
        <w:r>
          <w:rPr>
            <w:rStyle w:val="Hyperlink"/>
          </w:rPr>
          <w:t xml:space="preserve">https://ainowinstitute.org/</w:t>
        </w:r>
      </w:hyperlink>
      <w:r>
        <w:t xml:space="preserve"> </w:t>
      </w:r>
      <w:r>
        <w:t xml:space="preserve">- A leading research center focusing on the social implications of artificial intelligence. Offers reports, policy briefs, and research on AI ethics, governance, and societal impact.</w:t>
      </w:r>
    </w:p>
    <w:p>
      <w:pPr>
        <w:numPr>
          <w:ilvl w:val="0"/>
          <w:numId w:val="1014"/>
        </w:numPr>
        <w:pStyle w:val="Compact"/>
      </w:pPr>
      <w:r>
        <w:rPr>
          <w:b/>
        </w:rPr>
        <w:t xml:space="preserve">OpenAI Blog</w:t>
      </w:r>
      <w:r>
        <w:t xml:space="preserve">:</w:t>
      </w:r>
      <w:r>
        <w:t xml:space="preserve"> </w:t>
      </w:r>
      <w:hyperlink r:id="rId107">
        <w:r>
          <w:rPr>
            <w:rStyle w:val="Hyperlink"/>
          </w:rPr>
          <w:t xml:space="preserve">https://openai.com/blog/</w:t>
        </w:r>
      </w:hyperlink>
      <w:r>
        <w:t xml:space="preserve"> </w:t>
      </w:r>
      <w:r>
        <w:t xml:space="preserve">- Provides updates on OpenAI’s research, models, and policy initiatives, including insights into their pricing strategies and model capabilities.</w:t>
      </w:r>
    </w:p>
    <w:p>
      <w:pPr>
        <w:numPr>
          <w:ilvl w:val="0"/>
          <w:numId w:val="1014"/>
        </w:numPr>
        <w:pStyle w:val="Compact"/>
      </w:pPr>
      <w:r>
        <w:rPr>
          <w:b/>
        </w:rPr>
        <w:t xml:space="preserve">Google AI Blog</w:t>
      </w:r>
      <w:r>
        <w:t xml:space="preserve">:</w:t>
      </w:r>
      <w:r>
        <w:t xml:space="preserve"> </w:t>
      </w:r>
      <w:hyperlink r:id="rId108">
        <w:r>
          <w:rPr>
            <w:rStyle w:val="Hyperlink"/>
          </w:rPr>
          <w:t xml:space="preserve">https://ai.googleblog.com/</w:t>
        </w:r>
      </w:hyperlink>
      <w:r>
        <w:t xml:space="preserve"> </w:t>
      </w:r>
      <w:r>
        <w:t xml:space="preserve">- Features articles and announcements from Google’s AI research teams, covering a wide range of topics from technical advancements to ethical considerations.</w:t>
      </w:r>
    </w:p>
    <w:p>
      <w:pPr>
        <w:numPr>
          <w:ilvl w:val="0"/>
          <w:numId w:val="1014"/>
        </w:numPr>
        <w:pStyle w:val="Compact"/>
      </w:pPr>
      <w:r>
        <w:rPr>
          <w:b/>
        </w:rPr>
        <w:t xml:space="preserve">The Alan Turing Institute</w:t>
      </w:r>
      <w:r>
        <w:t xml:space="preserve">:</w:t>
      </w:r>
      <w:r>
        <w:t xml:space="preserve"> </w:t>
      </w:r>
      <w:hyperlink r:id="rId109">
        <w:r>
          <w:rPr>
            <w:rStyle w:val="Hyperlink"/>
          </w:rPr>
          <w:t xml:space="preserve">https://www.turing.ac.uk/</w:t>
        </w:r>
      </w:hyperlink>
      <w:r>
        <w:t xml:space="preserve"> </w:t>
      </w:r>
      <w:r>
        <w:t xml:space="preserve">- The UK’s national institute for data science and artificial intelligence. Publishes research and hosts events on various AI topics, including responsible AI.</w:t>
      </w:r>
    </w:p>
    <w:p>
      <w:pPr>
        <w:numPr>
          <w:ilvl w:val="0"/>
          <w:numId w:val="1014"/>
        </w:numPr>
        <w:pStyle w:val="Compact"/>
      </w:pPr>
      <w:r>
        <w:rPr>
          <w:b/>
        </w:rPr>
        <w:t xml:space="preserve">Kaggle</w:t>
      </w:r>
      <w:r>
        <w:t xml:space="preserve">:</w:t>
      </w:r>
      <w:r>
        <w:t xml:space="preserve"> </w:t>
      </w:r>
      <w:hyperlink r:id="rId110">
        <w:r>
          <w:rPr>
            <w:rStyle w:val="Hyperlink"/>
          </w:rPr>
          <w:t xml:space="preserve">https://www.kaggle.com/</w:t>
        </w:r>
      </w:hyperlink>
      <w:r>
        <w:t xml:space="preserve"> </w:t>
      </w:r>
      <w:r>
        <w:t xml:space="preserve">- A platform for data science and machine learning competitions. Provides access to datasets and code examples, useful for understanding the practical implementation of AI algorithms.</w:t>
      </w:r>
    </w:p>
    <w:p>
      <w:pPr>
        <w:pStyle w:val="Heading3"/>
      </w:pPr>
      <w:bookmarkStart w:id="111" w:name="d.4-softwaretools"/>
      <w:r>
        <w:t xml:space="preserve">D.4 Software/Tools</w:t>
      </w:r>
      <w:bookmarkEnd w:id="111"/>
    </w:p>
    <w:p>
      <w:pPr>
        <w:numPr>
          <w:ilvl w:val="0"/>
          <w:numId w:val="1015"/>
        </w:numPr>
        <w:pStyle w:val="Compact"/>
      </w:pPr>
      <w:r>
        <w:rPr>
          <w:b/>
        </w:rPr>
        <w:t xml:space="preserve">TensorFlow / PyTorch</w:t>
      </w:r>
      <w:r>
        <w:t xml:space="preserve">: Leading open-source machine learning frameworks. Essential for developing and training AI models, including those used in dynamic pricing algorithms.</w:t>
      </w:r>
    </w:p>
    <w:p>
      <w:pPr>
        <w:numPr>
          <w:ilvl w:val="0"/>
          <w:numId w:val="1015"/>
        </w:numPr>
        <w:pStyle w:val="Compact"/>
      </w:pPr>
      <w:r>
        <w:rPr>
          <w:b/>
        </w:rPr>
        <w:t xml:space="preserve">AWS / Google Cloud / Azure</w:t>
      </w:r>
      <w:r>
        <w:t xml:space="preserve">: Cloud computing platforms offering extensive AI/ML services (e.g., managed LLMs, compute resources, data analytics tools). Crucial for deploying and scaling AI pricing systems.</w:t>
      </w:r>
    </w:p>
    <w:p>
      <w:pPr>
        <w:numPr>
          <w:ilvl w:val="0"/>
          <w:numId w:val="1015"/>
        </w:numPr>
        <w:pStyle w:val="Compact"/>
      </w:pPr>
      <w:r>
        <w:rPr>
          <w:b/>
        </w:rPr>
        <w:t xml:space="preserve">Optimizely / Google Optimize</w:t>
      </w:r>
      <w:r>
        <w:t xml:space="preserve">: A/B testing and experimentation platforms that can be used to test different pricing strategies and measure their impact on user behavior and business outcomes.</w:t>
      </w:r>
    </w:p>
    <w:p>
      <w:pPr>
        <w:numPr>
          <w:ilvl w:val="0"/>
          <w:numId w:val="1015"/>
        </w:numPr>
        <w:pStyle w:val="Compact"/>
      </w:pPr>
      <w:r>
        <w:rPr>
          <w:b/>
        </w:rPr>
        <w:t xml:space="preserve">Databricks / Snowflake</w:t>
      </w:r>
      <w:r>
        <w:t xml:space="preserve">: Data warehousing and analytics platforms. Provide the infrastructure for storing, processing, and analyzing the vast datasets required for AI-driven pricing.</w:t>
      </w:r>
    </w:p>
    <w:p>
      <w:pPr>
        <w:pStyle w:val="Heading3"/>
      </w:pPr>
      <w:bookmarkStart w:id="112" w:name="d.5-professional-organizations"/>
      <w:r>
        <w:t xml:space="preserve">D.5 Professional Organizations</w:t>
      </w:r>
      <w:bookmarkEnd w:id="112"/>
    </w:p>
    <w:p>
      <w:pPr>
        <w:numPr>
          <w:ilvl w:val="0"/>
          <w:numId w:val="1016"/>
        </w:numPr>
        <w:pStyle w:val="Compact"/>
      </w:pPr>
      <w:r>
        <w:rPr>
          <w:b/>
        </w:rPr>
        <w:t xml:space="preserve">Association for Computing Machinery (ACM)</w:t>
      </w:r>
      <w:r>
        <w:t xml:space="preserve">:</w:t>
      </w:r>
      <w:r>
        <w:t xml:space="preserve"> </w:t>
      </w:r>
      <w:hyperlink r:id="rId113">
        <w:r>
          <w:rPr>
            <w:rStyle w:val="Hyperlink"/>
          </w:rPr>
          <w:t xml:space="preserve">https://www.acm.org/</w:t>
        </w:r>
      </w:hyperlink>
      <w:r>
        <w:t xml:space="preserve"> </w:t>
      </w:r>
      <w:r>
        <w:t xml:space="preserve">- A professional society for computing, offering publications, conferences, and special interest groups related to AI and its ethical implications.</w:t>
      </w:r>
    </w:p>
    <w:p>
      <w:pPr>
        <w:numPr>
          <w:ilvl w:val="0"/>
          <w:numId w:val="1016"/>
        </w:numPr>
        <w:pStyle w:val="Compact"/>
      </w:pPr>
      <w:r>
        <w:rPr>
          <w:b/>
        </w:rPr>
        <w:t xml:space="preserve">Institute of Electrical and Electronics Engineers (IEEE)</w:t>
      </w:r>
      <w:r>
        <w:t xml:space="preserve">:</w:t>
      </w:r>
      <w:r>
        <w:t xml:space="preserve"> </w:t>
      </w:r>
      <w:hyperlink r:id="rId114">
        <w:r>
          <w:rPr>
            <w:rStyle w:val="Hyperlink"/>
          </w:rPr>
          <w:t xml:space="preserve">https://www.ieee.org/</w:t>
        </w:r>
      </w:hyperlink>
      <w:r>
        <w:t xml:space="preserve"> </w:t>
      </w:r>
      <w:r>
        <w:t xml:space="preserve">- A global professional association for advancing technology. Has various initiatives and standards related to AI, including ethical AI and smart grid technologies.</w:t>
      </w:r>
    </w:p>
    <w:p>
      <w:pPr>
        <w:numPr>
          <w:ilvl w:val="0"/>
          <w:numId w:val="1016"/>
        </w:numPr>
        <w:pStyle w:val="Compact"/>
      </w:pPr>
      <w:r>
        <w:rPr>
          <w:b/>
        </w:rPr>
        <w:t xml:space="preserve">American Economic Association (AEA)</w:t>
      </w:r>
      <w:r>
        <w:t xml:space="preserve">:</w:t>
      </w:r>
      <w:r>
        <w:t xml:space="preserve"> </w:t>
      </w:r>
      <w:hyperlink r:id="rId115">
        <w:r>
          <w:rPr>
            <w:rStyle w:val="Hyperlink"/>
          </w:rPr>
          <w:t xml:space="preserve">https://www.aeaweb.org/</w:t>
        </w:r>
      </w:hyperlink>
      <w:r>
        <w:t xml:space="preserve"> </w:t>
      </w:r>
      <w:r>
        <w:t xml:space="preserve">- A professional organization for economists, providing publications and resources on economic theory, policy, and applications, including the economics of technology and AI.</w:t>
      </w:r>
    </w:p>
    <w:p>
      <w:pPr>
        <w:numPr>
          <w:ilvl w:val="0"/>
          <w:numId w:val="1016"/>
        </w:numPr>
        <w:pStyle w:val="Compact"/>
      </w:pPr>
      <w:r>
        <w:rPr>
          <w:b/>
        </w:rPr>
        <w:t xml:space="preserve">AI Ethics Global</w:t>
      </w:r>
      <w:r>
        <w:t xml:space="preserve">:</w:t>
      </w:r>
      <w:r>
        <w:t xml:space="preserve"> </w:t>
      </w:r>
      <w:hyperlink r:id="rId116">
        <w:r>
          <w:rPr>
            <w:rStyle w:val="Hyperlink"/>
          </w:rPr>
          <w:t xml:space="preserve">https://www.aiethicsglobal.com/</w:t>
        </w:r>
      </w:hyperlink>
      <w:r>
        <w:t xml:space="preserve"> </w:t>
      </w:r>
      <w:r>
        <w:t xml:space="preserve">- A global community and resource hub dedicated to advancing ethical AI practices.</w:t>
      </w:r>
    </w:p>
    <w:p>
      <w:r>
        <w:pict>
          <v:rect style="width:0;height:1.5pt" o:hralign="center" o:hrstd="t" o:hr="t"/>
        </w:pict>
      </w:r>
    </w:p>
    <w:p>
      <w:pPr>
        <w:pStyle w:val="Heading2"/>
      </w:pPr>
      <w:bookmarkStart w:id="117" w:name="appendix-e-glossary-of-terms"/>
      <w:r>
        <w:t xml:space="preserve">Appendix E: Glossary of Terms</w:t>
      </w:r>
      <w:bookmarkEnd w:id="117"/>
    </w:p>
    <w:p>
      <w:pPr>
        <w:pStyle w:val="FirstParagraph"/>
      </w:pPr>
      <w:r>
        <w:t xml:space="preserve">This glossary defines key technical and domain-specific terms used throughout the thesis, providing clear and concise explanations to enhance understanding of the complex concepts related to AI-driven pricing models.</w:t>
      </w:r>
    </w:p>
    <w:p>
      <w:pPr>
        <w:pStyle w:val="BodyText"/>
      </w:pPr>
      <w:r>
        <w:rPr>
          <w:b/>
        </w:rPr>
        <w:t xml:space="preserve">Agentic AI System</w:t>
      </w:r>
      <w:r>
        <w:t xml:space="preserve">: An autonomous artificial intelligence system capable of perceiving its environment, making decisions, and taking actions to achieve specific goals, often with a degree of independence and continuous learning.</w:t>
      </w:r>
    </w:p>
    <w:p>
      <w:pPr>
        <w:pStyle w:val="BodyText"/>
      </w:pPr>
      <w:r>
        <w:rPr>
          <w:b/>
        </w:rPr>
        <w:t xml:space="preserve">Algorithmic Bias</w:t>
      </w:r>
      <w:r>
        <w:t xml:space="preserve">: Systematic and repeatable errors in an AI system that create unfair outcomes, such as favoring one group over others, often stemming from biased training data or flawed algorithm design.</w:t>
      </w:r>
    </w:p>
    <w:p>
      <w:pPr>
        <w:pStyle w:val="BodyText"/>
      </w:pPr>
      <w:r>
        <w:rPr>
          <w:b/>
        </w:rPr>
        <w:t xml:space="preserve">API Call</w:t>
      </w:r>
      <w:r>
        <w:t xml:space="preserve">: An instance where a program or application sends a request to an Application Programming Interface (API) to access a specific service or data, commonly used as a metric for usage-based pricing.</w:t>
      </w:r>
    </w:p>
    <w:p>
      <w:pPr>
        <w:pStyle w:val="BodyText"/>
      </w:pPr>
      <w:r>
        <w:rPr>
          <w:b/>
        </w:rPr>
        <w:t xml:space="preserve">ASCII Diagram</w:t>
      </w:r>
      <w:r>
        <w:t xml:space="preserve">: A visual representation created using only standard ASCII characters (e.g., +, -,|, /, ) to illustrate structures, flows, or relationships, commonly used in plain text environments.</w:t>
      </w:r>
    </w:p>
    <w:p>
      <w:pPr>
        <w:pStyle w:val="BodyText"/>
      </w:pPr>
      <w:r>
        <w:rPr>
          <w:b/>
        </w:rPr>
        <w:t xml:space="preserve">Black Box Problem</w:t>
      </w:r>
      <w:r>
        <w:t xml:space="preserve">: The challenge of understanding how complex AI models, particularly deep neural networks, arrive at their decisions, making it difficult to explain or audit their internal workings.</w:t>
      </w:r>
    </w:p>
    <w:p>
      <w:pPr>
        <w:pStyle w:val="BodyText"/>
      </w:pPr>
      <w:r>
        <w:rPr>
          <w:b/>
        </w:rPr>
        <w:t xml:space="preserve">Context Window</w:t>
      </w:r>
      <w:r>
        <w:t xml:space="preserve">: The maximum number of tokens or words that a large language model can consider at one time when processing input or generating output, influencing its ability to understand long narratives or complex queries.</w:t>
      </w:r>
    </w:p>
    <w:p>
      <w:pPr>
        <w:pStyle w:val="BodyText"/>
      </w:pPr>
      <w:r>
        <w:rPr>
          <w:b/>
        </w:rPr>
        <w:t xml:space="preserve">Cost-Plus Pricing</w:t>
      </w:r>
      <w:r>
        <w:t xml:space="preserve">: A pricing strategy where the selling price of a product or service is determined by adding a fixed percentage or absolute amount (markup) to the total cost of producing it.</w:t>
      </w:r>
    </w:p>
    <w:p>
      <w:pPr>
        <w:pStyle w:val="BodyText"/>
      </w:pPr>
      <w:r>
        <w:rPr>
          <w:b/>
        </w:rPr>
        <w:t xml:space="preserve">Customer Lifetime Value (CLV)</w:t>
      </w:r>
      <w:r>
        <w:t xml:space="preserve">: A prediction of the total revenue a business can expect to earn from a single customer account throughout their relationship with the company.</w:t>
      </w:r>
    </w:p>
    <w:p>
      <w:pPr>
        <w:pStyle w:val="BodyText"/>
      </w:pPr>
      <w:r>
        <w:rPr>
          <w:b/>
        </w:rPr>
        <w:t xml:space="preserve">Decentralized Autonomous Organization (DAO)</w:t>
      </w:r>
      <w:r>
        <w:t xml:space="preserve">: An organization represented by rules encoded as a transparent computer program, controlled by its members, and not influenced by a central government, relevant for future decentralized AI pricing.</w:t>
      </w:r>
    </w:p>
    <w:p>
      <w:pPr>
        <w:pStyle w:val="BodyText"/>
      </w:pPr>
      <w:r>
        <w:rPr>
          <w:b/>
        </w:rPr>
        <w:t xml:space="preserve">Deep Learning (DL)</w:t>
      </w:r>
      <w:r>
        <w:t xml:space="preserve">: A subfield of machine learning that uses artificial neural networks with multiple layers (deep neural networks) to learn complex patterns from large amounts of data, often used in advanced AI agents.</w:t>
      </w:r>
    </w:p>
    <w:p>
      <w:pPr>
        <w:pStyle w:val="BodyText"/>
      </w:pPr>
      <w:r>
        <w:rPr>
          <w:b/>
        </w:rPr>
        <w:t xml:space="preserve">Dynamic Pricing</w:t>
      </w:r>
      <w:r>
        <w:t xml:space="preserve">: A pricing strategy where prices for products or services are adjusted in real-time or near real-time in response to market demand, supply, competitor pricing, and other external factors.</w:t>
      </w:r>
    </w:p>
    <w:p>
      <w:pPr>
        <w:pStyle w:val="BodyText"/>
      </w:pPr>
      <w:r>
        <w:rPr>
          <w:b/>
        </w:rPr>
        <w:t xml:space="preserve">Elasticity of Demand</w:t>
      </w:r>
      <w:r>
        <w:t xml:space="preserve">: A measure of the responsiveness of the quantity demanded of a good or service to a change in its price.</w:t>
      </w:r>
    </w:p>
    <w:p>
      <w:pPr>
        <w:pStyle w:val="BodyText"/>
      </w:pPr>
      <w:r>
        <w:rPr>
          <w:b/>
        </w:rPr>
        <w:t xml:space="preserve">Embodied AI Agent</w:t>
      </w:r>
      <w:r>
        <w:t xml:space="preserve">: An AI agent that interacts with the physical world or a simulated environment through a</w:t>
      </w:r>
      <w:r>
        <w:t xml:space="preserve"> </w:t>
      </w:r>
      <w:r>
        <w:t xml:space="preserve">“</w:t>
      </w:r>
      <w:r>
        <w:t xml:space="preserve">body,</w:t>
      </w:r>
      <w:r>
        <w:t xml:space="preserve">”</w:t>
      </w:r>
      <w:r>
        <w:t xml:space="preserve"> </w:t>
      </w:r>
      <w:r>
        <w:t xml:space="preserve">allowing for physical interaction, perception, and action, often in co-creation ecosystems.</w:t>
      </w:r>
    </w:p>
    <w:p>
      <w:pPr>
        <w:pStyle w:val="BodyText"/>
      </w:pPr>
      <w:r>
        <w:rPr>
          <w:b/>
        </w:rPr>
        <w:t xml:space="preserve">Explainable AI (XAI)</w:t>
      </w:r>
      <w:r>
        <w:t xml:space="preserve">: A set of methods and techniques that allow human users to understand and interpret the outputs and decisions of artificial intelligence models, addressing the black box problem.</w:t>
      </w:r>
    </w:p>
    <w:p>
      <w:pPr>
        <w:pStyle w:val="BodyText"/>
      </w:pPr>
      <w:r>
        <w:rPr>
          <w:b/>
        </w:rPr>
        <w:t xml:space="preserve">Foundational Models</w:t>
      </w:r>
      <w:r>
        <w:t xml:space="preserve">: Large AI models (e.g., large language models, large multimodal models) trained on vast datasets that can be adapted to a wide range of downstream tasks, forming the</w:t>
      </w:r>
      <w:r>
        <w:t xml:space="preserve"> </w:t>
      </w:r>
      <w:r>
        <w:t xml:space="preserve">“</w:t>
      </w:r>
      <w:r>
        <w:t xml:space="preserve">foundation</w:t>
      </w:r>
      <w:r>
        <w:t xml:space="preserve">”</w:t>
      </w:r>
      <w:r>
        <w:t xml:space="preserve"> </w:t>
      </w:r>
      <w:r>
        <w:t xml:space="preserve">for many AI services.</w:t>
      </w:r>
    </w:p>
    <w:p>
      <w:pPr>
        <w:pStyle w:val="BodyText"/>
      </w:pPr>
      <w:r>
        <w:rPr>
          <w:b/>
        </w:rPr>
        <w:t xml:space="preserve">Freemium Model</w:t>
      </w:r>
      <w:r>
        <w:t xml:space="preserve">: A business model that offers basic services or a limited version of a product for free, while charging a premium for advanced features, additional functionality, or higher usage limits.</w:t>
      </w:r>
    </w:p>
    <w:p>
      <w:pPr>
        <w:pStyle w:val="BodyText"/>
      </w:pPr>
      <w:r>
        <w:rPr>
          <w:b/>
        </w:rPr>
        <w:t xml:space="preserve">Hybrid Pricing Model</w:t>
      </w:r>
      <w:r>
        <w:t xml:space="preserve">: A pricing strategy that combines elements from two or more basic pricing models (e.g., subscription + usage, freemium + tiered) to optimize revenue and cater to diverse customer needs.</w:t>
      </w:r>
    </w:p>
    <w:p>
      <w:pPr>
        <w:pStyle w:val="BodyText"/>
      </w:pPr>
      <w:r>
        <w:rPr>
          <w:b/>
        </w:rPr>
        <w:t xml:space="preserve">Large Language Model (LLM)</w:t>
      </w:r>
      <w:r>
        <w:t xml:space="preserve">: An AI model trained on massive amounts of text data to understand, generate, and process human language, capable of tasks like summarization, translation, and content creation.</w:t>
      </w:r>
    </w:p>
    <w:p>
      <w:pPr>
        <w:pStyle w:val="BodyText"/>
      </w:pPr>
      <w:r>
        <w:rPr>
          <w:b/>
        </w:rPr>
        <w:t xml:space="preserve">Machine Learning (ML)</w:t>
      </w:r>
      <w:r>
        <w:t xml:space="preserve">: A subfield of AI that enables systems to learn from data without explicit programming, identifying patterns and making predictions or decisions.</w:t>
      </w:r>
    </w:p>
    <w:p>
      <w:pPr>
        <w:pStyle w:val="BodyText"/>
      </w:pPr>
      <w:r>
        <w:rPr>
          <w:b/>
        </w:rPr>
        <w:t xml:space="preserve">Micro-segmentation</w:t>
      </w:r>
      <w:r>
        <w:t xml:space="preserve">: The practice of dividing a market into very small, precise groups of consumers who share similar characteristics, allowing for highly targeted and personalized marketing or pricing strategies.</w:t>
      </w:r>
    </w:p>
    <w:p>
      <w:pPr>
        <w:pStyle w:val="BodyText"/>
      </w:pPr>
      <w:r>
        <w:rPr>
          <w:b/>
        </w:rPr>
        <w:t xml:space="preserve">Non-Fungible Token (NFT)</w:t>
      </w:r>
      <w:r>
        <w:t xml:space="preserve">: A unique digital identifier recorded on a blockchain, used to certify ownership and authenticity of a digital asset, potentially impacting pricing for AI-generated content.</w:t>
      </w:r>
    </w:p>
    <w:p>
      <w:pPr>
        <w:pStyle w:val="BodyText"/>
      </w:pPr>
      <w:r>
        <w:rPr>
          <w:b/>
        </w:rPr>
        <w:t xml:space="preserve">Pay-per-Action Auction</w:t>
      </w:r>
      <w:r>
        <w:t xml:space="preserve">: An online advertising pricing model where advertisers bid to pay only when a specific action (e.g., a sale, a click, a lead) is completed, often managed by AI for dynamic bidding.</w:t>
      </w:r>
    </w:p>
    <w:p>
      <w:pPr>
        <w:pStyle w:val="BodyText"/>
      </w:pPr>
      <w:r>
        <w:rPr>
          <w:b/>
        </w:rPr>
        <w:t xml:space="preserve">Personalized Pricing</w:t>
      </w:r>
      <w:r>
        <w:t xml:space="preserve">: A form of dynamic pricing where the price offered to a customer is tailored specifically to that individual based on their data, behavior, and perceived willingness to pay.</w:t>
      </w:r>
    </w:p>
    <w:p>
      <w:pPr>
        <w:pStyle w:val="BodyText"/>
      </w:pPr>
      <w:r>
        <w:rPr>
          <w:b/>
        </w:rPr>
        <w:t xml:space="preserve">Prompt Engineering</w:t>
      </w:r>
      <w:r>
        <w:t xml:space="preserve">: The process of carefully designing and refining input queries or instructions (prompts) to guide an AI model, especially an LLM, to generate desired and optimal outputs.</w:t>
      </w:r>
    </w:p>
    <w:p>
      <w:pPr>
        <w:pStyle w:val="BodyText"/>
      </w:pPr>
      <w:r>
        <w:rPr>
          <w:b/>
        </w:rPr>
        <w:t xml:space="preserve">Reinforcement Learning (RL)</w:t>
      </w:r>
      <w:r>
        <w:t xml:space="preserve">: A type of machine learning where an agent learns to make decisions by performing actions in an environment and receiving feedback (rewards or penalties) for those actions.</w:t>
      </w:r>
    </w:p>
    <w:p>
      <w:pPr>
        <w:pStyle w:val="BodyText"/>
      </w:pPr>
      <w:r>
        <w:rPr>
          <w:b/>
        </w:rPr>
        <w:t xml:space="preserve">Revenue Management</w:t>
      </w:r>
      <w:r>
        <w:t xml:space="preserve">: The strategic control of inventory and pricing to maximize revenue from a perishable resource, historically used in airlines and hotels, now applied to digital services.</w:t>
      </w:r>
    </w:p>
    <w:p>
      <w:pPr>
        <w:pStyle w:val="BodyText"/>
      </w:pPr>
      <w:r>
        <w:rPr>
          <w:b/>
        </w:rPr>
        <w:t xml:space="preserve">Service Level Agreement (SLA)</w:t>
      </w:r>
      <w:r>
        <w:t xml:space="preserve">: A contract between a service provider and a customer that specifies the level of service expected from the provider, outlining metrics like uptime, response times, and responsibilities.</w:t>
      </w:r>
    </w:p>
    <w:p>
      <w:pPr>
        <w:pStyle w:val="BodyText"/>
      </w:pPr>
      <w:r>
        <w:rPr>
          <w:b/>
        </w:rPr>
        <w:t xml:space="preserve">Subscription-Based Pricing</w:t>
      </w:r>
      <w:r>
        <w:t xml:space="preserve">: A business model where customers pay a recurring fee (e.g., monthly or annually) to gain access to a product or service.</w:t>
      </w:r>
    </w:p>
    <w:p>
      <w:pPr>
        <w:pStyle w:val="BodyText"/>
      </w:pPr>
      <w:r>
        <w:rPr>
          <w:b/>
        </w:rPr>
        <w:t xml:space="preserve">Tiered Pricing</w:t>
      </w:r>
      <w:r>
        <w:t xml:space="preserve">: A pricing strategy that offers different levels or packages of a product or service, each with varying features, usage limits, or support options, typically at different price points.</w:t>
      </w:r>
    </w:p>
    <w:p>
      <w:pPr>
        <w:pStyle w:val="BodyText"/>
      </w:pPr>
      <w:r>
        <w:rPr>
          <w:b/>
        </w:rPr>
        <w:t xml:space="preserve">Token</w:t>
      </w:r>
      <w:r>
        <w:t xml:space="preserve">: A unit of text (e.g., a word, subword, or character) used by large language models for processing input and generating output, forming the basis of token-based pricing.</w:t>
      </w:r>
    </w:p>
    <w:p>
      <w:pPr>
        <w:pStyle w:val="BodyText"/>
      </w:pPr>
      <w:r>
        <w:rPr>
          <w:b/>
        </w:rPr>
        <w:t xml:space="preserve">Token Inflation</w:t>
      </w:r>
      <w:r>
        <w:t xml:space="preserve">: The phenomenon where inefficient or overly verbose prompts and responses in token-based AI services lead to rapidly accumulating costs without necessarily yielding higher value.</w:t>
      </w:r>
    </w:p>
    <w:p>
      <w:pPr>
        <w:pStyle w:val="BodyText"/>
      </w:pPr>
      <w:r>
        <w:rPr>
          <w:b/>
        </w:rPr>
        <w:t xml:space="preserve">Usage-Based Pricing</w:t>
      </w:r>
      <w:r>
        <w:t xml:space="preserve">: A pricing model where customers are charged based on their actual consumption or usage of a service, often referred to as pay-as-you-go.</w:t>
      </w:r>
    </w:p>
    <w:p>
      <w:pPr>
        <w:pStyle w:val="BodyText"/>
      </w:pPr>
      <w:r>
        <w:rPr>
          <w:b/>
        </w:rPr>
        <w:t xml:space="preserve">Value-Based Pricing (VBP)</w:t>
      </w:r>
      <w:r>
        <w:t xml:space="preserve">: A pricing strategy where the price of a product or service is determined by its perceived or actual value to the customer, rather than by its cost of production or market competition.</w:t>
      </w:r>
    </w:p>
    <w:p>
      <w:r>
        <w:pict>
          <v:rect style="width:0;height:1.5pt" o:hralign="center" o:hrstd="t" o:hr="t"/>
        </w:pict>
      </w:r>
    </w:p>
    <w:p>
      <w:pPr>
        <w:pStyle w:val="Heading2"/>
      </w:pPr>
      <w:bookmarkStart w:id="118" w:name="references"/>
      <w:r>
        <w:t xml:space="preserve">References</w:t>
      </w:r>
      <w:bookmarkEnd w:id="118"/>
    </w:p>
    <w:p>
      <w:pPr>
        <w:pStyle w:val="FirstParagraph"/>
      </w:pPr>
      <w:r>
        <w:t xml:space="preserve">Abdullah, &amp; Hasan. (2023). AI-DRIVEN INSIGHTS FOR PRODUCT MARKETING: ENHANCING CUSTOMER EXPERIENCE AND REFINING MARKET SEGMENTATION.</w:t>
      </w:r>
      <w:r>
        <w:t xml:space="preserve"> </w:t>
      </w:r>
      <w:r>
        <w:rPr>
          <w:i/>
        </w:rPr>
        <w:t xml:space="preserve">American Journal of Interdisciplinary Studies</w:t>
      </w:r>
      <w:r>
        <w:t xml:space="preserve">. https://doi.org/10.63125/pzd8m844.</w:t>
      </w:r>
    </w:p>
    <w:p>
      <w:pPr>
        <w:pStyle w:val="BodyText"/>
      </w:pPr>
      <w:r>
        <w:t xml:space="preserve">Arba KOKALARI. (2025).</w:t>
      </w:r>
      <w:r>
        <w:t xml:space="preserve"> </w:t>
      </w:r>
      <w:r>
        <w:rPr>
          <w:i/>
        </w:rPr>
        <w:t xml:space="preserve">REPORT on the impact of artificial intelligence on the financial sector| A10-0225/2025 | European Parliament</w:t>
      </w:r>
      <w:r>
        <w:t xml:space="preserve">. https://www.europarl.europa.eu/doceo/document/A-10-2025-0225_EN.html</w:t>
      </w:r>
    </w:p>
    <w:p>
      <w:pPr>
        <w:pStyle w:val="BodyText"/>
      </w:pPr>
      <w:r>
        <w:t xml:space="preserve">Bala, &amp; Carr. (2010). Usage-based pricing of software services under competition.</w:t>
      </w:r>
      <w:r>
        <w:t xml:space="preserve"> </w:t>
      </w:r>
      <w:r>
        <w:rPr>
          <w:i/>
        </w:rPr>
        <w:t xml:space="preserve">Journal of Revenue and Pricing Management</w:t>
      </w:r>
      <w:r>
        <w:t xml:space="preserve">,</w:t>
      </w:r>
      <w:r>
        <w:t xml:space="preserve"> </w:t>
      </w:r>
      <w:r>
        <w:rPr>
          <w:i/>
        </w:rPr>
        <w:t xml:space="preserve">9</w:t>
      </w:r>
      <w:r>
        <w:t xml:space="preserve">(3), 204-216. https://doi.org/10.1057/rpm.2010.12.</w:t>
      </w:r>
    </w:p>
    <w:p>
      <w:pPr>
        <w:pStyle w:val="BodyText"/>
      </w:pPr>
      <w:r>
        <w:t xml:space="preserve">Bengio. (2023). AI and Catastrophic Risk.</w:t>
      </w:r>
      <w:r>
        <w:t xml:space="preserve"> </w:t>
      </w:r>
      <w:r>
        <w:rPr>
          <w:i/>
        </w:rPr>
        <w:t xml:space="preserve">Journal of Democracy</w:t>
      </w:r>
      <w:r>
        <w:t xml:space="preserve">. https://doi.org/10.1353/jod.2023.a907692.</w:t>
      </w:r>
    </w:p>
    <w:p>
      <w:pPr>
        <w:pStyle w:val="BodyText"/>
      </w:pPr>
      <w:r>
        <w:t xml:space="preserve">Bhattacharya, Castignani, Masello, &amp; Sheehan. (2025). AI revolution in insurance: bridging research and reality.</w:t>
      </w:r>
      <w:r>
        <w:t xml:space="preserve"> </w:t>
      </w:r>
      <w:r>
        <w:rPr>
          <w:i/>
        </w:rPr>
        <w:t xml:space="preserve">Frontiers Artif. Intell.</w:t>
      </w:r>
      <w:r>
        <w:t xml:space="preserve">. https://doi.org/10.3389/frai.2025.1568266.</w:t>
      </w:r>
    </w:p>
    <w:p>
      <w:pPr>
        <w:pStyle w:val="BodyText"/>
      </w:pPr>
      <w:r>
        <w:t xml:space="preserve">Ericson, Carli, Tucker, &amp; Dignum. (2025). AI Policy for Whom? Reclaiming Governance from Capitalist Capture.</w:t>
      </w:r>
      <w:r>
        <w:t xml:space="preserve"> </w:t>
      </w:r>
      <w:r>
        <w:rPr>
          <w:i/>
        </w:rPr>
        <w:t xml:space="preserve">Proceedings of the AAAI/ACM Conference on AI, Ethics, and Society</w:t>
      </w:r>
      <w:r>
        <w:t xml:space="preserve">. https://doi.org/10.1609/aies.v8i1.36594.</w:t>
      </w:r>
    </w:p>
    <w:p>
      <w:pPr>
        <w:pStyle w:val="BodyText"/>
      </w:pPr>
      <w:r>
        <w:t xml:space="preserve">Ewerhart. (2009). Skewed Bidding in Pay Per Action Auctions for Online Advertising. **. https://www.semanticscholar.org/paper/44a770b600e00f01c0a7d92406bdc2d3626f2f44.</w:t>
      </w:r>
    </w:p>
    <w:p>
      <w:pPr>
        <w:pStyle w:val="BodyText"/>
      </w:pPr>
      <w:r>
        <w:t xml:space="preserve">Guo. (2025). Research on AI-Enabling Strategies for OTA Platforms.</w:t>
      </w:r>
      <w:r>
        <w:t xml:space="preserve"> </w:t>
      </w:r>
      <w:r>
        <w:rPr>
          <w:i/>
        </w:rPr>
        <w:t xml:space="preserve">Highlights in Business, Economics and Management</w:t>
      </w:r>
      <w:r>
        <w:t xml:space="preserve">. https://doi.org/10.54097/945gaq27.</w:t>
      </w:r>
    </w:p>
    <w:p>
      <w:pPr>
        <w:pStyle w:val="BodyText"/>
      </w:pPr>
      <w:r>
        <w:t xml:space="preserve">Haq, &amp; Yunanto. (2024). Legal Implications of Using Artificial Intelligence (AI) Technology in Electronic Transactions.</w:t>
      </w:r>
      <w:r>
        <w:t xml:space="preserve"> </w:t>
      </w:r>
      <w:r>
        <w:rPr>
          <w:i/>
        </w:rPr>
        <w:t xml:space="preserve">International journal of social science and human research</w:t>
      </w:r>
      <w:r>
        <w:t xml:space="preserve">. https://doi.org/10.47191/ijsshr/v7-i05-108.</w:t>
      </w:r>
    </w:p>
    <w:p>
      <w:pPr>
        <w:pStyle w:val="BodyText"/>
      </w:pPr>
      <w:r>
        <w:t xml:space="preserve">Hinton. (2008).</w:t>
      </w:r>
      <w:r>
        <w:t xml:space="preserve"> </w:t>
      </w:r>
      <w:r>
        <w:rPr>
          <w:i/>
        </w:rPr>
        <w:t xml:space="preserve">About the Author</w:t>
      </w:r>
      <w:r>
        <w:t xml:space="preserve">. Rowman &amp; Littlefield Publishers. https://doi.org/10.5771/9780810866539-131</w:t>
      </w:r>
    </w:p>
    <w:p>
      <w:pPr>
        <w:pStyle w:val="BodyText"/>
      </w:pPr>
      <w:r>
        <w:t xml:space="preserve">Hossen. (2024). E-COMMERCE OPERATIONS WITH AI-POWERED DATA WAREHOUSES: A CASE STUDY ON CUSTOMER BEHAVIOR ANALYSIS.</w:t>
      </w:r>
      <w:r>
        <w:t xml:space="preserve"> </w:t>
      </w:r>
      <w:r>
        <w:rPr>
          <w:i/>
        </w:rPr>
        <w:t xml:space="preserve">ACADEMIC JOURNAL ON SCIENCE, TECHNOLOGY, ENGINEERING &amp; MATHEMATICS EDUCATION</w:t>
      </w:r>
      <w:r>
        <w:t xml:space="preserve">. https://doi.org/10.69593/ajsteme.v4i03.96.</w:t>
      </w:r>
    </w:p>
    <w:p>
      <w:pPr>
        <w:pStyle w:val="BodyText"/>
      </w:pPr>
      <w:r>
        <w:t xml:space="preserve">Joshi. (2025). Advancing innovation in financial stability: A comprehensive review of ai agent frameworks, challenges and applications.</w:t>
      </w:r>
      <w:r>
        <w:t xml:space="preserve"> </w:t>
      </w:r>
      <w:r>
        <w:rPr>
          <w:i/>
        </w:rPr>
        <w:t xml:space="preserve">World Journal of Advanced Engineering Technology and Sciences</w:t>
      </w:r>
      <w:r>
        <w:t xml:space="preserve">. https://doi.org/10.30574/wjaets.2025.14.2.0071.</w:t>
      </w:r>
    </w:p>
    <w:p>
      <w:pPr>
        <w:pStyle w:val="BodyText"/>
      </w:pPr>
      <w:r>
        <w:t xml:space="preserve">Kraizberg. (2023). Non-fungible tokens: a bubble or the end of an era of intellectual property rights.</w:t>
      </w:r>
      <w:r>
        <w:t xml:space="preserve"> </w:t>
      </w:r>
      <w:r>
        <w:rPr>
          <w:i/>
        </w:rPr>
        <w:t xml:space="preserve">Financial Innovation</w:t>
      </w:r>
      <w:r>
        <w:t xml:space="preserve">. https://doi.org/10.1186/s40854-022-00428-4.</w:t>
      </w:r>
    </w:p>
    <w:p>
      <w:pPr>
        <w:pStyle w:val="BodyText"/>
      </w:pPr>
      <w:r>
        <w:t xml:space="preserve">Leela.Vemula, Telangana, Khatri, Coordinator, Vijayalakshmi, Hatole, &amp; India. (2025). Artificial Intelligence in Consumer Decision-Making: A Review of AI-Driven Personalization and Its Managerial Implications.</w:t>
      </w:r>
      <w:r>
        <w:t xml:space="preserve"> </w:t>
      </w:r>
      <w:r>
        <w:rPr>
          <w:i/>
        </w:rPr>
        <w:t xml:space="preserve">Journal of Informatics Education and Research</w:t>
      </w:r>
      <w:r>
        <w:t xml:space="preserve">. https://doi.org/10.52783/jier.v5i2.2631.</w:t>
      </w:r>
    </w:p>
    <w:p>
      <w:pPr>
        <w:pStyle w:val="BodyText"/>
      </w:pPr>
      <w:r>
        <w:t xml:space="preserve">Malik, Silva, &amp; Alteneiji. (2023). The Business of Sustainability in the Airbnb Market: Insights from London Using AI-based Analysis. https://doi.org/10.1109/ITT59889.2023.10184229</w:t>
      </w:r>
    </w:p>
    <w:p>
      <w:pPr>
        <w:pStyle w:val="BodyText"/>
      </w:pPr>
      <w:r>
        <w:t xml:space="preserve">Miao, Zang, Liu, Zheng, Zhou, Liu, Yang, Zhang, Zhang, Zhang, Li, Zhang, &amp; Zhang. (2025). From chaos to symbiosis: exploring adaptive co-evolution strategies for generative AI and research integrity systems.</w:t>
      </w:r>
      <w:r>
        <w:t xml:space="preserve"> </w:t>
      </w:r>
      <w:r>
        <w:rPr>
          <w:i/>
        </w:rPr>
        <w:t xml:space="preserve">BMC Medical Ethics</w:t>
      </w:r>
      <w:r>
        <w:t xml:space="preserve">. https://doi.org/10.1186/s12910-025-01288-0.</w:t>
      </w:r>
    </w:p>
    <w:p>
      <w:pPr>
        <w:pStyle w:val="BodyText"/>
      </w:pPr>
      <w:r>
        <w:t xml:space="preserve">Milton, &amp; Dean. (2024). Artificial Intelligence Transforming Hotel Gastronomy: An In-depth Review of AI-driven Innovations in Menu Design, Food Preparation, and Customer Interaction, with a Focus on Sustainability and Future Trends in the Hospitality Industry.</w:t>
      </w:r>
      <w:r>
        <w:t xml:space="preserve"> </w:t>
      </w:r>
      <w:r>
        <w:rPr>
          <w:i/>
        </w:rPr>
        <w:t xml:space="preserve">International Journal for Multidimensional Research Perspectives</w:t>
      </w:r>
      <w:r>
        <w:t xml:space="preserve">. https://doi.org/10.61877/ijmrp.v2i3.126.</w:t>
      </w:r>
    </w:p>
    <w:p>
      <w:pPr>
        <w:pStyle w:val="BodyText"/>
      </w:pPr>
      <w:r>
        <w:t xml:space="preserve">Mohammed, Naas, Sigg, &amp; Francesco. (2023). Knowledge Sharing in AI Services: A Market-Based Approach.</w:t>
      </w:r>
      <w:r>
        <w:t xml:space="preserve"> </w:t>
      </w:r>
      <w:r>
        <w:rPr>
          <w:i/>
        </w:rPr>
        <w:t xml:space="preserve">IEEE Internet of Things Journal</w:t>
      </w:r>
      <w:r>
        <w:t xml:space="preserve">. https://doi.org/10.1109/JIOT.2022.3206585.</w:t>
      </w:r>
    </w:p>
    <w:p>
      <w:pPr>
        <w:pStyle w:val="BodyText"/>
      </w:pPr>
      <w:r>
        <w:t xml:space="preserve">Molom-Ochir, &amp; Shenoy. (2021). Energy and Cost Considerations for GPU Accelerated AI Inference Workloads. IEEE. (pp. 1-5). https://doi.org/10.1109/urtc54388.2021.9701614</w:t>
      </w:r>
    </w:p>
    <w:p>
      <w:pPr>
        <w:pStyle w:val="BodyText"/>
      </w:pPr>
      <w:r>
        <w:t xml:space="preserve">Neyyila, Neyyala, &amp; Das. (2025). Leveraging AI and behavioral economics to enhance decision-making.</w:t>
      </w:r>
      <w:r>
        <w:t xml:space="preserve"> </w:t>
      </w:r>
      <w:r>
        <w:rPr>
          <w:i/>
        </w:rPr>
        <w:t xml:space="preserve">World Journal of Advanced Research and Reviews</w:t>
      </w:r>
      <w:r>
        <w:t xml:space="preserve">. https://doi.org/10.30574/wjarr.2025.26.2.1581.</w:t>
      </w:r>
    </w:p>
    <w:p>
      <w:pPr>
        <w:pStyle w:val="BodyText"/>
      </w:pPr>
      <w:r>
        <w:t xml:space="preserve">Paul. (2023). AI INTEGRATION IN E-COMMERCE BUSINESS MODELS: CASE STUDIES ON AMAZON FBA, AIRBNB, AND TURO OPERATIONS.</w:t>
      </w:r>
      <w:r>
        <w:t xml:space="preserve"> </w:t>
      </w:r>
      <w:r>
        <w:rPr>
          <w:i/>
        </w:rPr>
        <w:t xml:space="preserve">American Journal of Advanced Technology and Engineering Solutions</w:t>
      </w:r>
      <w:r>
        <w:t xml:space="preserve">. https://doi.org/10.63125/1ekaxx73.</w:t>
      </w:r>
    </w:p>
    <w:p>
      <w:pPr>
        <w:pStyle w:val="BodyText"/>
      </w:pPr>
      <w:r>
        <w:t xml:space="preserve">Ranjan, Chembachere, &amp; Lobo. (2025).</w:t>
      </w:r>
      <w:r>
        <w:t xml:space="preserve"> </w:t>
      </w:r>
      <w:r>
        <w:rPr>
          <w:i/>
        </w:rPr>
        <w:t xml:space="preserve">Architecting Agentic AI Systems with a Well-Architected Framework</w:t>
      </w:r>
      <w:r>
        <w:t xml:space="preserve">. Apress. https://doi.org/10.1007/979-8-8688-1542-3_2</w:t>
      </w:r>
    </w:p>
    <w:p>
      <w:pPr>
        <w:pStyle w:val="BodyText"/>
      </w:pPr>
      <w:r>
        <w:t xml:space="preserve">Saxena, &amp; Singh. (2024). An Oversubscription and Service Pricing Exploitation-Based Profit Maximization Framework for Industry Cloud Resource Management.</w:t>
      </w:r>
      <w:r>
        <w:t xml:space="preserve"> </w:t>
      </w:r>
      <w:r>
        <w:rPr>
          <w:i/>
        </w:rPr>
        <w:t xml:space="preserve">IEEE Transactions on Services Computing</w:t>
      </w:r>
      <w:r>
        <w:t xml:space="preserve">. https://doi.org/10.1109/TSC.2024.3445379.</w:t>
      </w:r>
    </w:p>
    <w:p>
      <w:pPr>
        <w:pStyle w:val="BodyText"/>
      </w:pPr>
      <w:r>
        <w:t xml:space="preserve">Senyapar, Colak, Ayik, &amp; Bayindir. (2025). AI-Driven Dynamic Pricing and Energy Justice: Introducing the AI-Powered Pricing Justice Index (APJI) to Address Social Inequality. IEEE. (pp. 1-8). https://doi.org/10.1109/icsmartgrid66138.2025.11071841</w:t>
      </w:r>
    </w:p>
    <w:p>
      <w:pPr>
        <w:pStyle w:val="BodyText"/>
      </w:pPr>
      <w:r>
        <w:t xml:space="preserve">Shin, &amp; Kang. (2024). Analysis of innovation diffusion patterns through patent citation network: Focusing on Gartner Hype cycle for AI.</w:t>
      </w:r>
      <w:r>
        <w:t xml:space="preserve"> </w:t>
      </w:r>
      <w:r>
        <w:rPr>
          <w:i/>
        </w:rPr>
        <w:t xml:space="preserve">Journal of Intelligence and Information Systems</w:t>
      </w:r>
      <w:r>
        <w:t xml:space="preserve">. https://doi.org/10.13088/jiis.2024.30.3.027.</w:t>
      </w:r>
    </w:p>
    <w:p>
      <w:pPr>
        <w:pStyle w:val="BodyText"/>
      </w:pPr>
      <w:r>
        <w:t xml:space="preserve">Undheim, Erikson, &amp; Timmermans. (2022). True uncertainty and ethical AI: regulatory sandboxes as a policy tool for moral imagination.</w:t>
      </w:r>
      <w:r>
        <w:t xml:space="preserve"> </w:t>
      </w:r>
      <w:r>
        <w:rPr>
          <w:i/>
        </w:rPr>
        <w:t xml:space="preserve">AI and Ethics</w:t>
      </w:r>
      <w:r>
        <w:t xml:space="preserve">. https://doi.org/10.1007/s43681-022-00240-x.</w:t>
      </w:r>
    </w:p>
    <w:p>
      <w:pPr>
        <w:pStyle w:val="BodyText"/>
      </w:pPr>
      <w:r>
        <w:t xml:space="preserve">Wang, Sun, Fu, Cheng, Jin, Shi, Luo, Xu, &amp; Wang. (2024). A comprehensive value-based method for new nuclear medical service pricing: with case study of radium [223Ra] bone metastases treatment.</w:t>
      </w:r>
      <w:r>
        <w:t xml:space="preserve"> </w:t>
      </w:r>
      <w:r>
        <w:rPr>
          <w:i/>
        </w:rPr>
        <w:t xml:space="preserve">BMC Health Services Research</w:t>
      </w:r>
      <w:r>
        <w:t xml:space="preserve">. https://doi.org/10.1186/s12913-024-10777-8.</w:t>
      </w:r>
    </w:p>
    <w:p>
      <w:pPr>
        <w:pStyle w:val="BodyText"/>
      </w:pPr>
      <w:r>
        <w:t xml:space="preserve">Widono, Sri, Nugraheni, Saddhono, Nurhasanah, &amp; Legowo. (2024). A Strategic Design of Personalized Based Learning System for Improving the Experience of Outcome Based Education. https://doi.org/10.1109/ICACITE60783.2024.10616811</w:t>
      </w:r>
    </w:p>
    <w:p>
      <w:pPr>
        <w:pStyle w:val="BodyText"/>
      </w:pPr>
      <w:r>
        <w:t xml:space="preserve">Xue. (2023). A Comprehensive Evaluation Method for Cultural Value of Literary Works Based on Artificial Intelligence Technology.</w:t>
      </w:r>
      <w:r>
        <w:t xml:space="preserve"> </w:t>
      </w:r>
      <w:r>
        <w:rPr>
          <w:i/>
        </w:rPr>
        <w:t xml:space="preserve">Academic Journal of Humanities &amp; Social Sciences</w:t>
      </w:r>
      <w:r>
        <w:t xml:space="preserve">. https://doi.org/10.25236/ajhss.2023.061313.</w:t>
      </w:r>
    </w:p>
    <w:p>
      <w:pPr>
        <w:pStyle w:val="BodyText"/>
      </w:pPr>
      <w:r>
        <w:t xml:space="preserve">Yu, Yao, Zhou, Fu, Yu, Wang, Wang, Chen, &amp; Lin. (2024). Data on the Move: Traffic-Oriented Data Trading Platform Powered by AI Agent with Common Sense.</w:t>
      </w:r>
      <w:r>
        <w:t xml:space="preserve"> </w:t>
      </w:r>
      <w:r>
        <w:rPr>
          <w:i/>
        </w:rPr>
        <w:t xml:space="preserve">2024 IEEE Intelligent Vehicles Symposium (IV)</w:t>
      </w:r>
      <w:r>
        <w:t xml:space="preserve">. https://doi.org/10.1109/IV55156.2024.10588800.</w:t>
      </w:r>
    </w:p>
    <w:p>
      <w:pPr>
        <w:pStyle w:val="BodyText"/>
      </w:pPr>
      <w:r>
        <w:t xml:space="preserve">Zheng, Jia, Li, &amp; Fu. (2025).</w:t>
      </w:r>
      <w:r>
        <w:t xml:space="preserve"> </w:t>
      </w:r>
      <w:r>
        <w:rPr>
          <w:i/>
        </w:rPr>
        <w:t xml:space="preserve">Embodied AI Agent for Co-creation Ecosystem: Elevating Human-AI Co-creation through Emotion Recognition and Dynamic Personality Adaptation</w:t>
      </w:r>
      <w:r>
        <w:t xml:space="preserve">. Center for Open Science. https://doi.org/10.31235/osf.io/54de2</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Paul,%202023" TargetMode="External"/><Relationship Id="rId108" Type="http://schemas.openxmlformats.org/officeDocument/2006/relationships/hyperlink" Target="https://ai.googleblog.com/" TargetMode="External"/><Relationship Id="rId106" Type="http://schemas.openxmlformats.org/officeDocument/2006/relationships/hyperlink" Target="https://ainowinstitute.org/" TargetMode="External"/><Relationship Id="rId107" Type="http://schemas.openxmlformats.org/officeDocument/2006/relationships/hyperlink" Target="https://openai.com/blog/" TargetMode="External"/><Relationship Id="rId113" Type="http://schemas.openxmlformats.org/officeDocument/2006/relationships/hyperlink" Target="https://www.acm.org/" TargetMode="External"/><Relationship Id="rId115" Type="http://schemas.openxmlformats.org/officeDocument/2006/relationships/hyperlink" Target="https://www.aeaweb.org/" TargetMode="External"/><Relationship Id="rId116" Type="http://schemas.openxmlformats.org/officeDocument/2006/relationships/hyperlink" Target="https://www.aiethicsglobal.com/" TargetMode="External"/><Relationship Id="rId114" Type="http://schemas.openxmlformats.org/officeDocument/2006/relationships/hyperlink" Target="https://www.ieee.org/" TargetMode="External"/><Relationship Id="rId110" Type="http://schemas.openxmlformats.org/officeDocument/2006/relationships/hyperlink" Target="https://www.kaggle.com/" TargetMode="External"/><Relationship Id="rId109" Type="http://schemas.openxmlformats.org/officeDocument/2006/relationships/hyperlink" Target="https://www.turing.ac.uk/"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Paul,%202023" TargetMode="External"/><Relationship Id="rId108" Type="http://schemas.openxmlformats.org/officeDocument/2006/relationships/hyperlink" Target="https://ai.googleblog.com/" TargetMode="External"/><Relationship Id="rId106" Type="http://schemas.openxmlformats.org/officeDocument/2006/relationships/hyperlink" Target="https://ainowinstitute.org/" TargetMode="External"/><Relationship Id="rId107" Type="http://schemas.openxmlformats.org/officeDocument/2006/relationships/hyperlink" Target="https://openai.com/blog/" TargetMode="External"/><Relationship Id="rId113" Type="http://schemas.openxmlformats.org/officeDocument/2006/relationships/hyperlink" Target="https://www.acm.org/" TargetMode="External"/><Relationship Id="rId115" Type="http://schemas.openxmlformats.org/officeDocument/2006/relationships/hyperlink" Target="https://www.aeaweb.org/" TargetMode="External"/><Relationship Id="rId116" Type="http://schemas.openxmlformats.org/officeDocument/2006/relationships/hyperlink" Target="https://www.aiethicsglobal.com/" TargetMode="External"/><Relationship Id="rId114" Type="http://schemas.openxmlformats.org/officeDocument/2006/relationships/hyperlink" Target="https://www.ieee.org/" TargetMode="External"/><Relationship Id="rId110" Type="http://schemas.openxmlformats.org/officeDocument/2006/relationships/hyperlink" Target="https://www.kaggle.com/" TargetMode="External"/><Relationship Id="rId109" Type="http://schemas.openxmlformats.org/officeDocument/2006/relationships/hyperlink" Target="https://www.turing.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Pricing Models for Agentic AI Systems: From Token-Based to Value-Based Approaches</dc:title>
  <dc:creator>Academic Thesis AI (Multi-Agent System)</dc:creator>
  <cp:keywords/>
  <dcterms:created xsi:type="dcterms:W3CDTF">2025-11-22T13:02:50Z</dcterms:created>
  <dcterms:modified xsi:type="dcterms:W3CDTF">2025-11-22T13:02:50Z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https://github.com/federicodeponte/academic-thesis-ai</vt:lpwstr>
  </property>
  <property fmtid="{D5CDD505-2E9C-101B-9397-08002B2CF9AE}" pid="3" name="citations_verified">
    <vt:lpwstr>45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https://github.com/federicodeponte/academic-thesis-ai</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72-page thesis on Pricing Models for Agentic AI Systems was autonomously written, researched, fact-checked, and formatted by a multi-agent AI system. From literature review to comparative analysis of pricing models to real-world examples—all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3 tables, 2 figures, comprehensive appendices</vt:lpwstr>
  </property>
  <property fmtid="{D5CDD505-2E9C-101B-9397-08002B2CF9AE}" pid="14" name="word_count">
    <vt:lpwstr>15919 words across 72 pages</vt:lpwstr>
  </property>
</Properties>
</file>