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Führt</w:t>
      </w:r>
      <w:r>
        <w:t xml:space="preserve"> </w:t>
      </w:r>
      <w:r>
        <w:t xml:space="preserve">der</w:t>
      </w:r>
      <w:r>
        <w:t xml:space="preserve"> </w:t>
      </w:r>
      <w:r>
        <w:t xml:space="preserve">Handel</w:t>
      </w:r>
      <w:r>
        <w:t xml:space="preserve"> </w:t>
      </w:r>
      <w:r>
        <w:t xml:space="preserve">mit</w:t>
      </w:r>
      <w:r>
        <w:t xml:space="preserve"> </w:t>
      </w:r>
      <w:r>
        <w:t xml:space="preserve">CO2-Zertifikaten</w:t>
      </w:r>
      <w:r>
        <w:t xml:space="preserve"> </w:t>
      </w:r>
      <w:r>
        <w:t xml:space="preserve">nachweislich</w:t>
      </w:r>
      <w:r>
        <w:t xml:space="preserve"> </w:t>
      </w:r>
      <w:r>
        <w:t xml:space="preserve">zu</w:t>
      </w:r>
      <w:r>
        <w:t xml:space="preserve"> </w:t>
      </w:r>
      <w:r>
        <w:t xml:space="preserve">einer</w:t>
      </w:r>
      <w:r>
        <w:t xml:space="preserve"> </w:t>
      </w:r>
      <w:r>
        <w:t xml:space="preserve">signifikanten</w:t>
      </w:r>
      <w:r>
        <w:t xml:space="preserve"> </w:t>
      </w:r>
      <w:r>
        <w:t xml:space="preserve">Verlangsamung</w:t>
      </w:r>
      <w:r>
        <w:t xml:space="preserve"> </w:t>
      </w:r>
      <w:r>
        <w:t xml:space="preserve">des</w:t>
      </w:r>
      <w:r>
        <w:t xml:space="preserve"> </w:t>
      </w:r>
      <w:r>
        <w:t xml:space="preserve">menschengemachten</w:t>
      </w:r>
      <w:r>
        <w:t xml:space="preserve"> </w:t>
      </w:r>
      <w:r>
        <w:t xml:space="preserve">Klimawandels?</w:t>
      </w:r>
    </w:p>
    <w:p>
      <w:pPr>
        <w:pStyle w:val="Subtitle"/>
      </w:pPr>
      <w:r>
        <w:t xml:space="preserve">KI-generierte</w:t>
      </w:r>
      <w:r>
        <w:t xml:space="preserve"> </w:t>
      </w:r>
      <w:r>
        <w:t xml:space="preserve">akademische</w:t>
      </w:r>
      <w:r>
        <w:t xml:space="preserve"> </w:t>
      </w:r>
      <w:r>
        <w:t xml:space="preserve">Abschlussarbeit</w:t>
      </w:r>
      <w:r>
        <w:t xml:space="preserve"> </w:t>
      </w:r>
      <w:r>
        <w:t xml:space="preserve">als</w:t>
      </w:r>
      <w:r>
        <w:t xml:space="preserve"> </w:t>
      </w:r>
      <w:r>
        <w:t xml:space="preserve">Showcase</w:t>
      </w:r>
    </w:p>
    <w:p>
      <w:pPr>
        <w:pStyle w:val="Author"/>
      </w:pPr>
      <w:r>
        <w:t xml:space="preserve">Akademische</w:t>
      </w:r>
      <w:r>
        <w:t xml:space="preserve"> </w:t>
      </w:r>
      <w:r>
        <w:t xml:space="preserve">Abschlussarbeit</w:t>
      </w:r>
      <w:r>
        <w:t xml:space="preserve"> </w:t>
      </w:r>
      <w:r>
        <w:t xml:space="preserve">KI</w:t>
      </w:r>
      <w:r>
        <w:t xml:space="preserve"> </w:t>
      </w:r>
      <w:r>
        <w:t xml:space="preserve">(Multi-Agenten-System)</w:t>
      </w:r>
    </w:p>
    <w:p>
      <w:pPr>
        <w:pStyle w:val="Date"/>
      </w:pPr>
      <w:r>
        <w:t xml:space="preserve">Januar</w:t>
      </w:r>
      <w:r>
        <w:t xml:space="preserve"> </w:t>
      </w:r>
      <w:r>
        <w:t xml:space="preserve">2025</w:t>
      </w: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OCHeading"/>
      </w:pPr>
      <w:r>
        <w:t>Table of Contents</w:t>
      </w:r>
    </w:p>
    <w:p>
      <w:pPr/>
      <w:r>
        <w:t xml:space="preserve">  Abstract</w:t>
      </w:r>
    </w:p>
    <w:p>
      <w:pPr/>
      <w:r>
        <w:t xml:space="preserve">  Einleitung</w:t>
      </w:r>
    </w:p>
    <w:p>
      <w:pPr/>
      <w:r>
        <w:t xml:space="preserve">  Literaturübersicht</w:t>
      </w:r>
    </w:p>
    <w:p>
      <w:pPr/>
      <w:r>
        <w:t xml:space="preserve">    1. Historische Entwicklung des Emissionshandels und der CO2-Bepreisung</w:t>
      </w:r>
    </w:p>
    <w:p>
      <w:pPr/>
      <w:r>
        <w:t xml:space="preserve">    2. Theoretische Grundlagen der Umweltökonomie</w:t>
      </w:r>
    </w:p>
    <w:p>
      <w:pPr/>
      <w:r>
        <w:t xml:space="preserve">    3. CO2-Preismechanismen und Klimaschutz</w:t>
      </w:r>
    </w:p>
    <w:p>
      <w:pPr/>
      <w:r>
        <w:t xml:space="preserve">    4. Empirische Studien zur Wirksamkeit von CO2-Preismechanismen</w:t>
      </w:r>
    </w:p>
    <w:p>
      <w:pPr/>
      <w:r>
        <w:t xml:space="preserve">    5. Kritische Perspektiven und Herausforderungen</w:t>
      </w:r>
    </w:p>
    <w:p>
      <w:pPr/>
      <w:r>
        <w:t xml:space="preserve">    Fazit der Literaturübersicht</w:t>
      </w:r>
    </w:p>
    <w:p>
      <w:pPr/>
      <w:r>
        <w:t xml:space="preserve">  3. Methodik</w:t>
      </w:r>
    </w:p>
    <w:p>
      <w:pPr/>
      <w:r>
        <w:t xml:space="preserve">  3.1. Analyserahmen für die Klimaschutzwirkung</w:t>
      </w:r>
    </w:p>
    <w:p>
      <w:pPr/>
      <w:r>
        <w:t xml:space="preserve">    3.1.1. Dimensionen der Klimaschutzwirkung</w:t>
      </w:r>
    </w:p>
    <w:p>
      <w:pPr/>
      <w:r>
        <w:t xml:space="preserve">    3.1.2. Kausalmechanismen und Wirkungsmodelle</w:t>
      </w:r>
    </w:p>
    <w:p>
      <w:pPr/>
      <w:r>
        <w:t xml:space="preserve">    Abbildung 1: Kausalmechanismen des Emissionshandelssystems (EHS)</w:t>
      </w:r>
    </w:p>
    <w:p>
      <w:pPr/>
      <w:r>
        <w:t xml:space="preserve">  3.2. Auswahl der Fallstudien</w:t>
      </w:r>
    </w:p>
    <w:p>
      <w:pPr/>
      <w:r>
        <w:t xml:space="preserve">    3.2.1. Auswahlkriterien</w:t>
      </w:r>
    </w:p>
    <w:p>
      <w:pPr/>
      <w:r>
        <w:t xml:space="preserve">    3.2.2. Kurzbeschreibung der Fallstudien</w:t>
      </w:r>
    </w:p>
    <w:p>
      <w:pPr/>
      <w:r>
        <w:t xml:space="preserve">  3.3. Datenquellen und Messverfahren</w:t>
      </w:r>
    </w:p>
    <w:p>
      <w:pPr/>
      <w:r>
        <w:t xml:space="preserve">    3.3.1. Arten der Daten</w:t>
      </w:r>
    </w:p>
    <w:p>
      <w:pPr/>
      <w:r>
        <w:t xml:space="preserve">    3.3.2. Datenquellen</w:t>
      </w:r>
    </w:p>
    <w:p>
      <w:pPr/>
      <w:r>
        <w:t xml:space="preserve">    3.3.3. Messverfahren und Datenaufbereitung</w:t>
      </w:r>
    </w:p>
    <w:p>
      <w:pPr/>
      <w:r>
        <w:t xml:space="preserve">  3.4. Statistische Methoden zur Wirksamkeitsanalyse</w:t>
      </w:r>
    </w:p>
    <w:p>
      <w:pPr/>
      <w:r>
        <w:t xml:space="preserve">    3.4.1. Paneldatenanalyse</w:t>
      </w:r>
    </w:p>
    <w:p>
      <w:pPr/>
      <w:r>
        <w:t xml:space="preserve">    3.4.2. Difference-in-Differences (DiD) Ansatz</w:t>
      </w:r>
    </w:p>
    <w:p>
      <w:pPr/>
      <w:r>
        <w:t xml:space="preserve">    3.4.3. Herausforderungen und Robustheitsprüfungen</w:t>
      </w:r>
    </w:p>
    <w:p>
      <w:pPr/>
      <w:r>
        <w:t xml:space="preserve">    Abbildung 2: Prozess der Emissionszertifikatsverwaltung</w:t>
      </w:r>
    </w:p>
    <w:p>
      <w:pPr/>
      <w:r>
        <w:t xml:space="preserve">  Analyse</w:t>
      </w:r>
    </w:p>
    <w:p>
      <w:pPr/>
      <w:r>
        <w:t xml:space="preserve">    Tabelle 1: Vergleich ausgewählter Emissionshandelssysteme</w:t>
      </w:r>
    </w:p>
    <w:p>
      <w:pPr/>
      <w:r>
        <w:t xml:space="preserve">    Tabelle 2: Vor- und Nachteile von Klimaschutzinstrumenten</w:t>
      </w:r>
    </w:p>
    <w:p>
      <w:pPr/>
      <w:r>
        <w:t xml:space="preserve">  Diskussion</w:t>
      </w:r>
    </w:p>
    <w:p>
      <w:pPr/>
      <w:r>
        <w:t xml:space="preserve">    1. Implikationen für die Klimapolitik</w:t>
      </w:r>
    </w:p>
    <w:p>
      <w:pPr/>
      <w:r>
        <w:t xml:space="preserve">    2. Grenzen und Herausforderungen des Emissionshandels</w:t>
      </w:r>
    </w:p>
    <w:p>
      <w:pPr/>
      <w:r>
        <w:t xml:space="preserve">    3. Verbesserungsvorschläge für CO2-Märkte</w:t>
      </w:r>
    </w:p>
    <w:p>
      <w:pPr/>
      <w:r>
        <w:t xml:space="preserve">    4. Rolle im globalen Klimaschutz</w:t>
      </w:r>
    </w:p>
    <w:p>
      <w:pPr/>
      <w:r>
        <w:t xml:space="preserve">    5. Empfehlungen für Politik und Wirtschaft</w:t>
      </w:r>
    </w:p>
    <w:p>
      <w:pPr/>
      <w:r>
        <w:t xml:space="preserve">  6. Einschränkungen</w:t>
      </w:r>
    </w:p>
    <w:p>
      <w:pPr/>
      <w:r>
        <w:t xml:space="preserve">    Methodologische Einschränkungen</w:t>
      </w:r>
    </w:p>
    <w:p>
      <w:pPr/>
      <w:r>
        <w:t xml:space="preserve">    Umfang und Generalisierbarkeit</w:t>
      </w:r>
    </w:p>
    <w:p>
      <w:pPr/>
      <w:r>
        <w:t xml:space="preserve">    Zeitliche und Kontextuelle Beschränkungen</w:t>
      </w:r>
    </w:p>
    <w:p>
      <w:pPr/>
      <w:r>
        <w:t xml:space="preserve">    Theoretische und konzeptionelle Einschränkungen</w:t>
      </w:r>
    </w:p>
    <w:p>
      <w:pPr/>
      <w:r>
        <w:t xml:space="preserve">  7. Zukünftige Forschungsrichtungen</w:t>
      </w:r>
    </w:p>
    <w:p>
      <w:pPr/>
      <w:r>
        <w:t xml:space="preserve">    1. Empirische Validierung und groß angelegte Tests</w:t>
      </w:r>
    </w:p>
    <w:p>
      <w:pPr/>
      <w:r>
        <w:t xml:space="preserve">    2. Auswirkungen des CO2-Grenzausgleichsmechanismus (CBAM)</w:t>
      </w:r>
    </w:p>
    <w:p>
      <w:pPr/>
      <w:r>
        <w:t xml:space="preserve">    3. Soziale und Verteilungswirkungen im Detail</w:t>
      </w:r>
    </w:p>
    <w:p>
      <w:pPr/>
      <w:r>
        <w:t xml:space="preserve">    4. Technologische Pfade und Innovationsförderung</w:t>
      </w:r>
    </w:p>
    <w:p>
      <w:pPr/>
      <w:r>
        <w:t xml:space="preserve">    5. Globale Harmonisierung und Verknüpfung von Kohlenstoffmärkten</w:t>
      </w:r>
    </w:p>
    <w:p>
      <w:pPr/>
      <w:r>
        <w:t xml:space="preserve">    6. Governance und administrative Herausforderungen</w:t>
      </w:r>
    </w:p>
    <w:p>
      <w:pPr/>
      <w:r>
        <w:t xml:space="preserve">    7. Langfristige Auswirkungen auf Wettbewerbsfähigkeit und Industriestrukturen</w:t>
      </w:r>
    </w:p>
    <w:p>
      <w:pPr/>
      <w:r>
        <w:t xml:space="preserve">  Fazit</w:t>
      </w:r>
    </w:p>
    <w:p>
      <w:pPr/>
      <w:r>
        <w:t xml:space="preserve">  Anhang A: Theoretisches Rahmenwerk des Emissionshandels</w:t>
      </w:r>
    </w:p>
    <w:p>
      <w:pPr/>
      <w:r>
        <w:t xml:space="preserve">    A.1 Ökonomische Grundlagen der Umweltregulierung</w:t>
      </w:r>
    </w:p>
    <w:p>
      <w:pPr/>
      <w:r>
        <w:t xml:space="preserve">    A.2 Mathematische Formulierung des Cap-and-Trade-Prinzips</w:t>
      </w:r>
    </w:p>
    <w:p>
      <w:pPr/>
      <w:r>
        <w:t xml:space="preserve">    A.3 Dynamische Effizienz und Innovationsanreize</w:t>
      </w:r>
    </w:p>
    <w:p>
      <w:pPr/>
      <w:r>
        <w:t xml:space="preserve">    A.4 Rolle von Offset-Projekten</w:t>
      </w:r>
    </w:p>
    <w:p>
      <w:pPr/>
      <w:r>
        <w:t xml:space="preserve">    A.5 Politische Ökonomie des Emissionshandels</w:t>
      </w:r>
    </w:p>
    <w:p>
      <w:pPr/>
      <w:r>
        <w:t xml:space="preserve">  Anhang C: Detaillierte Fallstudien-Metriken</w:t>
      </w:r>
    </w:p>
    <w:p>
      <w:pPr/>
      <w:r>
        <w:t xml:space="preserve">    C.1 Szenario 1: EU-Emissionshandelssystem (EU ETS) – Emissionsentwicklung und Preisdynamik</w:t>
      </w:r>
    </w:p>
    <w:p>
      <w:pPr/>
      <w:r>
        <w:t xml:space="preserve">    C.2 Szenario 2: Kalifornisches Cap-and-Trade-Programm – Wirtschaftliche und ökologische Indikatoren</w:t>
      </w:r>
    </w:p>
    <w:p>
      <w:pPr/>
      <w:r>
        <w:t xml:space="preserve">    C.3 Szenario 3: Auswirkungen auf Sektoren und Innovationsmetriken</w:t>
      </w:r>
    </w:p>
    <w:p>
      <w:pPr/>
      <w:r>
        <w:t xml:space="preserve">    C.4 Cross-Scenario Vergleich und Prognosen</w:t>
      </w:r>
    </w:p>
    <w:p>
      <w:pPr/>
      <w:r>
        <w:t xml:space="preserve">  Anhang D: Zusätzliche Referenzen und Ressourcen</w:t>
      </w:r>
    </w:p>
    <w:p>
      <w:pPr/>
      <w:r>
        <w:t xml:space="preserve">    D.1 Grundlagenwerke und Fachbücher</w:t>
      </w:r>
    </w:p>
    <w:p>
      <w:pPr/>
      <w:r>
        <w:t xml:space="preserve">    D.2 Schlüsselberichte und Policy Briefs</w:t>
      </w:r>
    </w:p>
    <w:p>
      <w:pPr/>
      <w:r>
        <w:t xml:space="preserve">    D.3 Online-Ressourcen und Datenbanken</w:t>
      </w:r>
    </w:p>
    <w:p>
      <w:pPr/>
      <w:r>
        <w:t xml:space="preserve">    D.4 Software und Tools für Analyse</w:t>
      </w:r>
    </w:p>
    <w:p>
      <w:pPr/>
      <w:r>
        <w:t xml:space="preserve">    D.5 Fachzeitschriften und Publikationsreihen</w:t>
      </w:r>
    </w:p>
    <w:p>
      <w:pPr/>
      <w:r>
        <w:t xml:space="preserve">  Anhang E: Glossar von Fachbegriffen</w:t>
      </w:r>
    </w:p>
    <w:p>
      <w:pPr/>
      <w:r>
        <w:t xml:space="preserve">  Literaturverzeichnis</w:t>
      </w:r>
      <w:r>
        <w:br w:type="page"/>
      </w:r>
    </w:p>
    <w:p>
      <w:pPr>
        <w:pStyle w:val="Heading2"/>
      </w:pPr>
      <w:bookmarkStart w:id="20" w:name="abstract"/>
      <w:r>
        <w:t xml:space="preserve">Abstract</w:t>
      </w:r>
      <w:bookmarkEnd w:id="20"/>
    </w:p>
    <w:p>
      <w:pPr>
        <w:pStyle w:val="FirstParagraph"/>
      </w:pPr>
      <w:r>
        <w:rPr>
          <w:b/>
        </w:rPr>
        <w:t xml:space="preserve">Forschungsproblem und Ansatz:</w:t>
      </w:r>
      <w:r>
        <w:t xml:space="preserve"> </w:t>
      </w:r>
      <w:r>
        <w:t xml:space="preserve">Die vorliegende Arbeit untersucht, ob der Handel mit CO2-Zertifikaten nachweislich zu einer signifikanten Verlangsamung des menschengemachten Klimawandels führt. Angesichts der Dringlichkeit effektiver Klimaschutzstrategien analysiert sie die theoretischen Grundlagen, Implementierungsmechanismen und empirische Wirksamkeit von Emissionshandelssystemen (ETS) im globalen Kontext.</w:t>
      </w:r>
    </w:p>
    <w:p>
      <w:pPr>
        <w:pStyle w:val="BodyText"/>
      </w:pPr>
      <w:r>
        <w:rPr>
          <w:b/>
        </w:rPr>
        <w:t xml:space="preserve">Methodik und Ergebnisse:</w:t>
      </w:r>
      <w:r>
        <w:t xml:space="preserve"> </w:t>
      </w:r>
      <w:r>
        <w:t xml:space="preserve">Mittels einer umfassenden Literaturübersicht und der Analyse ausgewählter Fallstudien (EU ETS, kalifornisches Cap-and-Trade-Programm, chinesisches ETS) bewertet die Studie die ökologische Wirksamkeit, ökonomische Effizienz und Innovationsanreize von CO2-Preismechanismen. Die Ergebnisse zeigen, dass gut konzipierte und adaptierte ETS signifikante Emissionsreduktionen bewirken und grüne Innovationen fördern können, insbesondere wenn sie durch robuste Governance und Marktstabilitätsmechanismen gestützt werden.</w:t>
      </w:r>
    </w:p>
    <w:p>
      <w:pPr>
        <w:pStyle w:val="BodyText"/>
      </w:pPr>
      <w:r>
        <w:rPr>
          <w:b/>
        </w:rPr>
        <w:t xml:space="preserve">Wichtige Beiträge:</w:t>
      </w:r>
      <w:r>
        <w:t xml:space="preserve"> </w:t>
      </w:r>
      <w:r>
        <w:t xml:space="preserve">(1) Eine integrierte Analyse der evolutionären Entwicklung und der theoretischen Fundierung von ETS; (2) eine detaillierte vergleichende Bewertung prominenter globaler und regionaler ETS; und (3) die Identifizierung kritischer Herausforderungen wie Preisvolatilität, Carbon Leakage und soziale Verteilungswirkungen sowie darauf basierende Verbesserungsvorschläge.</w:t>
      </w:r>
    </w:p>
    <w:p>
      <w:pPr>
        <w:pStyle w:val="BodyText"/>
      </w:pPr>
      <w:r>
        <w:rPr>
          <w:b/>
        </w:rPr>
        <w:t xml:space="preserve">Implikationen:</w:t>
      </w:r>
      <w:r>
        <w:t xml:space="preserve"> </w:t>
      </w:r>
      <w:r>
        <w:t xml:space="preserve">Die Arbeit unterstreicht die unverzichtbare Rolle von Emissionshandelssystemen als kosteneffizientes und flexibles Instrument im globalen Klimaschutz. Sie liefert fundierte Empfehlungen für Politik und Wirtschaft zur Optimierung bestehender Systeme und zur Beschleunigung des Übergangs zu einer kohlenstoffarmen Zukunft. Die Erkenntnisse sind relevant für die Gestaltung zukünftiger Klimapolitiken und die internationale Kooperation.</w:t>
      </w:r>
    </w:p>
    <w:p>
      <w:pPr>
        <w:pStyle w:val="BodyText"/>
      </w:pPr>
      <w:r>
        <w:rPr>
          <w:b/>
        </w:rPr>
        <w:t xml:space="preserve">Schlüsselwörter:</w:t>
      </w:r>
      <w:r>
        <w:t xml:space="preserve"> </w:t>
      </w:r>
      <w:r>
        <w:t xml:space="preserve">Emissionshandel, CO2-Zertifikate, Klimawandel, Klimaschutzstrategien, EU ETS, Carbon Pricing, Umweltökonomie, Dekarbonisierung, Carbon Leakage, Marktstabilitätsreserve, grüne Innovationen, Pariser Abkommen, Klimapolitik, Nachhaltigkeit, Treibhausgasemissionen.</w:t>
      </w:r>
    </w:p>
    <w:p>
      <w:pPr>
        <w:pStyle w:val="Heading2"/>
      </w:pPr>
      <w:bookmarkStart w:id="21" w:name="einleitung"/>
      <w:r>
        <w:t xml:space="preserve">Einleitung</w:t>
      </w:r>
      <w:bookmarkEnd w:id="21"/>
    </w:p>
    <w:p>
      <w:pPr>
        <w:pStyle w:val="FirstParagraph"/>
      </w:pPr>
      <w:r>
        <w:t xml:space="preserve">Die Menschheit steht an einem kritischen Wendepunkt. Die Auswirkungen des Klimawandels sind immer deutlicher zu spüren und bedrohen Ökosysteme, Volkswirtschaften sowie die Gesellschaft insgesamt existenziell. Die globale Durchschnittstemperatur steigt stetig an. Das verursacht eine Zunahme extremer Wetterereignisse, lässt Gletscher und Polarkappen schmelzen, erhöht den Meeresspiegel und versauert die Ozeane (Digitemie &amp; Ekemezie, 2024)(Bhowmik et al., 2022). Diese Veränderungen haben ernste Folgen: Sie gefährden die Ernährungssicherheit und Wasserversorgung, zerstören Lebensräume und vertreiben Millionen Menschen (Pigato, 2018). Der wissenschaftliche Konsens ist überwältigend: Die Hauptursache ist der Mensch, genauer gesagt die Emission von Treibhausgasen durch die Verbrennung fossiler Brennstoffe. Unzählige Studien und Berichte des Weltklimarats (IPCC) bestätigen dies immer wieder. Angesichts dieser Dringlichkeit müssen wir jetzt handeln. Effektive Klimaschutzstrategien zu entwickeln und umzusetzen, hat höchste Priorität. Nur so lässt sich die Erwärmung auf ein beherrschbares Maß begrenzen und die schlimmsten Folgen des Klimawandels abwenden. Die internationale Gemeinschaft hat diese Herausforderung erkannt. Durch Abkommen wie das Pariser Klimaabkommen von 2015 wurde ein gemeinsames Ziel festgelegt: den globalen Temperaturanstieg deutlich unter 2 Grad Celsius gegenüber vorindustriellen Werten zu halten und sich zu bemühen, ihn auf 1,5 Grad Celsius zu begrenzen (Lake, 2015). Dies verlangt einen radikalen Wandel der globalen Energie- und Wirtschaftssysteme – weg von fossilen Brennstoffen, hin zu nachhaltigen und kohlenstoffarmen Alternativen (Tang, 2025). Die Notwendigkeit, diesen Wandel effizient und gerecht zu gestalten, führte zur Entwicklung verschiedener politischer Instrumente. Diese zielen darauf ab, Emissionen zu reduzieren und Anreize für Innovationen im Klimaschutz zu schaffen.</w:t>
      </w:r>
    </w:p>
    <w:p>
      <w:pPr>
        <w:pStyle w:val="Heading2"/>
      </w:pPr>
      <w:bookmarkStart w:id="22" w:name="literaturübersicht"/>
      <w:r>
        <w:t xml:space="preserve">Literaturübersicht</w:t>
      </w:r>
      <w:bookmarkEnd w:id="22"/>
    </w:p>
    <w:p>
      <w:pPr>
        <w:pStyle w:val="FirstParagraph"/>
      </w:pPr>
      <w:r>
        <w:t xml:space="preserve">Die Notwendigkeit, globale Treibhausgasemissionen (THG) zu reduzieren, um die schlimmsten Auswirkungen des Klimawandels abzuwenden, hat die Entwicklung und Implementierung einer Vielzahl von Politikansätzen vorangetrieben. Unter diesen haben marktbasierte Instrumente, insbesondere der Emissionshandel (Emissions Trading Systems, ETS) und die CO2-Bepreisung, an Bedeutung gewonnen. Diese Instrumente zielen darauf ab, die externen Kosten von Emissionen zu internalisieren und so Anreize für eine Reduktion zu schaffen, wo dies am kostengünstigsten ist. Die vorliegende Literaturübersicht analysiert die Entwicklung, die theoretischen Grundlagen, die Implementierungsmechanismen, die empirische Wirksamkeit sowie die kritischen Herausforderungen dieser Ansätze. Sie beleuchtet sowohl die historischen Wurzeln des Emissionshandels, beginnend mit dem Kyoto-Protokoll, als auch die Evolution und die spezifischen Merkmale des Europäischen Emissionshandelssystems (EU-ETS). Darüber hinaus werden die umweltökonomischen Theorien, die verschiedenen CO2-Preismechanismen und deren Beitrag zum Klimaschutz detailliert erörtert. Die Analyse schließt mit einer Betrachtung empirischer Studien zur Wirksamkeit dieser Instrumente und einer kritischen Auseinandersetzung mit ihren Grenzen und zukünftigen Herausforderungen.</w:t>
      </w:r>
    </w:p>
    <w:p>
      <w:pPr>
        <w:pStyle w:val="Heading3"/>
      </w:pPr>
      <w:bookmarkStart w:id="23" w:name="X764d401eed195af35cc039af6bb1ad4d0dc5dc2"/>
      <w:r>
        <w:t xml:space="preserve">1. Historische Entwicklung des Emissionshandels und der CO2-Bepreisung</w:t>
      </w:r>
      <w:bookmarkEnd w:id="23"/>
    </w:p>
    <w:p>
      <w:pPr>
        <w:pStyle w:val="FirstParagraph"/>
      </w:pPr>
      <w:r>
        <w:t xml:space="preserve">Die Idee, Umweltverschmutzung durch marktwirtschaftliche Mechanismen zu steuern, ist nicht neu, hat aber im Kontext des Klimawandels eine beispiellose Relevanz erlangt. Die Wurzeln des Emissionshandels liegen in der ökonomischen Theorie, die bereits in den 1960er und 1970er Jahren die Vorteile von handelbaren Genehmigungen zur Kostenminimierung bei der Reduzierung von Umweltverschmutzung aufzeigte (Raufer &amp; Iyer, 2012). Der Durchbruch in der internationalen Klimapolitik kam jedoch erst mit dem Kyoto-Protokoll im Jahr 1997, das erstmals flexible Mechanismen zur Erreichung von Emissionsreduktionszielen einführte und damit den Grundstein für den globalen Emissionshandel legte (Black, 2018).</w:t>
      </w:r>
    </w:p>
    <w:p>
      <w:pPr>
        <w:pStyle w:val="BodyText"/>
      </w:pPr>
      <w:r>
        <w:t xml:space="preserve">Das Kyoto-Protokoll etablierte drei solcher flexiblen Mechanismen: den Clean Development Mechanism (CDM), die Joint Implementation (JI) und den internationalen Emissionshandel (International Emissions Trading, IET). Der CDM ermöglichte Industrieländern, Emissionsreduktionseinheiten aus Investitionen in nachhaltige Projekte in Entwicklungsländern zu erwerben (Bohm, 2002). JI erlaubte ähnliche Transaktionen zwischen Industrieländern. Der IET hingegen ermöglichte den Handel mit Emissionsrechten zwischen den Vertragsparteien des Protokolls, die Reduktionsverpflichtungen hatten. Diese Mechanismen waren darauf ausgelegt, die Gesamtkosten der Emissionsreduktion zu senken, indem sie es ermöglichten, Reduktionen dort zu realisieren, wo sie am günstigsten waren, unabhängig vom geografischen Standort (Bohm, 2002). Die Erfahrungen mit dem Kyoto-Protokoll, insbesondere mit dem CDM, waren gemischt. Während sie einen wichtigen Impuls für die Entwicklung von Kohlenstoffmärkten gaben und Investitionen in saubere Technologien förderten, gab es auch Kritikpunkte hinsichtlich der Additionaliät der Projekte, der Messbarkeit der Reduktionen und der Komplexität der Governance (Black, 2018). Dennoch lieferten sie wertvolle Lehren für die Gestaltung zukünftiger Emissionshandelssysteme.</w:t>
      </w:r>
    </w:p>
    <w:p>
      <w:pPr>
        <w:pStyle w:val="BodyText"/>
      </w:pPr>
      <w:r>
        <w:t xml:space="preserve">Aufbauend auf den Erfahrungen des Kyoto-Protokolls und angetrieben durch eigene Klimaziele, etablierte die Europäische Union 2005 das EU-Emissionshandelssystem (EU-ETS). Das EU-ETS ist das größte und älteste internationale Emissionshandelssystem der Welt und gilt als Eckpfeiler der europäischen Klimapolitik (Edwin &amp; Josephine, 2023). Es deckt derzeit rund 40% der THG-Emissionen der EU ab, hauptsächlich aus dem Energiesektor, der energieintensiven Industrie sowie seit 2012 auch aus dem Luftverkehr (Eslahi et al., 2026)(Wurzel et al., 2013). Das System funktioniert nach dem</w:t>
      </w:r>
      <w:r>
        <w:t xml:space="preserve"> </w:t>
      </w:r>
      <w:r>
        <w:t xml:space="preserve">“</w:t>
      </w:r>
      <w:r>
        <w:t xml:space="preserve">Cap-and-Trade</w:t>
      </w:r>
      <w:r>
        <w:t xml:space="preserve">”</w:t>
      </w:r>
      <w:r>
        <w:t xml:space="preserve">-Prinzip: Eine Obergrenze (Cap) für die Gesamtemissionen wird festgelegt und schrittweise gesenkt, während die innerhalb dieser Obergrenze verfügbaren Emissionsberechtigungen gehandelt werden können (Raufer &amp; Iyer, 2012). Die Einführung des EU-ETS war ein ambitionierter Schritt, der die EU an die Spitze der globalen Klimaschutzbemühungen setzte und als Modell für andere Regionen diente (Wurzel et al., 2013).</w:t>
      </w:r>
    </w:p>
    <w:p>
      <w:pPr>
        <w:pStyle w:val="BodyText"/>
      </w:pPr>
      <w:r>
        <w:t xml:space="preserve">Die Geschichte des EU-ETS ist von mehreren Phasen geprägt, die jeweils Anpassungen und Reformen mit sich brachten. Die erste Phase (2005-2007) diente primär als Lernphase, in der die Infrastruktur aufgebaut und erste Erfahrungen gesammelt wurden. Eine großzügige Zuteilung von Emissionsberechtigungen führte jedoch zu einem Überangebot und niedrigen Preisen, was die Anreizwirkung minderte (Eslahi et al., 2026). In der zweiten Phase (2008-2012), die mit der ersten Verpflichtungsperiode des Kyoto-Protokolls zusammenfiel, wurden die Zuteilungsmethoden verfeinert und die Integration weiterer Sektoren diskutiert. Die dritte Phase (2013-2020) brachte wesentliche strukturelle Reformen mit sich, darunter eine EU-weite harmonisierte Obergrenze, eine verstärkte Versteigerung von Berechtigungen anstelle der kostenlosen Zuteilung und die Einführung des Marktstabilitätsmechanismus (MSR) zur Steuerung des Überangebots an Zertifikaten (Wildgrube, 2023). Die vierte Phase (ab 2021) zielt darauf ab, die Emissionsreduktionsziele der EU weiter zu verschärfen und das System an das neue EU-Klimaziel für 2030 (mindestens 55% Reduktion gegenüber 1990) anzupassen. Dies beinhaltet eine noch schnellere Senkung des Caps, eine Ausweitung des Geltungsbereichs auf weitere Sektoren (z.B. Seeverkehr, Gebäude und Straßenverkehr durch ein separates ETS) sowie die Einführung des CO2-Grenzausgleichssystems (CBAM) (Martinus &amp; Laopirun, 2023).</w:t>
      </w:r>
    </w:p>
    <w:p>
      <w:pPr>
        <w:pStyle w:val="BodyText"/>
      </w:pPr>
      <w:r>
        <w:t xml:space="preserve">Parallel zur Entwicklung in Europa haben auch andere Länder und Regionen eigene Emissionshandelssysteme implementiert oder in Betracht gezogen. China, der größte Emittent weltweit, hat nach Pilotprojekten auf regionaler Ebene im Jahr 2021 ein nationales ETS gestartet, das zunächst den Energiesektor abdeckt (Zhu et al., 2023)(Zhao et et al., 2024). Auch in Nordamerika, Südkorea und Neuseeland existieren ähnliche Systeme. Diese globale Verbreitung zeigt die wachsende Anerkennung des Emissionshandels als ein zentrales Instrument zur Dekarbonisierung. Die Erfahrungen aus diesen verschiedenen Systemen tragen dazu bei, Best Practices zu identifizieren und die Effektivität und Effizienz der CO2-Bepreisung kontinuierlich zu verbessern. Die Implementierung dieser Systeme war jedoch nicht ohne Herausforderungen, da die Gestaltung eines effektiven und fairen Handelssystems eine komplexe Aufgabe darstellt, die sowohl ökonomische als auch politische Überlegungen berücksichtigt (Raufer &amp; Iyer, 2012). Die kontinuierliche Anpassung und Verfeinerung des Designs ist entscheidend, um auf sich ändernde Marktbedingungen und politische Ziele reagieren zu können.</w:t>
      </w:r>
    </w:p>
    <w:p>
      <w:pPr>
        <w:pStyle w:val="Heading3"/>
      </w:pPr>
      <w:bookmarkStart w:id="24" w:name="Xea950478a7c86f12ccbf7107c215504ab38413e"/>
      <w:r>
        <w:t xml:space="preserve">2. Theoretische Grundlagen der Umweltökonomie</w:t>
      </w:r>
      <w:bookmarkEnd w:id="24"/>
    </w:p>
    <w:p>
      <w:pPr>
        <w:pStyle w:val="FirstParagraph"/>
      </w:pPr>
      <w:r>
        <w:t xml:space="preserve">Die theoretischen Grundlagen der CO2-Bepreisung und des Emissionshandels sind tief in der Umweltökonomie verankert, einem Feld, das sich mit der Allokation knapper Ressourcen unter Berücksichtigung von Umweltauswirkungen beschäftigt. Zentrale Konzepte wie Externalitäten, Pigou-Steuern und das Coase-Theorem bilden das Fundament für das Verständnis, warum marktbasierte Instrumente zur Umweltregulierung eingesetzt werden (Pigato, 2018).</w:t>
      </w:r>
    </w:p>
    <w:p>
      <w:pPr>
        <w:pStyle w:val="BodyText"/>
      </w:pPr>
      <w:r>
        <w:t xml:space="preserve">Externalitäten treten auf, wenn die Produktion oder der Konsum eines Gutes direkte Auswirkungen auf Dritte hat, die nicht am Marktgeschehen beteiligt sind und für diese Auswirkungen weder entschädigt werden noch dafür bezahlen. Im Falle von CO2-Emissionen handelt es sich um eine negative externe Wirkung: Die Emissionen einzelner Akteure verursachen Klimaschäden, die die gesamte Gesellschaft betreffen, ohne dass die Emittenten die vollen Kosten ihrer Handlungen tragen. Dies führt zu einem Marktversagen, da die externen Kosten nicht im Preis des Gutes enthalten sind, was zu einer Überproduktion von CO2-intensiven Gütern und Dienstleistungen führt (Pigato, 2018). Die Umweltökonomie argumentiert, dass die Internalisierung dieser externen Kosten entscheidend ist, um eine effiziente Allokation von Ressourcen zu erreichen und die Umweltverschmutzung auf ein sozial optimales Niveau zu reduzieren.</w:t>
      </w:r>
    </w:p>
    <w:p>
      <w:pPr>
        <w:pStyle w:val="BodyText"/>
      </w:pPr>
      <w:r>
        <w:t xml:space="preserve">Arthur Cecil Pigou entwickelte das Konzept der Pigou-Steuer, um dieses Marktversagen zu korrigieren. Eine Pigou-Steuer ist eine Steuer, die auf Aktivitäten erhoben wird, die negative Externalitäten verursachen, in einer Höhe, die den Grenzkosten der externen Wirkung entspricht (Pigato, 2018). Im Kontext der CO2-Emissionen würde dies bedeuten, eine Steuer auf jede Tonne emittierten CO2 zu erheben. Das Ziel ist es, die Kosten der Verschmutzung in den Preis der Produkte und Dienstleistungen zu integrieren, wodurch die Nachfrage nach emissionsintensiven Produkten sinkt und Anreize für emissionsärmere Alternativen geschaffen werden. Die Pigou-Steuer bietet Preissicherheit für die Emittenten, da sie genau wissen, welche Kosten pro Emissionseinheit anfallen. Dies kann langfristige Investitionsentscheidungen in kohlenstoffarme Technologien erleichtern (Bhowmik et al., 2022).</w:t>
      </w:r>
    </w:p>
    <w:p>
      <w:pPr>
        <w:pStyle w:val="BodyText"/>
      </w:pPr>
      <w:r>
        <w:t xml:space="preserve">Ronald Coase erweiterte diese Perspektive mit seinem Coase-Theorem, das besagt, dass, wenn Eigentumsrechte klar definiert und Transaktionskosten null sind, die Parteien durch Verhandlungen eine effiziente Allokation von Ressourcen erreichen können, unabhängig von der ursprünglichen Zuweisung der Eigentumsrechte. Im Falle von Umweltverschmutzung bedeutet dies, dass, wenn die Rechte zur Verschmutzung oder zur sauberen Luft klar zugewiesen sind, die Beteiligten verhandeln können, um ein effizientes Ergebnis zu erzielen. Obwohl die Annahme von null Transaktionskosten in der Realität selten erfüllt ist, liefert das Coase-Theorem eine wichtige theoretische Grundlage für marktbasierte Instrumente wie den Emissionshandel. Es zeigt, dass die Zuweisung von Eigentumsrechten an Emissionsberechtigungen einen Markt für diese Rechte schaffen kann, der zu einer effizienten Reduktion führt (Raufer &amp; Iyer, 2012).</w:t>
      </w:r>
    </w:p>
    <w:p>
      <w:pPr>
        <w:pStyle w:val="BodyText"/>
      </w:pPr>
      <w:r>
        <w:t xml:space="preserve">Der Emissionshandel (Cap-and-Trade) kann als eine Anwendung des Coase-Theorems betrachtet werden, bei der Eigentumsrechte an der Umweltkapazität (in Form von Emissionsberechtigungen) geschaffen und gehandelt werden. Die staatlich festgelegte Obergrenze (Cap) definiert die Gesamtmenge der erlaubten Emissionen und damit die Knappheit der Emissionsrechte. Innerhalb dieses Caps können Unternehmen, die ihre Emissionen kostengünstig reduzieren können, überschüssige Berechtigungen an Unternehmen verkaufen, für die eine Reduktion teurer wäre (Raufer &amp; Iyer, 2012). Dies führt dazu, dass die Emissionsreduktion dort stattfindet, wo sie am effizientesten ist, wodurch die Gesamtkosten der Emissionsminderung für die Volkswirtschaft minimiert werden (Woerdman, 2004). Die Effizienz des Emissionshandels resultiert aus der Flexibilität, die er den Unternehmen bietet, ihre Reduktionsstrategien selbst zu wählen und dabei die niedrigsten Kosten zu realisieren (Bhowmik et al., 2022).</w:t>
      </w:r>
    </w:p>
    <w:p>
      <w:pPr>
        <w:pStyle w:val="BodyText"/>
      </w:pPr>
      <w:r>
        <w:t xml:space="preserve">Ein weiterer wichtiger Aspekt der Umweltökonomie ist die Unterscheidung zwischen statischer und dynamischer Effizienz. Statische Effizienz bezieht sich auf die Kostenminimierung der Emissionsreduktion zu einem bestimmten Zeitpunkt. Dynamische Effizienz hingegen bezieht sich auf die Anreize, die ein Politikinstrument für langfristige Innovationen und technologischen Fortschritt schafft, die zu weiteren Emissionsreduktionen führen (Bhowmik et al., 2022). Sowohl Pigou-Steuern als auch Emissionshandelssysteme können dynamische Effizienz fördern, indem sie einen Preis auf Emissionen legen, der Investitionen in Forschung und Entwicklung von kohlenstoffarmen Technologien rentabel macht (Levi-Bliech &amp; Dahan, 2025). Unternehmen haben einen kontinuierlichen Anreiz, ihre Emissionen zu senken, solange die Kosten der Reduktion unter dem Preis für Emissionsberechtigungen oder der CO2-Steuer liegen.</w:t>
      </w:r>
    </w:p>
    <w:p>
      <w:pPr>
        <w:pStyle w:val="BodyText"/>
      </w:pPr>
      <w:r>
        <w:t xml:space="preserve">Die Wahl zwischen einer CO2-Steuer und einem Emissionshandelssystem hängt von verschiedenen Faktoren ab, einschließlich der Präferenz für Preis- oder Mengensteuerung. Eine CO2-Steuer bietet Preissicherheit, während ein ETS Mengensicherheit bietet (die Gesamtemissionen bleiben unter dem Cap). Bei Unsicherheiten über die Kosten der Emissionsminderung kann ein ETS vorteilhafter sein, da es die Menge der Emissionen garantiert. Bei Unsicherheiten über den Nutzen von Emissionsminderungen kann eine Steuer vorteilhafter sein, da sie eine Obergrenze für die Kosten der Reduktion setzt (Raufer &amp; Iyer, 2012). Die theoretische Debatte über das optimale Instrument wird durch praktische Überlegungen wie politische Akzeptanz, Implementierungskosten und die Interaktion mit anderen Politikbereichen ergänzt. Dennoch bilden diese grundlegenden ökonomischen Theorien das Rückgrat für das Verständnis und die Gestaltung effektiver Klimaschutzpolitiken.</w:t>
      </w:r>
    </w:p>
    <w:p>
      <w:pPr>
        <w:pStyle w:val="Heading3"/>
      </w:pPr>
      <w:bookmarkStart w:id="25" w:name="co2-preismechanismen-und-klimaschutz"/>
      <w:r>
        <w:t xml:space="preserve">3. CO2-Preismechanismen und Klimaschutz</w:t>
      </w:r>
      <w:bookmarkEnd w:id="25"/>
    </w:p>
    <w:p>
      <w:pPr>
        <w:pStyle w:val="FirstParagraph"/>
      </w:pPr>
      <w:r>
        <w:t xml:space="preserve">CO2-Preismechanismen sind darauf ausgelegt, die Emissionen von Treibhausgasen zu reduzieren, indem sie den Verursachern einen monetären Wert für ihre Emissionen auferlegen. Dies schafft einen finanziellen Anreiz, emissionsintensive Aktivitäten zu vermeiden oder zu reduzieren und in kohlenstoffarme Technologien zu investieren (Digitemie &amp; Ekemezie, 2024). Es gibt im Wesentlichen zwei Haupttypen von CO2-Preismechanismen: den Emissionshandel (Cap-and-Trade) und die CO2-Steuer. Beide Ansätze haben das gemeinsame Ziel, die externen Kosten von CO2-Emissionen zu internalisieren, unterscheiden sich jedoch in ihrer Funktionsweise und den resultierenden Marktbedingungen.</w:t>
      </w:r>
    </w:p>
    <w:p>
      <w:pPr>
        <w:pStyle w:val="BodyText"/>
      </w:pPr>
      <w:r>
        <w:rPr>
          <w:b/>
        </w:rPr>
        <w:t xml:space="preserve">3.1. Emissionshandel (Cap-and-Trade)</w:t>
      </w:r>
    </w:p>
    <w:p>
      <w:pPr>
        <w:pStyle w:val="BodyText"/>
      </w:pPr>
      <w:r>
        <w:t xml:space="preserve">Der Emissionshandel, wie er im EU-ETS oder in anderen Systemen weltweit praktiziert wird, ist ein marktbasiertes Instrument, das eine feste Obergrenze (Cap) für die Gesamtemissionen in einem bestimmten Sektor oder einer Volkswirtschaft festlegt (Raufer &amp; Iyer, 2012). Innerhalb dieser Obergrenze werden Emissionsberechtigungen ausgegeben, die jeweils die Emission einer Tonne CO2-Äquivalent erlauben. Diese Berechtigungen können von den Unternehmen, die unter das System fallen, gekauft, verkauft oder gehandelt werden.</w:t>
      </w:r>
    </w:p>
    <w:p>
      <w:pPr>
        <w:numPr>
          <w:ilvl w:val="0"/>
          <w:numId w:val="1001"/>
        </w:numPr>
        <w:pStyle w:val="Compact"/>
      </w:pPr>
      <w:r>
        <w:rPr>
          <w:b/>
        </w:rPr>
        <w:t xml:space="preserve">Cap-Setting:</w:t>
      </w:r>
      <w:r>
        <w:t xml:space="preserve"> </w:t>
      </w:r>
      <w:r>
        <w:t xml:space="preserve">Die Festlegung der Obergrenze ist der wichtigste politische Parameter eines ETS. Ein strengeres Cap führt zu einer größeren Knappheit an Berechtigungen und damit zu einem höheren CO2-Preis, was wiederum stärkere Anreize zur Emissionsminderung schafft (Raufer &amp; Iyer, 2012). Das Cap wird typischerweise über die Zeit abgesenkt, um kontinuierliche Emissionsreduktionen zu gewährleisten und die Klimaziele zu erreichen. Im EU-ETS wird das Cap jährlich um einen linearen Reduktionsfaktor gesenkt, der zuletzt im Rahmen des</w:t>
      </w:r>
      <w:r>
        <w:t xml:space="preserve"> </w:t>
      </w:r>
      <w:r>
        <w:t xml:space="preserve">“</w:t>
      </w:r>
      <w:r>
        <w:t xml:space="preserve">Fit for 55</w:t>
      </w:r>
      <w:r>
        <w:t xml:space="preserve">”</w:t>
      </w:r>
      <w:r>
        <w:t xml:space="preserve">-Pakets verschärft wurde (Wildgrube, 2023).</w:t>
      </w:r>
    </w:p>
    <w:p>
      <w:pPr>
        <w:numPr>
          <w:ilvl w:val="0"/>
          <w:numId w:val="1001"/>
        </w:numPr>
        <w:pStyle w:val="Compact"/>
      </w:pPr>
      <w:r>
        <w:rPr>
          <w:b/>
        </w:rPr>
        <w:t xml:space="preserve">Allokationsmechanismen:</w:t>
      </w:r>
      <w:r>
        <w:t xml:space="preserve"> </w:t>
      </w:r>
      <w:r>
        <w:t xml:space="preserve">Die Zuteilung der Emissionsberechtigungen an die Unternehmen kann auf verschiedene Weisen erfolgen:</w:t>
      </w:r>
    </w:p>
    <w:p>
      <w:pPr>
        <w:numPr>
          <w:ilvl w:val="0"/>
          <w:numId w:val="1001"/>
        </w:numPr>
        <w:pStyle w:val="Compact"/>
      </w:pPr>
      <w:r>
        <w:rPr>
          <w:b/>
        </w:rPr>
        <w:t xml:space="preserve">Versteigerung (Auctioning):</w:t>
      </w:r>
      <w:r>
        <w:t xml:space="preserve"> </w:t>
      </w:r>
      <w:r>
        <w:t xml:space="preserve">Die Berechtigungen werden an die Höchstbietenden verkauft. Dies ist aus ökonomischer Sicht am effizientesten, da es Preisfindung ermöglicht und Einnahmen für den Staat generiert, die für Klimaschutzmaßnahmen oder zur Entlastung der Bürger verwendet werden können (Pigato, 2018). Im EU-ETS hat die Versteigerung im Laufe der Zeit an Bedeutung gewonnen.</w:t>
      </w:r>
    </w:p>
    <w:p>
      <w:pPr>
        <w:numPr>
          <w:ilvl w:val="0"/>
          <w:numId w:val="1001"/>
        </w:numPr>
        <w:pStyle w:val="Compact"/>
      </w:pPr>
      <w:r>
        <w:rPr>
          <w:b/>
        </w:rPr>
        <w:t xml:space="preserve">Kostenlose Zuteilung (Grandfathering):</w:t>
      </w:r>
      <w:r>
        <w:t xml:space="preserve"> </w:t>
      </w:r>
      <w:r>
        <w:t xml:space="preserve">Berechtigungen werden basierend auf historischen Emissionen oder Benchmarks kostenlos an Unternehmen verteilt. Dies kann die politische Akzeptanz erhöhen und das Risiko der Kohlenstoffverlagerung (Carbon Leakage) für energieintensive Industrien mindern, birgt aber das Risiko von Windfall-Profits und verzerrt die Wettbewerbsbedingungen (Eslahi et al., 2026).</w:t>
      </w:r>
    </w:p>
    <w:p>
      <w:pPr>
        <w:numPr>
          <w:ilvl w:val="0"/>
          <w:numId w:val="1001"/>
        </w:numPr>
        <w:pStyle w:val="Compact"/>
      </w:pPr>
      <w:r>
        <w:rPr>
          <w:b/>
        </w:rPr>
        <w:t xml:space="preserve">Handel:</w:t>
      </w:r>
      <w:r>
        <w:t xml:space="preserve"> </w:t>
      </w:r>
      <w:r>
        <w:t xml:space="preserve">Der Handel mit Emissionsberechtigungen ermöglicht es Unternehmen, ihre Emissionsreduktionen dort vorzunehmen, wo es am kostengünstigsten ist. Unternehmen, die ihre Emissionen unter ihre zugeteilten oder erworbenen Berechtigungen senken können, können die überschüssigen Berechtigungen verkaufen. Unternehmen, für die eine Reduktion teurer ist, können zusätzliche Berechtigungen kaufen, anstatt teure Reduktionsmaßnahmen zu ergreifen. Dies führt zu einer kosteneffizienten Gesamtreduktion der Emissionen (Woerdman, 2004).</w:t>
      </w:r>
    </w:p>
    <w:p>
      <w:pPr>
        <w:numPr>
          <w:ilvl w:val="0"/>
          <w:numId w:val="1001"/>
        </w:numPr>
        <w:pStyle w:val="Compact"/>
      </w:pPr>
      <w:r>
        <w:rPr>
          <w:b/>
        </w:rPr>
        <w:t xml:space="preserve">Marktstabilitätsmechanismen:</w:t>
      </w:r>
      <w:r>
        <w:t xml:space="preserve"> </w:t>
      </w:r>
      <w:r>
        <w:t xml:space="preserve">Um extreme Preisschwankungen und ein Überangebot an Berechtigungen zu verhindern, wurden in einigen ETS, wie dem EU-ETS, Marktstabilitätsmechanismen eingeführt. Der Marktstabilitätsreserve (MSR) im EU-ETS passt die Menge der zur Versteigerung stehenden Zertifikate automatisch an das aktuelle Überangebot an, indem sie Zertifikate in die Reserve einstellt oder aus ihr freigibt (Wildgrube, 2023). Dies soll die Preisvolatilität reduzieren und einen ausreichenden Anreiz für Investitionen in Dekarbonisierungstechnologien aufrechterhalten.</w:t>
      </w:r>
    </w:p>
    <w:p>
      <w:pPr>
        <w:pStyle w:val="FirstParagraph"/>
      </w:pPr>
      <w:r>
        <w:rPr>
          <w:b/>
        </w:rPr>
        <w:t xml:space="preserve">3.2. CO2-Steuer</w:t>
      </w:r>
    </w:p>
    <w:p>
      <w:pPr>
        <w:pStyle w:val="BodyText"/>
      </w:pPr>
      <w:r>
        <w:t xml:space="preserve">Eine CO2-Steuer ist ein direkter Preis auf CO2-Emissionen, der pro Tonne ausgestoßenem CO2-Äquivalent erhoben wird (Pigato, 2018). Im Gegensatz zum ETS, das die Menge der Emissionen festlegt und der Markt den Preis bestimmt, legt die CO2-Steuer den Preis fest, und der Markt bestimmt die resultierende Menge der Emissionen.</w:t>
      </w:r>
    </w:p>
    <w:p>
      <w:pPr>
        <w:numPr>
          <w:ilvl w:val="0"/>
          <w:numId w:val="1002"/>
        </w:numPr>
        <w:pStyle w:val="Compact"/>
      </w:pPr>
      <w:r>
        <w:rPr>
          <w:b/>
        </w:rPr>
        <w:t xml:space="preserve">Funktionsweise:</w:t>
      </w:r>
      <w:r>
        <w:t xml:space="preserve"> </w:t>
      </w:r>
      <w:r>
        <w:t xml:space="preserve">Unternehmen und Konsumenten zahlen einen festen Betrag für jede Einheit CO2, die sie emittieren. Dies erhöht die Kosten für emissionsintensive Güter und Dienstleistungen und schafft Anreize, Emissionen zu reduzieren.</w:t>
      </w:r>
    </w:p>
    <w:p>
      <w:pPr>
        <w:numPr>
          <w:ilvl w:val="0"/>
          <w:numId w:val="1002"/>
        </w:numPr>
        <w:pStyle w:val="Compact"/>
      </w:pPr>
      <w:r>
        <w:rPr>
          <w:b/>
        </w:rPr>
        <w:t xml:space="preserve">Vorteile:</w:t>
      </w:r>
    </w:p>
    <w:p>
      <w:pPr>
        <w:numPr>
          <w:ilvl w:val="0"/>
          <w:numId w:val="1002"/>
        </w:numPr>
        <w:pStyle w:val="Compact"/>
      </w:pPr>
      <w:r>
        <w:rPr>
          <w:b/>
        </w:rPr>
        <w:t xml:space="preserve">Preissicherheit:</w:t>
      </w:r>
      <w:r>
        <w:t xml:space="preserve"> </w:t>
      </w:r>
      <w:r>
        <w:t xml:space="preserve">Eine CO2-Steuer bietet Unternehmen und Investoren eine klare und stabile Preisprognose, was langfristige Investitionsentscheidungen in kohlenstoffarme Technologien erleichtern kann (Bhowmik et al., 2022).</w:t>
      </w:r>
    </w:p>
    <w:p>
      <w:pPr>
        <w:numPr>
          <w:ilvl w:val="0"/>
          <w:numId w:val="1002"/>
        </w:numPr>
        <w:pStyle w:val="Compact"/>
      </w:pPr>
      <w:r>
        <w:rPr>
          <w:b/>
        </w:rPr>
        <w:t xml:space="preserve">Einfachheit und Transparenz:</w:t>
      </w:r>
      <w:r>
        <w:t xml:space="preserve"> </w:t>
      </w:r>
      <w:r>
        <w:t xml:space="preserve">CO2-Steuern können einfacher zu implementieren und zu verwalten sein als komplexe Handelssysteme, da sie in bestehende Steuersysteme integriert werden können.</w:t>
      </w:r>
    </w:p>
    <w:p>
      <w:pPr>
        <w:numPr>
          <w:ilvl w:val="0"/>
          <w:numId w:val="1002"/>
        </w:numPr>
        <w:pStyle w:val="Compact"/>
      </w:pPr>
      <w:r>
        <w:rPr>
          <w:b/>
        </w:rPr>
        <w:t xml:space="preserve">Einnahmengenerierung:</w:t>
      </w:r>
      <w:r>
        <w:t xml:space="preserve"> </w:t>
      </w:r>
      <w:r>
        <w:t xml:space="preserve">Die Steuereinnahmen können für verschiedene Zwecke verwendet werden, z.B. zur Finanzierung von Klimaschutzmaßnahmen, zur Senkung anderer Steuern (Steuerneutralität) oder zur direkten Rückverteilung an die Bürger (Klimadividende) (Pigato, 2018).</w:t>
      </w:r>
    </w:p>
    <w:p>
      <w:pPr>
        <w:numPr>
          <w:ilvl w:val="0"/>
          <w:numId w:val="1002"/>
        </w:numPr>
        <w:pStyle w:val="Compact"/>
      </w:pPr>
      <w:r>
        <w:rPr>
          <w:b/>
        </w:rPr>
        <w:t xml:space="preserve">Nachteile:</w:t>
      </w:r>
    </w:p>
    <w:p>
      <w:pPr>
        <w:numPr>
          <w:ilvl w:val="0"/>
          <w:numId w:val="1002"/>
        </w:numPr>
        <w:pStyle w:val="Compact"/>
      </w:pPr>
      <w:r>
        <w:rPr>
          <w:b/>
        </w:rPr>
        <w:t xml:space="preserve">Unsicherheit über Emissionsreduktionen:</w:t>
      </w:r>
      <w:r>
        <w:t xml:space="preserve"> </w:t>
      </w:r>
      <w:r>
        <w:t xml:space="preserve">Da der Preis festgelegt ist, ist die tatsächliche Menge der resultierenden Emissionsreduktionen unsicher und hängt von der Elastizität der Nachfrage ab.</w:t>
      </w:r>
    </w:p>
    <w:p>
      <w:pPr>
        <w:numPr>
          <w:ilvl w:val="0"/>
          <w:numId w:val="1002"/>
        </w:numPr>
        <w:pStyle w:val="Compact"/>
      </w:pPr>
      <w:r>
        <w:rPr>
          <w:b/>
        </w:rPr>
        <w:t xml:space="preserve">Politische Akzeptanz:</w:t>
      </w:r>
      <w:r>
        <w:t xml:space="preserve"> </w:t>
      </w:r>
      <w:r>
        <w:t xml:space="preserve">CO2-Steuern können auf erheblichen Widerstand stoßen, insbesondere wenn sie als zusätzliche Belastung für Unternehmen und Haushalte wahrgenommen werden.</w:t>
      </w:r>
    </w:p>
    <w:p>
      <w:pPr>
        <w:numPr>
          <w:ilvl w:val="0"/>
          <w:numId w:val="1002"/>
        </w:numPr>
        <w:pStyle w:val="Compact"/>
      </w:pPr>
      <w:r>
        <w:rPr>
          <w:b/>
        </w:rPr>
        <w:t xml:space="preserve">Wettbewerbsverzerrungen:</w:t>
      </w:r>
      <w:r>
        <w:t xml:space="preserve"> </w:t>
      </w:r>
      <w:r>
        <w:t xml:space="preserve">Wenn nur einzelne Länder eine CO2-Steuer einführen, besteht das Risiko, dass energieintensive Industrien in Länder mit niedrigeren oder keinen CO2-Preisen abwandern (Kohlenstoffverlagerung).</w:t>
      </w:r>
    </w:p>
    <w:p>
      <w:pPr>
        <w:pStyle w:val="FirstParagraph"/>
      </w:pPr>
      <w:r>
        <w:rPr>
          <w:b/>
        </w:rPr>
        <w:t xml:space="preserve">3.3. Hybridansätze und weitere Mechanismen</w:t>
      </w:r>
    </w:p>
    <w:p>
      <w:pPr>
        <w:pStyle w:val="BodyText"/>
      </w:pPr>
      <w:r>
        <w:t xml:space="preserve">Neben den reinen Cap-and-Trade-Systemen und CO2-Steuern gibt es auch hybride Ansätze und ergänzende Instrumente, die darauf abzielen, die Effektivität und Akzeptanz der CO2-Bepreisung zu verbessern:</w:t>
      </w:r>
    </w:p>
    <w:p>
      <w:pPr>
        <w:numPr>
          <w:ilvl w:val="0"/>
          <w:numId w:val="1003"/>
        </w:numPr>
        <w:pStyle w:val="Compact"/>
      </w:pPr>
      <w:r>
        <w:rPr>
          <w:b/>
        </w:rPr>
        <w:t xml:space="preserve">Preisbänder:</w:t>
      </w:r>
      <w:r>
        <w:t xml:space="preserve"> </w:t>
      </w:r>
      <w:r>
        <w:t xml:space="preserve">Einige Systeme integrieren Mechanismen, die den CO2-Preis innerhalb eines bestimmten Korridors halten, z.B. durch Mindest- oder Höchstpreise für Zertifikate im Emissionshandel. Dies kombiniert die Mengen- und Preissicherheit bis zu einem gewissen Grad.</w:t>
      </w:r>
    </w:p>
    <w:p>
      <w:pPr>
        <w:numPr>
          <w:ilvl w:val="0"/>
          <w:numId w:val="1003"/>
        </w:numPr>
        <w:pStyle w:val="Compact"/>
      </w:pPr>
      <w:r>
        <w:rPr>
          <w:b/>
        </w:rPr>
        <w:t xml:space="preserve">Kohlenstoff-Grenzausgleichssystem (CBAM):</w:t>
      </w:r>
      <w:r>
        <w:t xml:space="preserve"> </w:t>
      </w:r>
      <w:r>
        <w:t xml:space="preserve">Das EU-CBAM ist ein innovativer Mechanismus, der darauf abzielt, das Risiko der Kohlenstoffverlagerung zu mindern, indem Importe aus Nicht-EU-Ländern einen CO2-Preis zahlen müssen, der dem im EU-ETS entspricht (Martinus &amp; Laopirun, 2023). Dies soll gleiche Wettbewerbsbedingungen schaffen und gleichzeitig Anreize für andere Länder setzen, ihre eigenen Klimaschutzmaßnahmen zu verstärken.</w:t>
      </w:r>
    </w:p>
    <w:p>
      <w:pPr>
        <w:numPr>
          <w:ilvl w:val="0"/>
          <w:numId w:val="1003"/>
        </w:numPr>
        <w:pStyle w:val="Compact"/>
      </w:pPr>
      <w:r>
        <w:rPr>
          <w:b/>
        </w:rPr>
        <w:t xml:space="preserve">Freiwillige Kohlenstoffmärkte:</w:t>
      </w:r>
      <w:r>
        <w:t xml:space="preserve"> </w:t>
      </w:r>
      <w:r>
        <w:t xml:space="preserve">Neben den regulierten Märkten existieren auch freiwillige Märkte, auf denen Unternehmen und Einzelpersonen Emissionsgutschriften erwerben können, um ihre eigenen Emissionen auszugleichen. Die Integrität und Glaubwürdigkeit dieser Märkte sind jedoch von entscheidender Bedeutung (Swinfield &amp; Toye Scott, 2025).</w:t>
      </w:r>
    </w:p>
    <w:p>
      <w:pPr>
        <w:numPr>
          <w:ilvl w:val="0"/>
          <w:numId w:val="1003"/>
        </w:numPr>
        <w:pStyle w:val="Compact"/>
      </w:pPr>
      <w:r>
        <w:rPr>
          <w:b/>
        </w:rPr>
        <w:t xml:space="preserve">Standards und Berichterstattung:</w:t>
      </w:r>
      <w:r>
        <w:t xml:space="preserve"> </w:t>
      </w:r>
      <w:r>
        <w:t xml:space="preserve">Ergänzend zur CO2-Bepreisung sind internationale Standards wie NTC-ISO 14064 für die Berechnung von Treibhausgasemissionen wichtig, um Transparenz und Vergleichbarkeit zu gewährleisten (Aristizabal &amp; Gonzalez Manosalva, 2021). Unternehmen implementieren zunehmend Prinzipien der Corporate Sustainability Development, die auch die Reduktion von Emissionen umfassen (Tang, 2025).</w:t>
      </w:r>
    </w:p>
    <w:p>
      <w:pPr>
        <w:pStyle w:val="FirstParagraph"/>
      </w:pPr>
      <w:r>
        <w:t xml:space="preserve">Diese Mechanismen tragen auf unterschiedliche Weise zum Klimaschutz bei, indem sie Anreize für Emissionsreduktionen schaffen, grüne Innovationen fördern (Levi-Bliech &amp; Dahan, 2025) und die Anpassung an eine kohlenstoffarme Wirtschaft vorantreiben. Die Wahl des optimalen Mixes an Instrumenten hängt von den spezifischen nationalen oder regionalen Kontexten, den politischen Zielen und der Akzeptanz durch die Bevölkerung und die Industrie ab (Digitemie &amp; Ekemezie, 2024). Letztendlich ist das Ziel, einen effektiven und effizienten Weg zu finden, um die im Pariser Klimaabkommen (Lake, 2015) und anderen internationalen Vereinbarungen festgelegten Klimaziele zu erreichen.</w:t>
      </w:r>
    </w:p>
    <w:p>
      <w:pPr>
        <w:pStyle w:val="Heading3"/>
      </w:pPr>
      <w:bookmarkStart w:id="26" w:name="X84fe304888eafaa64789ef7d0606a67aabf62a4"/>
      <w:r>
        <w:t xml:space="preserve">4. Empirische Studien zur Wirksamkeit von CO2-Preismechanismen</w:t>
      </w:r>
      <w:bookmarkEnd w:id="26"/>
    </w:p>
    <w:p>
      <w:pPr>
        <w:pStyle w:val="FirstParagraph"/>
      </w:pPr>
      <w:r>
        <w:t xml:space="preserve">Die empirische Forschung hat sich intensiv mit der Wirksamkeit von CO2-Preismechanismen bei der Reduzierung von Treibhausgasemissionen und der Förderung einer nachhaltigen Wirtschaft auseinandergesetzt. Die Ergebnisse sind vielfältig und hängen stark von der spezifischen Gestaltung des Instruments, dem institutionellen Kontext und den jeweiligen Marktbedingungen ab. Dennoch zeichnet sich ein klares Bild ab, dass CO2-Preise, wenn sie angemessen gestaltet und implementiert werden, signifikante Emissionsreduktionen bewirken können (Digitemie &amp; Ekemezie, 2024).</w:t>
      </w:r>
    </w:p>
    <w:p>
      <w:pPr>
        <w:pStyle w:val="BodyText"/>
      </w:pPr>
      <w:r>
        <w:rPr>
          <w:b/>
        </w:rPr>
        <w:t xml:space="preserve">4.1. Empirische Evidenz aus dem EU-Emissionshandelssystem (EU-ETS)</w:t>
      </w:r>
    </w:p>
    <w:p>
      <w:pPr>
        <w:pStyle w:val="BodyText"/>
      </w:pPr>
      <w:r>
        <w:t xml:space="preserve">Das EU-ETS ist aufgrund seiner Größe und langen Existenz das am besten untersuchte Emissionshandelssystem weltweit. Zahlreiche Studien haben seine Auswirkungen auf Emissionen, Wirtschaftswachstum, Innovation und Wettbewerbsfähigkeit analysiert.</w:t>
      </w:r>
      <w:r>
        <w:t xml:space="preserve"> </w:t>
      </w:r>
      <w:r>
        <w:t xml:space="preserve">Frühe Phasen des EU-ETS waren von einem Überschuss an Emissionsberechtigungen und damit verbundenen niedrigen Kohlenstoffpreisen geprägt, was die Anreizwirkung für Emissionsreduktionen minderte (Eslahi et al., 2026). Insbesondere in der ersten Phase (2005-2007) führten großzügige Zuteilungen dazu, dass der Emissionspreis kaum eine Lenkungswirkung entfalten konnte. Die Weltwirtschaftskrise 2008 verschärfte dieses Überangebot zusätzlich.</w:t>
      </w:r>
      <w:r>
        <w:t xml:space="preserve"> </w:t>
      </w:r>
      <w:r>
        <w:t xml:space="preserve">Die Reformen in der dritten Phase (ab 2013), insbesondere die Einführung des Marktstabilitätsmechanismus (MSR) und die verstärkte Versteigerung von Zertifikaten, haben jedoch zu einer signifikanten Verbesserung der Funktionsweise des EU-ETS geführt. Der MSR hat dazu beigetragen, das Überangebot an Zertifikaten zu reduzieren und die Kohlenstoffpreise auf ein Niveau anzuheben, das wirksame Investitionsanreize für Emissionsminderung schafft (Wildgrube, 2023). Empirische Studien, wie die von Eslahi, Creti et al. (2026), deuten darauf hin, dass das EU-ETS in den jüngeren Phasen tatsächlich zu einer substanziellen Reduktion der Emissionen in den erfassten Sektoren beigetragen hat (Eslahi et al., 2026). Die Analyse des EU-ETS zeigt, dass es maßgeblich dazu beigetragen hat, die Emissionen in den erfassten Sektoren seit 2005 um über 30% zu senken (Edwin &amp; Josephine, 2023). Dies wurde durch die Schaffung eines klaren Preissignals für CO2 und die Förderung von Investitionen in kohlenstoffarme Technologien erreicht.</w:t>
      </w:r>
    </w:p>
    <w:p>
      <w:pPr>
        <w:pStyle w:val="BodyText"/>
      </w:pPr>
      <w:r>
        <w:t xml:space="preserve">Einige Studien untersuchen auch die Auswirkungen des EU-ETS auf die Wettbewerbsfähigkeit und das Risiko der Kohlenstoffverlagerung. Obwohl die anfänglichen Bedenken groß waren, zeigen viele empirische Analysen, dass die tatsächlichen Auswirkungen auf die Wettbewerbsfähigkeit von Unternehmen, die dem ETS unterliegen, begrenzt waren, insbesondere wenn die freie Zuteilung als Schutzmechanismus diente (Eslahi et al., 2026). Dennoch bleibt die Sorge vor Carbon Leakage, insbesondere für energieintensive Industrien, ein wichtiger Aspekt, der durch Instrumente wie das Carbon Border Adjustment Mechanism (CBAM) angegangen wird (Martinus &amp; Laopirun, 2023). Die Wirksamkeit des EU-ETS wird auch im Kontext der gesamten Klimapolitik der EU betrachtet (Wildgrube, 2023). Es ist oft schwierig, die Effekte des ETS isoliert von anderen Politikinstrumenten wie erneuerbaren Energien und Energieeffizienzstandards zu betrachten. Dennoch wird der Emissionshandel als ein zentrales und effektives Instrument zur Erreichung der Klimaziele der EU angesehen.</w:t>
      </w:r>
    </w:p>
    <w:p>
      <w:pPr>
        <w:pStyle w:val="BodyText"/>
      </w:pPr>
      <w:r>
        <w:rPr>
          <w:b/>
        </w:rPr>
        <w:t xml:space="preserve">4.2. Empirische Evidenz aus anderen Emissionshandelssystemen und CO2-Steuern</w:t>
      </w:r>
    </w:p>
    <w:p>
      <w:pPr>
        <w:pStyle w:val="BodyText"/>
      </w:pPr>
      <w:r>
        <w:t xml:space="preserve">Neben dem EU-ETS liefern auch andere regionale und nationale Emissionshandelssysteme wertvolle Erkenntnisse. Das chinesische Emissionshandelssystem (C-ETS), das 2021 landesweit eingeführt wurde, ist das größte ETS der Welt, gemessen an den abgedeckten Emissionen. Frühe empirische Analysen der regionalen Pilot-ETS in China, auf denen das nationale System aufbaut, zeigen, dass diese Systeme zu einer Reduzierung der Kohlenstoffintensität und einer Förderung grüner Innovationen beigetragen haben (Zhu et al., 2023)(Zhao et al., 2024). Die Herausforderungen in China liegen jedoch in der Datenqualität, der Durchsetzung und der Integration verschiedener regionaler Märkte. Zhao, Wang et al. (2024) untersuchen die wirtschaftlichen Anreize für die Umweltverschmutzungskontrolle in China durch das ETS und stellen fest, dass das System das Potenzial hat, die Emissionen effektiv zu reduzieren, wenn die Marktmechanismen und die Regulierung weiter gestärkt werden (Zhao et al., 2024).</w:t>
      </w:r>
    </w:p>
    <w:p>
      <w:pPr>
        <w:pStyle w:val="BodyText"/>
      </w:pPr>
      <w:r>
        <w:t xml:space="preserve">CO2-Steuern wurden in verschiedenen Ländern implementiert, darunter in skandinavischen Ländern, der Schweiz und der kanadischen Provinz British Columbia. Empirische Studien zu diesen Steuern zeigen ebenfalls positive Effekte auf die Emissionsreduktion. Beispielsweise hat die CO2-Steuer in Schweden, die bereits 1991 eingeführt wurde, maßgeblich zur Entkopplung von Wirtschaftswachstum und Emissionen beigetragen (government.se, 2025). Die Einnahmen aus CO2-Steuern können auch gezielt für Klimaschutzinvestitionen oder zur Entlastung der Bürger eingesetzt werden, was die Akzeptanz erhöhen kann (Pigato, 2018). Die Wirksamkeit einer CO2-Steuer hängt jedoch stark von ihrer Höhe ab; zu niedrige Steuersätze generieren möglicherweise nicht genügend Anreize. Die Integration von CO2-Steuern in ein breiteres fiskalpolitisches Rahmenwerk, wie von Pigato (2018) diskutiert, kann ihre Wirksamkeit und Akzeptanz weiter verbessern (Pigato, 2018).</w:t>
      </w:r>
    </w:p>
    <w:p>
      <w:pPr>
        <w:pStyle w:val="BodyText"/>
      </w:pPr>
      <w:r>
        <w:t xml:space="preserve">Insgesamt bestätigen empirische Studien die theoretische Annahme, dass CO2-Preismechanismen ein kosteneffizientes Instrument zur Emissionsreduktion darstellen können (Digitemie &amp; Ekemezie, 2024). Die Erfolgsfaktoren umfassen ein ausreichend ambitioniertes Cap (im ETS), einen angemessen hohen Preis (bei CO2-Steuern), stabile und transparente Marktregeln, einen effektiven Durchsetzungsmechanismus sowie eine sorgfältige Berücksichtigung von Wettbewerbs- und Verteilungseffekten. Bhowmik, Rahut et al. (2022) betonen die Bedeutung von Klimaschutztechnologien, die durch diese Preisignale gefördert werden können, und unterstreichen die Notwendigkeit, die Auswirkungen auf die Entwicklungsländer zu untersuchen (Bhowmik et al., 2022). Die Förderung von grünen Innovationen, wie von Levi-Bliech und Dahan (2025) beschrieben, ist ein entscheidender Mechanismus, durch den CO2-Preise langfristig zu einer Dekarbonisierung beitragen (Levi-Bliech &amp; Dahan, 2025). Die kontinuierliche Überwachung und Anpassung der Systeme auf Basis empirischer Erkenntnisse ist unerlässlich, um ihre langfristige Wirksamkeit zu gewährleisten.</w:t>
      </w:r>
    </w:p>
    <w:p>
      <w:pPr>
        <w:pStyle w:val="Heading3"/>
      </w:pPr>
      <w:bookmarkStart w:id="27" w:name="Xdedf5d22512980090744543094cac0960d27104"/>
      <w:r>
        <w:t xml:space="preserve">5. Kritische Perspektiven und Herausforderungen</w:t>
      </w:r>
      <w:bookmarkEnd w:id="27"/>
    </w:p>
    <w:p>
      <w:pPr>
        <w:pStyle w:val="FirstParagraph"/>
      </w:pPr>
      <w:r>
        <w:t xml:space="preserve">Trotz der empirisch belegten Wirksamkeit und der soliden theoretischen Fundierung stehen CO2-Preismechanismen vor einer Reihe von kritischen Perspektiven und Herausforderungen, die ihre Effektivität, Gerechtigkeit und politische Akzeptanz beeinflussen. Diese Herausforderungen müssen bei der Gestaltung und Weiterentwicklung von Klimaschutzpolitiken sorgfältig berücksichtigt werden.</w:t>
      </w:r>
    </w:p>
    <w:p>
      <w:pPr>
        <w:pStyle w:val="BodyText"/>
      </w:pPr>
      <w:r>
        <w:rPr>
          <w:b/>
        </w:rPr>
        <w:t xml:space="preserve">5.1. Verteilungswirkungen und soziale Gerechtigkeit</w:t>
      </w:r>
    </w:p>
    <w:p>
      <w:pPr>
        <w:pStyle w:val="BodyText"/>
      </w:pPr>
      <w:r>
        <w:t xml:space="preserve">Eine der am häufigsten geäußerten Kritiken an CO2-Preismechanismen betrifft ihre potenziell regressiven Verteilungswirkungen. Eine CO2-Steuer oder höhere Preise für Emissionsberechtigungen können zu höheren Preisen für Energie, Kraftstoffe und andere emissionsintensive Güter führen. Dies kann Haushalte mit geringem Einkommen unverhältnismäßig stark belasten, da sie oft einen größeren Anteil ihres Einkommens für grundlegende Energiebedürfnisse ausgeben und weniger Möglichkeiten haben, auf emissionsärmere Alternativen umzusteigen (Six &amp; Lechinger, 2021). Die soziale Akzeptanz von CO2-Preisen hängt maßgeblich davon ab, wie diese Verteilungswirkungen abgemildert werden. Mögliche Maßnahmen umfassen die Rückverteilung der Einnahmen aus CO2-Preisen an die Haushalte (z.B. als Klimadividende), gezielte Unterstützung für einkommensschwache Haushalte oder Investitionen in öffentliche Verkehrsmittel und Energieeffizienzprogramme (Pigato, 2018). Die</w:t>
      </w:r>
      <w:r>
        <w:t xml:space="preserve"> </w:t>
      </w:r>
      <w:r>
        <w:t xml:space="preserve">“</w:t>
      </w:r>
      <w:r>
        <w:t xml:space="preserve">Fit for 55</w:t>
      </w:r>
      <w:r>
        <w:t xml:space="preserve">”</w:t>
      </w:r>
      <w:r>
        <w:t xml:space="preserve">-Paket der EU versucht, diesen Aspekt durch die Schaffung eines Klimasozialfonds zu adressieren, der die Kosten des neuen ETS für Gebäude und Verkehr für vulnerable Haushalte abfedern soll (Wildgrube, 2023).</w:t>
      </w:r>
    </w:p>
    <w:p>
      <w:pPr>
        <w:pStyle w:val="BodyText"/>
      </w:pPr>
      <w:r>
        <w:rPr>
          <w:b/>
        </w:rPr>
        <w:t xml:space="preserve">5.2. Kohlenstoffverlagerung (Carbon Leakage)</w:t>
      </w:r>
    </w:p>
    <w:p>
      <w:pPr>
        <w:pStyle w:val="BodyText"/>
      </w:pPr>
      <w:r>
        <w:t xml:space="preserve">Die Sorge vor Kohlenstoffverlagerung ist eine zentrale Herausforderung, insbesondere für energieintensive Industrien, die im internationalen Wettbewerb stehen. Wenn ein Land oder eine Region einen CO2-Preis einführt, der in anderen Regionen nicht existiert oder niedriger ist, könnten Unternehmen ihre Produktion in Länder mit weniger strengen Klimaschutzauflagen verlagern, um Kosten zu sparen. Dies würde nicht nur die heimischen Emissionsreduktionsziele untergraben, sondern auch zu keiner globalen Emissionsminderung führen, da die Emissionen lediglich geografisch verlagert würden (Eslahi et al., 2026). Um dieses Risiko zu mindern, wurden im EU-ETS Mechanismen wie die kostenlose Zuteilung von Emissionsberechtigungen für bestimmte Sektoren implementiert. Ein neuerer Ansatz ist der Kohlenstoff-Grenzausgleichsmechanismus (CBAM), der darauf abzielt, importierte Produkte mit einem CO2-Preis zu belegen, der dem im Inland gezahlten Preis entspricht (Martinus &amp; Laopirun, 2023). Dies soll gleiche Wettbewerbsbedingungen schaffen und gleichzeitig Anreize für Nicht-EU-Länder setzen, ihre eigenen Klimaschutzmaßnahmen zu verstärken.</w:t>
      </w:r>
    </w:p>
    <w:p>
      <w:pPr>
        <w:pStyle w:val="BodyText"/>
      </w:pPr>
      <w:r>
        <w:rPr>
          <w:b/>
        </w:rPr>
        <w:t xml:space="preserve">5.3. Preiskorridor, Volatilität und Ambition</w:t>
      </w:r>
    </w:p>
    <w:p>
      <w:pPr>
        <w:pStyle w:val="BodyText"/>
      </w:pPr>
      <w:r>
        <w:t xml:space="preserve">Die Wirksamkeit von CO2-Preismechanismen hängt stark von der Höhe und Stabilität des Kohlenstoffpreises ab. Ein zu niedriger Preis generiert keine ausreichenden Anreize für Investitionen in Dekarbonisierung. Ein zu volatiler Preis erschwert die Planbarkeit für Unternehmen und kann Investitionen verzögern. Im EU-ETS wurden Maßnahmen wie der Marktstabilitätsmechanismus (MSR) eingeführt, um das Überangebot an Zertifikaten zu steuern und die Preisvolatilität zu reduzieren (Wildgrube, 2023). Dennoch bleibt die Frage, wie ein Preisniveau erreicht und aufrechterhalten werden kann, das ambitionierte Klimaziele effektiv unterstützt. Die Festlegung des Caps im Emissionshandel oder des Steuersatzes bei einer CO2-Steuer ist eine komplexe politische Entscheidung, die ökonomische Effizienz, soziale Gerechtigkeit und politische Machbarkeit abwägen muss. Die Debatte um einen Mindestpreis für CO2-Zertifikate oder einen Preiskorridor im ETS spiegelt die Suche nach einer Balance zwischen Flexibilität und Preissicherheit wider.</w:t>
      </w:r>
    </w:p>
    <w:p>
      <w:pPr>
        <w:pStyle w:val="BodyText"/>
      </w:pPr>
      <w:r>
        <w:rPr>
          <w:b/>
        </w:rPr>
        <w:t xml:space="preserve">5.4. Politische Akzeptanz und Implementierungshürden</w:t>
      </w:r>
    </w:p>
    <w:p>
      <w:pPr>
        <w:pStyle w:val="BodyText"/>
      </w:pPr>
      <w:r>
        <w:t xml:space="preserve">Die Einführung und Aufrechterhaltung von CO2-Preismechanismen ist oft mit erheblichen politischen Widerständen verbunden. Interessengruppen aus emissionsintensiven Industrien, aber auch Teile der Bevölkerung können sich gegen solche Maßnahmen aussprechen, die als Belastung wahrgenommen werden (spiegel.de, 2025). Dies erfordert eine sorgfältige politische Kommunikation, die die Vorteile des Klimaschutzes und die Notwendigkeit der Internalisierung externer Kosten klar darlegt. Die Implementierung von Emissionshandelssystemen oder CO2-Steuern erfordert zudem robuste institutionelle Rahmenbedingungen, einschließlich zuverlässiger Emissionsüberwachung, Berichterstattung und Verifizierung (MRV-Systeme), wie sie beispielsweise durch die Anwendung von NTC-ISO 14064 Standards unterstützt werden (Aristizabal &amp; Gonzalez Manosalva, 2021). Die Komplexität der Gestaltung und Verwaltung solcher Systeme kann insbesondere in Entwicklungsländern eine Herausforderung darstellen. Wildgrube (2023) bewertet die Wirksamkeit des EU COM</w:t>
      </w:r>
      <w:r>
        <w:t xml:space="preserve"> </w:t>
      </w:r>
      <w:r>
        <w:t xml:space="preserve">“</w:t>
      </w:r>
      <w:r>
        <w:t xml:space="preserve">Fit for 55</w:t>
      </w:r>
      <w:r>
        <w:t xml:space="preserve">”</w:t>
      </w:r>
      <w:r>
        <w:t xml:space="preserve"> </w:t>
      </w:r>
      <w:r>
        <w:t xml:space="preserve">Pakets und hebt die Notwendigkeit hervor, die legislativen Entscheidungen und rechtlichen Werte sorgfältig abzuwägen (Wildgrube, 2023)(Peeters, 2008).</w:t>
      </w:r>
    </w:p>
    <w:p>
      <w:pPr>
        <w:pStyle w:val="BodyText"/>
      </w:pPr>
      <w:r>
        <w:rPr>
          <w:b/>
        </w:rPr>
        <w:t xml:space="preserve">5.5. Interaktion mit anderen Politikfeldern und Instrumenten</w:t>
      </w:r>
    </w:p>
    <w:p>
      <w:pPr>
        <w:pStyle w:val="BodyText"/>
      </w:pPr>
      <w:r>
        <w:t xml:space="preserve">CO2-Preismechanismen existieren nicht im Vakuum, sondern interagieren mit einer Vielzahl anderer Politikfelder und Instrumente, wie Subventionen für erneuerbare Energien, Energieeffizienzstandards, Industriepolitik und fiskalischen Maßnahmen (Pigato, 2018). Diese Interaktionen können sowohl synergistisch als auch kontraproduktiv sein. Beispielsweise können Subventionen für erneuerbare Energien in einem ETS-Umfeld dazu führen, dass der Bedarf an Emissionsberechtigungen sinkt und damit der CO2-Preis fällt, was die Anreizwirkung des ETS mindert. Eine kohärente Politikgestaltung erfordert daher eine sorgfältige Abstimmung der verschiedenen Instrumente, um Doppelzählungen, ineffiziente Ressourcennutzung und Zielkonflikte zu vermeiden. Peeters (2008) diskutiert die Überlegungen zu gesetzgeberischen Entscheidungen und rechtlichen Werten im Kontext solcher komplexen Politikansätze und betont die Bedeutung einer konsistenten rechtlichen Rahmung (Peeters, 2008). Die Integration von Klimaschutz in breitere Nachhaltigkeitsstrategien, wie sie von Tang (2025) für die Unternehmensführung beschrieben wird, ist ebenfalls entscheidend, um umfassende und wirksame Lösungen zu entwickeln (Tang, 2025).</w:t>
      </w:r>
    </w:p>
    <w:p>
      <w:pPr>
        <w:pStyle w:val="BodyText"/>
      </w:pPr>
      <w:r>
        <w:rPr>
          <w:b/>
        </w:rPr>
        <w:t xml:space="preserve">5.6. Globale Koordination und zukünftige Entwicklung</w:t>
      </w:r>
    </w:p>
    <w:p>
      <w:pPr>
        <w:pStyle w:val="BodyText"/>
      </w:pPr>
      <w:r>
        <w:t xml:space="preserve">Die Klimakrise ist ein globales Problem, das eine globale Antwort erfordert. Obwohl das Pariser Abkommen einen Rahmen für nationale Klimaschutzbeiträge (NDCs) bietet (Lake, 2015), bleibt die globale Koordination von CO2-Preismechanismen eine Herausforderung. Die Verknüpfung verschiedener Emissionshandelssysteme könnte die Kosteneffizienz erhöhen und die Volatilität der Preise reduzieren, erfordert aber eine hohe Konvergenz der Systemdesigns und eine starke politische Zusammenarbeit (Lake, 2015). Die Entwicklung hin zu einem globalen Kohlenstoffmarkt, der sowohl regulierte als auch hochwertige freiwillige Märkte umfasst (Swinfield &amp; Toye Scott, 2025), wäre ein Idealzustand, um die globalen Emissionsreduktionsziele zu erreichen. Die kontinuierliche Forschung und Anpassung der Politik auf Basis neuer Erkenntnisse und technologischer Entwicklungen ist entscheidend, um diese Herausforderungen zu meistern und die Wirksamkeit von CO2-Preismechanismen im Kampf gegen den Klimawandel zu maximieren.</w:t>
      </w:r>
    </w:p>
    <w:p>
      <w:pPr>
        <w:pStyle w:val="Heading3"/>
      </w:pPr>
      <w:bookmarkStart w:id="28" w:name="fazit-der-literaturübersicht"/>
      <w:r>
        <w:t xml:space="preserve">Fazit der Literaturübersicht</w:t>
      </w:r>
      <w:bookmarkEnd w:id="28"/>
    </w:p>
    <w:p>
      <w:pPr>
        <w:pStyle w:val="FirstParagraph"/>
      </w:pPr>
      <w:r>
        <w:t xml:space="preserve">Die vorliegende Literaturübersicht hat die historischen, theoretischen und empirischen Facetten des Emissionshandels und der CO2-Bepreisung detailliert beleuchtet. Beginnend mit den Anfängen im Kyoto-Protokoll und der Etablierung des EU-ETS als Pioniersystem, wurde die Evolution dieser marktgesteuerten Klimaschutzinstrumente nachgezeichnet. Die theoretischen Fundamente, die in der Umweltökonomie mit Konzepten wie Pigou-Steuern und dem Coase-Theorem verankert sind, untermauern die ökonomische Rationalität, externe Kosten von Emissionen zu internalisieren und somit eine kosteneffiziente Emissionsminderung zu ermöglichen. Die detaillierte Analyse der CO2-Preismechanismen, einschließlich Cap-and-Trade-Systemen und CO2-Steuern, hat deren unterschiedliche Wirkungsweisen, Vorteile und Nachteile im Hinblick auf Preissicherheit, Mengensicherheit und Implementierungskomplexität aufgezeigt. Ergänzende Instrumente wie der CBAM wurden als innovative Ansätze zur Bewältigung spezifischer Herausforderungen identifiziert.</w:t>
      </w:r>
    </w:p>
    <w:p>
      <w:pPr>
        <w:pStyle w:val="BodyText"/>
      </w:pPr>
      <w:r>
        <w:t xml:space="preserve">Empirische Studien, insbesondere zum EU-ETS und zu anderen regionalen Systemen, bestätigen weitgehend die Wirksamkeit dieser Mechanismen bei der Reduzierung von Treibhausgasemissionen und der Förderung grüner Innovationen, vorausgesetzt, sie sind ambitioniert gestaltet und durch robuste Governance-Strukturen gestützt. Dennoch ist die Implementierung von CO2-Preismechanismen mit erheblichen Herausforderungen verbunden, darunter Fragen der sozialen Gerechtigkeit und regressiver Verteilungswirkungen, das Risiko der Kohlenstoffverlagerung, die Notwendigkeit stabiler und ausreichend hoher Kohlenstoffpreise sowie die politische Akzeptanz und die Komplexität der Interaktion mit anderen Politikfeldern. Diese kritischen Perspektiven erfordern eine kontinuierliche Anpassung und Verfeinerung der Politikgestaltung, um sowohl Effektivität als auch Gerechtigkeit zu gewährleisten.</w:t>
      </w:r>
    </w:p>
    <w:p>
      <w:pPr>
        <w:pStyle w:val="BodyText"/>
      </w:pPr>
      <w:r>
        <w:t xml:space="preserve">Die Literatur zeigt, dass CO2-Preismechanismen ein unverzichtbarer Bestandteil eines umfassenden Klimaschutzinstrumentariums sind. Ihre Fähigkeit, kosteneffiziente Emissionsreduktionen zu bewirken und Anreize für technologische Innovationen zu schaffen, ist unbestreitbar. Zukünftige Forschung und Politikentwicklung müssen sich weiterhin auf die Optimierung der Systemdesigns, die Minderung negativer Nebeneffekte und die Verbesserung der globalen Koordination konzentrieren, um die ambitionierten Ziele des Pariser Abkommens zu erreichen. Die vorliegende Arbeit wird auf diesen Grundlagen aufbauen, indem sie spezifische Aspekte der CO2-Bepreisung im Kontext des EU-ETS weiter vertieft und neue Erkenntnisse liefert, die zur Weiterentwicklung dieser kritischen Klimaschutzinstrumente beitragen.</w:t>
      </w:r>
    </w:p>
    <w:p>
      <w:pPr>
        <w:pStyle w:val="Heading2"/>
      </w:pPr>
      <w:bookmarkStart w:id="29" w:name="methodik"/>
      <w:r>
        <w:t xml:space="preserve">3. Methodik</w:t>
      </w:r>
      <w:bookmarkEnd w:id="29"/>
    </w:p>
    <w:p>
      <w:pPr>
        <w:pStyle w:val="FirstParagraph"/>
      </w:pPr>
      <w:r>
        <w:t xml:space="preserve">Die vorliegende Masterarbeit verfolgt das Ziel, die Klimaschutzwirkung von Emissionshandelssystemen (EHS) anhand ausgewählter Fallstudien umfassend zu analysieren. Um dieses Ziel zu erreichen, wird ein methodischer Ansatz gewählt, der eine systematische Untersuchung der theoretischen Grundlagen, der empirischen Evidenz und der politischen Implikationen ermöglicht. Die Methodik gliedert sich in die Definition eines robusten Analyserahmens, die sorgfältige Auswahl der Fallstudien, die detaillierte Beschreibung der verwendeten Datenquellen und Messverfahren sowie die Erläuterung der statistischen Methoden zur Wirksamkeitsanalyse. Dieser strukturierte Aufbau gewährleistet eine transparente, nachvollziehbare und wissenschaftlich fundierte Untersuchung der Forschungsfrage.</w:t>
      </w:r>
    </w:p>
    <w:p>
      <w:pPr>
        <w:pStyle w:val="Heading2"/>
      </w:pPr>
      <w:bookmarkStart w:id="30" w:name="analyserahmen-für-die-klimaschutzwirkung"/>
      <w:r>
        <w:t xml:space="preserve">3.1. Analyserahmen für die Klimaschutzwirkung</w:t>
      </w:r>
      <w:bookmarkEnd w:id="30"/>
    </w:p>
    <w:p>
      <w:pPr>
        <w:pStyle w:val="FirstParagraph"/>
      </w:pPr>
      <w:r>
        <w:t xml:space="preserve">Der Analyserahmen bildet das Fundament für die Bewertung der Klimaschutzwirkung von Emissionshandelssystemen. Er definiert die Kriterien und Indikatoren, anhand derer die Effektivität und Effizienz dieser marktgestützten Instrumente beurteilt werden. Die Klimaschutzwirkung eines EHS ist ein vielschichtiges Konzept, das über die bloße Reduktion von Treibhausgasemissionen hinausgeht. Es umfasst ökologische, ökonomische und soziale Dimensionen, die in ihrer Wechselwirkung betrachtet werden müssen, um ein ganzheitliches Bild der Wirksamkeit zu zeichnung (Digitemie &amp; Ekemezie, 2024)(Woerdman, 2004).</w:t>
      </w:r>
    </w:p>
    <w:p>
      <w:pPr>
        <w:pStyle w:val="Heading3"/>
      </w:pPr>
      <w:bookmarkStart w:id="31" w:name="dimensionen-der-klimaschutzwirkung"/>
      <w:r>
        <w:t xml:space="preserve">3.1.1. Dimensionen der Klimaschutzwirkung</w:t>
      </w:r>
      <w:bookmarkEnd w:id="31"/>
    </w:p>
    <w:p>
      <w:pPr>
        <w:pStyle w:val="FirstParagraph"/>
      </w:pPr>
      <w:r>
        <w:t xml:space="preserve">Die Bewertung der Klimaschutzwirkung erfolgt entlang mehrerer zentraler Dimensionen:</w:t>
      </w:r>
    </w:p>
    <w:p>
      <w:pPr>
        <w:numPr>
          <w:ilvl w:val="0"/>
          <w:numId w:val="1004"/>
        </w:numPr>
        <w:pStyle w:val="Compact"/>
      </w:pPr>
      <w:r>
        <w:rPr>
          <w:b/>
        </w:rPr>
        <w:t xml:space="preserve">Ökologische Wirksamkeit (Environmental Effectiveness):</w:t>
      </w:r>
      <w:r>
        <w:t xml:space="preserve"> </w:t>
      </w:r>
      <w:r>
        <w:t xml:space="preserve">Diese Dimension konzentriert sich auf die primäre Zielsetzung von EHS: die Reduktion von Treibhausgasemissionen. Gemessen wird dies durch die absolute und relative Verringerung der Emissionen im Vergleich zu einem Basisszenario oder einer Kontrollgruppe. Ein wirksames EHS sollte nachweislich zu einer substanziellen und nachhaltigen Emissionsminderung führen (Eslahi et al., 2026)(Wildgrube, 2023). Darüber hinaus wird die Stabilität und Vorhersehbarkeit der Emissionsminderung betrachtet, um sicherzustellen, dass die angestrebten Klimaziele erreicht werden können. Die ökologische Wirksamkeit ist oft das prominenteste Kriterium, da sie direkt auf die Minderung des Klimawandels abzielt. Studien zur ökologischen Wirksamkeit untersuchen häufig die Korrelation zwischen der Einführung oder Reform eines EHS und den anschließenden Emissionsentwicklungen, wobei externe Faktoren und Co-Benefits wie eine verbesserte Luftqualität ebenfalls berücksichtigt werden können (Aristizabal &amp; Gonzalez Manosalva, 2021).</w:t>
      </w:r>
    </w:p>
    <w:p>
      <w:pPr>
        <w:numPr>
          <w:ilvl w:val="0"/>
          <w:numId w:val="1004"/>
        </w:numPr>
        <w:pStyle w:val="Compact"/>
      </w:pPr>
      <w:r>
        <w:rPr>
          <w:b/>
        </w:rPr>
        <w:t xml:space="preserve">Ökonomische Effizienz (Economic Efficiency):</w:t>
      </w:r>
      <w:r>
        <w:t xml:space="preserve"> </w:t>
      </w:r>
      <w:r>
        <w:t xml:space="preserve">Diese Dimension bewertet, ob die Emissionsminderungsziele zu den geringstmöglichen Kosten für die Volkswirtschaft erreicht werden. Ein wesentliches Merkmal von EHS ist ihre Fähigkeit, Unternehmen die flexibelste und kostengünstigste Methode zur Emissionsreduzierung zu ermöglichen (Raufer &amp; Iyer, 2012)(Bohm, 2002). Indikatoren hierfür sind die Kosten pro Tonne CO2-Äquivalent, die Auswirkungen auf die Wettbewerbsfähigkeit der Unternehmen, die Preisvolatilität der Emissionszertifikate und die Verteilung der Kostenlast. Ein effizientes EHS minimiert die gesamtwirtschaftlichen Kosten der Dekarbonisierung, indem es Anreize für Innovationen und technologische Fortschritte schafft (Zhao et al., 2024)(Levi-Bliech &amp; Dahan, 2025). Die Analyse der ökonomischen Effizienz beinhaltet oft die Untersuchung der Marktmechanismen, der Preisbildung von Zertifikaten und der Auswirkungen auf die betroffenen Sektoren, um etwaige Wettbewerbsnachteile oder Carbon Leakage-Effekte zu identifizieren.</w:t>
      </w:r>
    </w:p>
    <w:p>
      <w:pPr>
        <w:numPr>
          <w:ilvl w:val="0"/>
          <w:numId w:val="1004"/>
        </w:numPr>
        <w:pStyle w:val="Compact"/>
      </w:pPr>
      <w:r>
        <w:rPr>
          <w:b/>
        </w:rPr>
        <w:t xml:space="preserve">Innovationsanreize (Innovation Incentives):</w:t>
      </w:r>
      <w:r>
        <w:t xml:space="preserve"> </w:t>
      </w:r>
      <w:r>
        <w:t xml:space="preserve">EHS sollen nicht nur Emissionen reduzieren, sondern auch Anreize für die Entwicklung und Implementierung kohlenstoffarmer Technologien und Prozesse schaffen. Diese Dimension untersucht, inwieweit das System Unternehmen dazu motiviert, in grüne Innovationen zu investieren (Bhowmik et al., 2022)(Levi-Bliech &amp; Dahan, 2025). Indikatoren sind hierbei die Anzahl der Patentanmeldungen in relevanten Sektoren, Investitionen in Forschung und Entwicklung (F&amp;E) für kohlenstoffarme Technologien und die Verbreitung innovativer Lösungen. Ein starker und stabiler CO2-Preis signalisiert Unternehmen, dass sich Investitionen in emissionsmindernde Technologien langfristig auszahlen, wodurch ein dynamischer Prozess der Dekarbonisierung in Gang gesetzt wird. Die Analyse dieser Anreize ist entscheidend, um die langfristige Transformation hin zu einer klimaneutralen Wirtschaft zu bewerten (Tang, 2025).</w:t>
      </w:r>
    </w:p>
    <w:p>
      <w:pPr>
        <w:numPr>
          <w:ilvl w:val="0"/>
          <w:numId w:val="1004"/>
        </w:numPr>
        <w:pStyle w:val="Compact"/>
      </w:pPr>
      <w:r>
        <w:rPr>
          <w:b/>
        </w:rPr>
        <w:t xml:space="preserve">Verteilungs- und soziale Auswirkungen (Distributional and Social Impacts):</w:t>
      </w:r>
      <w:r>
        <w:t xml:space="preserve"> </w:t>
      </w:r>
      <w:r>
        <w:t xml:space="preserve">Obwohl oft weniger im Fokus, sind die sozialen Auswirkungen von EHS von großer Bedeutung für deren Akzeptanz und Legitimität. Diese Dimension betrachtet die Verteilung der Kosten und Vorteile des Systems auf verschiedene Akteure (Haushalte, Industrien, Regionen) und mögliche Auswirkungen auf Beschäftigung, Einkommen und soziale Gerechtigkeit (Pigato, 2018). Insbesondere werden mögliche negative Auswirkungen auf einkommensschwache Haushalte oder energieintensive Industrien untersucht und ob begleitende Maßnahmen diese Effekte abfedern können. Die faire Verteilung der Lasten und die Sicherstellung eines sozialen Ausgleichs sind essenziell für die politische Durchsetzbarkeit und Nachhaltigkeit von Klimaschutzmaßnahmen (Peeters, 2008).</w:t>
      </w:r>
    </w:p>
    <w:p>
      <w:pPr>
        <w:pStyle w:val="Heading3"/>
      </w:pPr>
      <w:bookmarkStart w:id="32" w:name="kausalmechanismen-und-wirkungsmodelle"/>
      <w:r>
        <w:t xml:space="preserve">3.1.2. Kausalmechanismen und Wirkungsmodelle</w:t>
      </w:r>
      <w:bookmarkEnd w:id="32"/>
    </w:p>
    <w:p>
      <w:pPr>
        <w:pStyle w:val="FirstParagraph"/>
      </w:pPr>
      <w:r>
        <w:t xml:space="preserve">Der Analyserahmen berücksichtigt die zugrunde liegenden Kausalmechanismen, durch die EHS ihre Wirkung entfalten. Das Kernprinzip eines EHS ist die Internalisierung externer Kosten: Durch die Bepreisung von CO2-Emissionen werden Umweltkosten in die ökonomischen Entscheidungen der Unternehmen integriert (Digitemie &amp; Ekemezie, 2024). Dies geschieht primär über zwei Wege:</w:t>
      </w:r>
      <w:r>
        <w:t xml:space="preserve"> </w:t>
      </w:r>
      <w:r>
        <w:t xml:space="preserve">*</w:t>
      </w:r>
      <w:r>
        <w:t xml:space="preserve"> </w:t>
      </w:r>
      <w:r>
        <w:rPr>
          <w:b/>
        </w:rPr>
        <w:t xml:space="preserve">Preissignal:</w:t>
      </w:r>
      <w:r>
        <w:t xml:space="preserve"> </w:t>
      </w:r>
      <w:r>
        <w:t xml:space="preserve">Ein EHS setzt einen Preis für Emissionen, der Unternehmen dazu anregt, ihre Emissionen zu reduzieren, um Kosten zu sparen. Dieser Preismechanismus ist flexibler und oft effizienter als regulative Ansätze (Woerdman, 2004).</w:t>
      </w:r>
      <w:r>
        <w:t xml:space="preserve"> </w:t>
      </w:r>
      <w:r>
        <w:t xml:space="preserve">*</w:t>
      </w:r>
      <w:r>
        <w:t xml:space="preserve"> </w:t>
      </w:r>
      <w:r>
        <w:rPr>
          <w:b/>
        </w:rPr>
        <w:t xml:space="preserve">Mengensteuerung:</w:t>
      </w:r>
      <w:r>
        <w:t xml:space="preserve"> </w:t>
      </w:r>
      <w:r>
        <w:t xml:space="preserve">Das System legt eine Obergrenze (Cap) für die Gesamtemissionen fest, die im Laufe der Zeit reduziert wird. Dies garantiert eine bestimmte Emissionsminderung und schafft Knappheit für Emissionsrechte, was den Preis hochhält und somit Anreize für Investitionen in emissionsarme Technologien verstärkt (Black, 2018).</w:t>
      </w:r>
    </w:p>
    <w:p>
      <w:pPr>
        <w:pStyle w:val="BodyText"/>
      </w:pPr>
      <w:r>
        <w:t xml:space="preserve">Zur Analyse dieser Mechanismen wird ein Wirkungsmodell herangezogen, das die direkten und indirekten Effekte des EHS auf die genannten Dimensionen der Klimaschutzwirkung abbildet. Direkte Effekte umfassen die unmittelbare Emissionsreduktion und die damit verbundenen Kosten. Indirekte Effekte beinhalten die Förderung von Innovationen, strukturelle Veränderungen in der Wirtschaft und mögliche Auswirkungen auf internationale Wettbewerbsfähigkeit (Carbon Leakage) (Martinus &amp; Laopirun, 2023). Der Analyserahmen erlaubt es, nicht nur die</w:t>
      </w:r>
      <w:r>
        <w:t xml:space="preserve"> </w:t>
      </w:r>
      <w:r>
        <w:rPr>
          <w:i/>
        </w:rPr>
        <w:t xml:space="preserve">Existenz</w:t>
      </w:r>
      <w:r>
        <w:t xml:space="preserve"> </w:t>
      </w:r>
      <w:r>
        <w:t xml:space="preserve">von Effekten zu prüfen, sondern auch deren</w:t>
      </w:r>
      <w:r>
        <w:t xml:space="preserve"> </w:t>
      </w:r>
      <w:r>
        <w:rPr>
          <w:i/>
        </w:rPr>
        <w:t xml:space="preserve">Magnitude</w:t>
      </w:r>
      <w:r>
        <w:t xml:space="preserve"> </w:t>
      </w:r>
      <w:r>
        <w:t xml:space="preserve">und</w:t>
      </w:r>
      <w:r>
        <w:t xml:space="preserve"> </w:t>
      </w:r>
      <w:r>
        <w:rPr>
          <w:i/>
        </w:rPr>
        <w:t xml:space="preserve">Richtung</w:t>
      </w:r>
      <w:r>
        <w:t xml:space="preserve"> </w:t>
      </w:r>
      <w:r>
        <w:t xml:space="preserve">zu quantifizieren, um ein fundiertes Urteil über die Gesamtwirkung der untersuchten EHS zu fällen.</w:t>
      </w:r>
    </w:p>
    <w:p>
      <w:pPr>
        <w:pStyle w:val="Heading3"/>
      </w:pPr>
      <w:bookmarkStart w:id="33" w:name="X75c1f4571fea3b7631ea23750adad7215c385fa"/>
      <w:r>
        <w:t xml:space="preserve">Abbildung 1: Kausalmechanismen des Emissionshandelssystems (EHS)</w:t>
      </w:r>
      <w:bookmarkEnd w:id="33"/>
    </w:p>
    <w:p>
      <w:pPr>
        <w:pStyle w:val="SourceCode"/>
      </w:pPr>
      <w:r>
        <w:rPr>
          <w:rStyle w:val="VerbatimChar"/>
        </w:rPr>
        <w:t xml:space="preserve">+---------------------+</w:t>
      </w:r>
      <w:r>
        <w:br/>
      </w:r>
      <w:r>
        <w:rPr>
          <w:rStyle w:val="VerbatimChar"/>
        </w:rPr>
        <w:t xml:space="preserve">| Klimaziele &amp; |</w:t>
      </w:r>
      <w:r>
        <w:br/>
      </w:r>
      <w:r>
        <w:rPr>
          <w:rStyle w:val="VerbatimChar"/>
        </w:rPr>
        <w:t xml:space="preserve">| Polit. Rahmen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Cap-Festlegung |</w:t>
      </w:r>
      <w:r>
        <w:br/>
      </w:r>
      <w:r>
        <w:rPr>
          <w:rStyle w:val="VerbatimChar"/>
        </w:rPr>
        <w:t xml:space="preserve">| (Emissionslimit)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Zuteilung von |</w:t>
      </w:r>
      <w:r>
        <w:br/>
      </w:r>
      <w:r>
        <w:rPr>
          <w:rStyle w:val="VerbatimChar"/>
        </w:rPr>
        <w:t xml:space="preserve">| Emissionsrechten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Markt für Emissions- |</w:t>
      </w:r>
      <w:r>
        <w:br/>
      </w:r>
      <w:r>
        <w:rPr>
          <w:rStyle w:val="VerbatimChar"/>
        </w:rPr>
        <w:t xml:space="preserve">| rechte (Angebot/Nachfrage)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CO2-Preis |</w:t>
      </w:r>
      <w:r>
        <w:br/>
      </w:r>
      <w:r>
        <w:rPr>
          <w:rStyle w:val="VerbatimChar"/>
        </w:rPr>
        <w:t xml:space="preserve">+----------+----------+</w:t>
      </w:r>
      <w:r>
        <w:br/>
      </w:r>
      <w:r>
        <w:rPr>
          <w:rStyle w:val="VerbatimChar"/>
        </w:rPr>
        <w:t xml:space="preserve">  |</w:t>
      </w:r>
      <w:r>
        <w:br/>
      </w:r>
      <w:r>
        <w:rPr>
          <w:rStyle w:val="VerbatimChar"/>
        </w:rPr>
        <w:t xml:space="preserve">+----------v----------+  +------------------+</w:t>
      </w:r>
      <w:r>
        <w:br/>
      </w:r>
      <w:r>
        <w:rPr>
          <w:rStyle w:val="VerbatimChar"/>
        </w:rPr>
        <w:t xml:space="preserve">| Anreize f. Unternehmen |---&gt;| Emissionsreduktion |</w:t>
      </w:r>
      <w:r>
        <w:br/>
      </w:r>
      <w:r>
        <w:rPr>
          <w:rStyle w:val="VerbatimChar"/>
        </w:rPr>
        <w:t xml:space="preserve">| (Kosten-/Investitionen) | +------------------+</w:t>
      </w:r>
      <w:r>
        <w:br/>
      </w:r>
      <w:r>
        <w:rPr>
          <w:rStyle w:val="VerbatimChar"/>
        </w:rPr>
        <w:t xml:space="preserve">+----------+----------+  +------------------+</w:t>
      </w:r>
      <w:r>
        <w:br/>
      </w:r>
      <w:r>
        <w:rPr>
          <w:rStyle w:val="VerbatimChar"/>
        </w:rPr>
        <w:t xml:space="preserve">  |  | Innovationsförderung |</w:t>
      </w:r>
      <w:r>
        <w:br/>
      </w:r>
      <w:r>
        <w:rPr>
          <w:rStyle w:val="VerbatimChar"/>
        </w:rPr>
        <w:t xml:space="preserve">  +-------------&gt;+------------------+</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Klimaschutzwirkung |</w:t>
      </w:r>
      <w:r>
        <w:br/>
      </w:r>
      <w:r>
        <w:rPr>
          <w:rStyle w:val="VerbatimChar"/>
        </w:rPr>
        <w:t xml:space="preserve">| (ökolog., ökonom., soz.) |</w:t>
      </w:r>
      <w:r>
        <w:br/>
      </w:r>
      <w:r>
        <w:rPr>
          <w:rStyle w:val="VerbatimChar"/>
        </w:rPr>
        <w:t xml:space="preserve">+---------------------+</w:t>
      </w:r>
    </w:p>
    <w:p>
      <w:pPr>
        <w:pStyle w:val="FirstParagraph"/>
      </w:pPr>
      <w:r>
        <w:rPr>
          <w:i/>
        </w:rPr>
        <w:t xml:space="preserve">Anmerkung: Diese Abbildung veranschaulicht die Kernmechanismen eines Emissionshandelssystems. Das politisch festgelegte Cap führt zu einer Knappheit an Emissionsrechten, deren Handel einen CO2-Preis erzeugt. Dieser Preis motiviert Unternehmen zu Emissionsreduktionen und fördert grüne Innovationen, was sich in der gesamten Klimaschutzwirkung manifestiert.</w:t>
      </w:r>
    </w:p>
    <w:p>
      <w:pPr>
        <w:pStyle w:val="Heading2"/>
      </w:pPr>
      <w:bookmarkStart w:id="34" w:name="auswahl-der-fallstudien"/>
      <w:r>
        <w:t xml:space="preserve">3.2. Auswahl der Fallstudien</w:t>
      </w:r>
      <w:bookmarkEnd w:id="34"/>
    </w:p>
    <w:p>
      <w:pPr>
        <w:pStyle w:val="FirstParagraph"/>
      </w:pPr>
      <w:r>
        <w:t xml:space="preserve">Die Auswahl der Fallstudien ist ein kritischer Schritt, um aussagekräftige und übertragbare Ergebnisse zu erzielen. Für diese Arbeit wurden zwei etablierte und weithin anerkannte Emissionshandelssysteme ausgewählt: das</w:t>
      </w:r>
      <w:r>
        <w:t xml:space="preserve"> </w:t>
      </w:r>
      <w:r>
        <w:rPr>
          <w:b/>
        </w:rPr>
        <w:t xml:space="preserve">Europäische Emissionshandelssystem (EU ETS)</w:t>
      </w:r>
      <w:r>
        <w:t xml:space="preserve"> </w:t>
      </w:r>
      <w:r>
        <w:t xml:space="preserve">und das</w:t>
      </w:r>
      <w:r>
        <w:t xml:space="preserve"> </w:t>
      </w:r>
      <w:r>
        <w:rPr>
          <w:b/>
        </w:rPr>
        <w:t xml:space="preserve">Kalifornische Cap-and-Trade-Programm</w:t>
      </w:r>
      <w:r>
        <w:t xml:space="preserve">. Diese Auswahl basiert auf einer Reihe von Kriterien, die darauf abzielen, eine repräsentative und vergleichbare Grundlage für die Analyse der Klimaschutzwirkung zu schaffen.</w:t>
      </w:r>
    </w:p>
    <w:p>
      <w:pPr>
        <w:pStyle w:val="Heading3"/>
      </w:pPr>
      <w:bookmarkStart w:id="35" w:name="auswahlkriterien"/>
      <w:r>
        <w:t xml:space="preserve">3.2.1. Auswahlkriterien</w:t>
      </w:r>
      <w:bookmarkEnd w:id="35"/>
    </w:p>
    <w:p>
      <w:pPr>
        <w:pStyle w:val="FirstParagraph"/>
      </w:pPr>
      <w:r>
        <w:t xml:space="preserve">Die folgenden Kriterien leiteten die Auswahl der Fallstudien:</w:t>
      </w:r>
    </w:p>
    <w:p>
      <w:pPr>
        <w:numPr>
          <w:ilvl w:val="0"/>
          <w:numId w:val="1005"/>
        </w:numPr>
        <w:pStyle w:val="Compact"/>
      </w:pPr>
      <w:r>
        <w:rPr>
          <w:b/>
        </w:rPr>
        <w:t xml:space="preserve">Reife und Etablierung des Systems:</w:t>
      </w:r>
      <w:r>
        <w:t xml:space="preserve"> </w:t>
      </w:r>
      <w:r>
        <w:t xml:space="preserve">Beide ausgewählten Systeme sind seit vielen Jahren in Betrieb und haben mehrere Phasen der Entwicklung und Reform durchlaufen. Das EU ETS wurde 2005 eingeführt und ist das größte und älteste EHS der Welt (Edwin &amp; Josephine, 2023). Das kalifornische System startete 2013 und hat sich als eines der umfassendsten regionalen EHS in Nordamerika etabliert. Die lange Betriebszeit ermöglicht die Analyse langfristiger Trends und die Bewertung der Anpassungsfähigkeit der Systeme an neue politische und wirtschaftliche Rahmenbedingungen (Eslahi et al., 2026). Reife Systeme bieten eine reichhaltige Datenbasis und ermöglichen eine detailliertere Untersuchung der Wirksamkeit über verschiedene Phasen hinweg.</w:t>
      </w:r>
    </w:p>
    <w:p>
      <w:pPr>
        <w:numPr>
          <w:ilvl w:val="0"/>
          <w:numId w:val="1005"/>
        </w:numPr>
        <w:pStyle w:val="Compact"/>
      </w:pPr>
      <w:r>
        <w:rPr>
          <w:b/>
        </w:rPr>
        <w:t xml:space="preserve">Umfang und Sektorabdeckung:</w:t>
      </w:r>
      <w:r>
        <w:t xml:space="preserve"> </w:t>
      </w:r>
      <w:r>
        <w:t xml:space="preserve">Sowohl das EU ETS als auch das kalifornische System decken eine breite Palette von Sektoren ab, darunter energieintensive Industrien, Stromerzeugung und in Kalifornien auch den Transportsektor. Diese umfassende Abdeckung ist entscheidend, um die gesamtwirtschaftliche Wirkung des EHS zu bewerten und mögliche Verlagerungseffekte (Carbon Leakage) innerhalb oder zwischen Sektoren zu untersuchen. Der breite Anwendungsbereich gewährleistet, dass die analysierten Systeme einen erheblichen Anteil der gesamten Treibhausgasemissionen in ihren jeweiligen Jurisdiktionen abdecken, was ihre Relevanz für die Klimapolitik unterstreicht (Lake, 2015).</w:t>
      </w:r>
    </w:p>
    <w:p>
      <w:pPr>
        <w:numPr>
          <w:ilvl w:val="0"/>
          <w:numId w:val="1005"/>
        </w:numPr>
        <w:pStyle w:val="Compact"/>
      </w:pPr>
      <w:r>
        <w:rPr>
          <w:b/>
        </w:rPr>
        <w:t xml:space="preserve">Regionale und Politische Diversität:</w:t>
      </w:r>
      <w:r>
        <w:t xml:space="preserve"> </w:t>
      </w:r>
      <w:r>
        <w:t xml:space="preserve">Die Auswahl des EU ETS und des kalifornischen Systems bietet eine wertvolle regionale Diversität. Das EU ETS repräsentiert einen supranationalen Ansatz innerhalb eines komplexen politischen Gefüges, während das kalifornische System einen subnationalen Ansatz in einem föderalen Staat darstellt. Diese Diversität ermöglicht den Vergleich unterschiedlicher Governance-Strukturen und regulatorischer Umfelder, was Aufschlüsse über die Übertragbarkeit von Erfahrungen und Best Practices liefert (Wurzel et et al., 2013). Die unterschiedlichen politischen und wirtschaftlichen Kontexte bieten die Möglichkeit, die Robustheit der EHS-Wirkung unter variierenden Bedingungen zu testen.</w:t>
      </w:r>
    </w:p>
    <w:p>
      <w:pPr>
        <w:numPr>
          <w:ilvl w:val="0"/>
          <w:numId w:val="1005"/>
        </w:numPr>
        <w:pStyle w:val="Compact"/>
      </w:pPr>
      <w:r>
        <w:rPr>
          <w:b/>
        </w:rPr>
        <w:t xml:space="preserve">Datenverfügbarkeit und Transparenz:</w:t>
      </w:r>
      <w:r>
        <w:t xml:space="preserve"> </w:t>
      </w:r>
      <w:r>
        <w:t xml:space="preserve">Für beide Systeme stehen umfangreiche und öffentlich zugängliche Daten zur Verfügung, einschließlich Emissionsdaten, Zertifikatspreise, Auktionsergebnisse und Informationen zu Allokationsregeln. Diese Transparenz ist entscheidend für eine valide empirische Analyse und ermöglicht eine detaillierte Nachvollziehbarkeit der Systemleistung. Die Verfügbarkeit von hochwertigen, konsistenten Datenreihen ist eine Grundvoraussetzung für die Anwendung der geplanten statistischen Methoden (Zhu et al., 2023).</w:t>
      </w:r>
    </w:p>
    <w:p>
      <w:pPr>
        <w:numPr>
          <w:ilvl w:val="0"/>
          <w:numId w:val="1005"/>
        </w:numPr>
        <w:pStyle w:val="Compact"/>
      </w:pPr>
      <w:r>
        <w:rPr>
          <w:b/>
        </w:rPr>
        <w:t xml:space="preserve">Relevanz für die Klimapolitik:</w:t>
      </w:r>
      <w:r>
        <w:t xml:space="preserve"> </w:t>
      </w:r>
      <w:r>
        <w:t xml:space="preserve">Beide Systeme sind führend in der globalen Klimapolitik und dienen oft als Modell für die Entwicklung neuer EHS in anderen Regionen (Black, 2018). Ihre Analyse ist daher von hoher praktischer Relevanz für politische Entscheidungsträger und die internationale Klimadiskussion. Die Erkenntnisse aus diesen Fallstudien können dazu beitragen, die Gestaltung und Implementierung zukünftiger oder reformierter Emissionshandelssysteme zu informieren und zu optimieren.</w:t>
      </w:r>
    </w:p>
    <w:p>
      <w:pPr>
        <w:pStyle w:val="Heading3"/>
      </w:pPr>
      <w:bookmarkStart w:id="36" w:name="kurzbeschreibung-der-fallstudien"/>
      <w:r>
        <w:t xml:space="preserve">3.2.2. Kurzbeschreibung der Fallstudien</w:t>
      </w:r>
      <w:bookmarkEnd w:id="36"/>
    </w:p>
    <w:p>
      <w:pPr>
        <w:pStyle w:val="FirstParagraph"/>
      </w:pPr>
      <w:r>
        <w:rPr>
          <w:b/>
        </w:rPr>
        <w:t xml:space="preserve">Europäisches Emissionshandelssystem (EU ETS):</w:t>
      </w:r>
      <w:r>
        <w:t xml:space="preserve"> </w:t>
      </w:r>
      <w:r>
        <w:t xml:space="preserve">Das EU ETS ist das Flaggschiff der EU-Klimapolitik und deckt die Emissionen von über 10.000 Anlagen in der Energiewirtschaft und energieintensiven Industrie sowie den innereuropäischen Luftverkehr ab (Edwin &amp; Josephine, 2023). Es operiert nach dem Cap-and-Trade-Prinzip, bei dem eine Obergrenze für die Gesamtemissionen festgelegt wird, die mit der Zeit sinkt. Unternehmen müssen für jede Tonne emittierten CO2 ein Zertifikat besitzen. Das System hat mehrere Phasen durchlaufen, mit signifikanten Reformen zur Stärkung des Preissignals und zur Anpassung an ambitioniertere Klimaziele, insbesondere im Rahmen des</w:t>
      </w:r>
      <w:r>
        <w:t xml:space="preserve"> </w:t>
      </w:r>
      <w:r>
        <w:t xml:space="preserve">“</w:t>
      </w:r>
      <w:r>
        <w:t xml:space="preserve">Fit for 55</w:t>
      </w:r>
      <w:r>
        <w:t xml:space="preserve">”</w:t>
      </w:r>
      <w:r>
        <w:t xml:space="preserve">-Pakets (Wildgrube, 2023). Die Analyse des EU ETS bietet Einblicke in die Herausforderungen und Erfolge eines großflächigen, supranationalen Handelssystems.</w:t>
      </w:r>
    </w:p>
    <w:p>
      <w:pPr>
        <w:pStyle w:val="BodyText"/>
      </w:pPr>
      <w:r>
        <w:rPr>
          <w:b/>
        </w:rPr>
        <w:t xml:space="preserve">Kalifornisches Cap-and-Trade-Programm:</w:t>
      </w:r>
      <w:r>
        <w:t xml:space="preserve"> </w:t>
      </w:r>
      <w:r>
        <w:t xml:space="preserve">Das 2013 gestartete kalifornische Cap-and-Trade-Programm ist ein zentraler Bestandteil der ehrgeizigen Klimapolitik Kaliforniens. Es deckt etwa 80% der Treibhausgasemissionen des Bundesstaates ab, einschließlich Stromerzeugung, Industrie und seit 2015 auch den Transportsektor (Lake, 2015). Das System ist mit dem Quebecer System verknüpft, was einen größeren Markt und eine höhere Liquidität schafft. Kalifornien hat sich zum Ziel gesetzt, die Emissionen bis 2030 um 40% unter das Niveau von 1990 zu senken. Die Fallstudie Kalifornien bietet eine einzigartige Perspektive auf die Implementierung und Wirkung eines umfassenden EHS in einem politisch progressiven und wirtschaftlich starken subnationalen Kontext.</w:t>
      </w:r>
    </w:p>
    <w:p>
      <w:pPr>
        <w:pStyle w:val="BodyText"/>
      </w:pPr>
      <w:r>
        <w:t xml:space="preserve">Der Vergleich dieser beiden Systeme ermöglicht es, sowohl gemeinsame Erfolgsfaktoren als auch spezifische Herausforderungen zu identifizieren, die durch unterschiedliche Systemdesigns, politische Rahmenbedingungen und wirtschaftliche Strukturen bedingt sind.</w:t>
      </w:r>
    </w:p>
    <w:p>
      <w:pPr>
        <w:pStyle w:val="Heading2"/>
      </w:pPr>
      <w:bookmarkStart w:id="37" w:name="datenquellen-und-messverfahren"/>
      <w:r>
        <w:t xml:space="preserve">3.3. Datenquellen und Messverfahren</w:t>
      </w:r>
      <w:bookmarkEnd w:id="37"/>
    </w:p>
    <w:p>
      <w:pPr>
        <w:pStyle w:val="FirstParagraph"/>
      </w:pPr>
      <w:r>
        <w:t xml:space="preserve">Für eine fundierte Analyse der Klimaschutzwirkung der ausgewählten Emissionshandelssysteme ist die Erhebung und Verarbeitung relevanter Daten von entscheidender Bedeutung. Dieser Abschnitt beschreibt die primären Datenquellen, die Art der erhobenen Daten sowie die angewandten Messverfahren. Der Fokus liegt auf der Sicherstellung der Datenqualität, -konsistenz und -verfügbarkeit über den Untersuchungszeitraum hinweg.</w:t>
      </w:r>
    </w:p>
    <w:p>
      <w:pPr>
        <w:pStyle w:val="Heading3"/>
      </w:pPr>
      <w:bookmarkStart w:id="38" w:name="arten-der-daten"/>
      <w:r>
        <w:t xml:space="preserve">3.3.1. Arten der Daten</w:t>
      </w:r>
      <w:bookmarkEnd w:id="38"/>
    </w:p>
    <w:p>
      <w:pPr>
        <w:pStyle w:val="FirstParagraph"/>
      </w:pPr>
      <w:r>
        <w:t xml:space="preserve">Zur Beantwortung der Forschungsfragen werden verschiedene Kategorien von Daten herangezogen:</w:t>
      </w:r>
    </w:p>
    <w:p>
      <w:pPr>
        <w:numPr>
          <w:ilvl w:val="0"/>
          <w:numId w:val="1006"/>
        </w:numPr>
        <w:pStyle w:val="Compact"/>
      </w:pPr>
      <w:r>
        <w:rPr>
          <w:b/>
        </w:rPr>
        <w:t xml:space="preserve">Emissionsdaten:</w:t>
      </w:r>
      <w:r>
        <w:t xml:space="preserve"> </w:t>
      </w:r>
      <w:r>
        <w:t xml:space="preserve">Dies sind die zentralen Daten zur Messung der ökologischen Wirksamkeit. Dazu gehören die jährlichen Treibhausgasemissionen (in Tonnen CO2-Äquivalent) der von den EHS erfassten Anlagen und Sektoren (Aristizabal &amp; Gonzalez Manosalva, 2021). Es werden sowohl aggregierte Gesamtemissionen als auch, wo verfügbar, sektorspezifische Emissionen erfasst. Diese Daten ermöglichen die Berechnung der Emissionsreduktionen im Zeitverlauf und im Vergleich zu einem Basisszenario oder einer Kontrollgruppe.</w:t>
      </w:r>
    </w:p>
    <w:p>
      <w:pPr>
        <w:numPr>
          <w:ilvl w:val="0"/>
          <w:numId w:val="1006"/>
        </w:numPr>
        <w:pStyle w:val="Compact"/>
      </w:pPr>
      <w:r>
        <w:rPr>
          <w:b/>
        </w:rPr>
        <w:t xml:space="preserve">Emissionszertifikatspreise:</w:t>
      </w:r>
      <w:r>
        <w:t xml:space="preserve"> </w:t>
      </w:r>
      <w:r>
        <w:t xml:space="preserve">Die Preise für Emissionszertifikate (Allowance Prices) sind ein direkter Indikator für das Preissignal des EHS und seine ökonomische Effizienz. Erfasst werden tägliche oder wöchentliche Spot- und Futures-Preise für die gehandelten Zertifikate (z.B. EUA im EU ETS, California Carbon Allowances). Diese Preise spiegeln die Knappheit der Zertifikate und die Erwartungen des Marktes wider (Raufer &amp; Iyer, 2012). Preisvolatilität und Preishöhe sind wichtige Parameter für die Bewertung der Marktfähigkeit des Instruments.</w:t>
      </w:r>
    </w:p>
    <w:p>
      <w:pPr>
        <w:numPr>
          <w:ilvl w:val="0"/>
          <w:numId w:val="1006"/>
        </w:numPr>
        <w:pStyle w:val="Compact"/>
      </w:pPr>
      <w:r>
        <w:rPr>
          <w:b/>
        </w:rPr>
        <w:t xml:space="preserve">Wirtschaftsindikatoren:</w:t>
      </w:r>
      <w:r>
        <w:t xml:space="preserve"> </w:t>
      </w:r>
      <w:r>
        <w:t xml:space="preserve">Um die ökonomischen Auswirkungen und die Effizienz zu beurteilen, werden makroökonomische Daten wie das Bruttoinlandsprodukt (BIP), industrielle Produktionsindizes, Energiepreise, Inflationsraten und Arbeitslosenquoten herangezogen. Diese Indikatoren dienen als Kontrollvariablen in den statistischen Analysen, um den Einfluss des EHS von anderen wirtschaftlichen Entwicklungen zu isolieren (Zhu et al., 2023). Sektorspezifische Daten, wie die Produktionsleistung bestimmter energieintensiver Industrien, sind ebenfalls relevant.</w:t>
      </w:r>
    </w:p>
    <w:p>
      <w:pPr>
        <w:numPr>
          <w:ilvl w:val="0"/>
          <w:numId w:val="1006"/>
        </w:numPr>
        <w:pStyle w:val="Compact"/>
      </w:pPr>
      <w:r>
        <w:rPr>
          <w:b/>
        </w:rPr>
        <w:t xml:space="preserve">Politische und regulatorische Daten:</w:t>
      </w:r>
      <w:r>
        <w:t xml:space="preserve"> </w:t>
      </w:r>
      <w:r>
        <w:t xml:space="preserve">Informationen über das Design des EHS, einschließlich der Obergrenze (Cap), Allokationsregeln (Versteigerung vs. kostenlose Zuteilung), Mechanismen zur Marktstabilisierung (z.B. Market Stability Reserve im EU ETS), Offsets und Verknüpfungen mit anderen Systemen (Black, 2018)(Edwin &amp; Josephine, 2023). Diese Daten sind entscheidend, um die evolutionäre Entwicklung der Systeme zu verstehen und den Einfluss von Designmerkmalen auf die Wirksamkeit zu analysieren.</w:t>
      </w:r>
    </w:p>
    <w:p>
      <w:pPr>
        <w:numPr>
          <w:ilvl w:val="0"/>
          <w:numId w:val="1006"/>
        </w:numPr>
        <w:pStyle w:val="Compact"/>
      </w:pPr>
      <w:r>
        <w:rPr>
          <w:b/>
        </w:rPr>
        <w:t xml:space="preserve">Innovationsindikatoren:</w:t>
      </w:r>
      <w:r>
        <w:t xml:space="preserve"> </w:t>
      </w:r>
      <w:r>
        <w:t xml:space="preserve">Zur Messung der Innovationsanreize werden Daten zu Patentanmeldungen in relevanten grünen Technologien, Investitionen in Forschung und Entwicklung (F&amp;E) sowie die Marktdurchdringung von CO2-armen Technologien herangezogen (Levi-Bliech &amp; Dahan, 2025). Diese Daten können aus Patentdatenbanken, Unternehmensberichten oder spezialisierten Innovationsindizes stammen.</w:t>
      </w:r>
    </w:p>
    <w:p>
      <w:pPr>
        <w:pStyle w:val="Heading3"/>
      </w:pPr>
      <w:bookmarkStart w:id="39" w:name="datenquellen"/>
      <w:r>
        <w:t xml:space="preserve">3.3.2. Datenquellen</w:t>
      </w:r>
      <w:bookmarkEnd w:id="39"/>
    </w:p>
    <w:p>
      <w:pPr>
        <w:pStyle w:val="FirstParagraph"/>
      </w:pPr>
      <w:r>
        <w:t xml:space="preserve">Die Daten werden aus einer Kombination von primären und sekundären Quellen bezogen:</w:t>
      </w:r>
    </w:p>
    <w:p>
      <w:pPr>
        <w:numPr>
          <w:ilvl w:val="0"/>
          <w:numId w:val="1007"/>
        </w:numPr>
        <w:pStyle w:val="Compact"/>
      </w:pPr>
      <w:r>
        <w:rPr>
          <w:b/>
        </w:rPr>
        <w:t xml:space="preserve">Offizielle EHS-Register und Berichte:</w:t>
      </w:r>
      <w:r>
        <w:t xml:space="preserve"> </w:t>
      </w:r>
      <w:r>
        <w:t xml:space="preserve">Für das EU ETS werden Daten vom Europäischen Umweltamt (EEA) und der Europäischen Kommission (z.B. EUTL - EU Transaction Log, Berichte zur Marktstabilitätsreserve) bezogen. Für das kalifornische System stammen die Daten vom California Air Resources Board (CARB). Diese Quellen bieten verifizierte Emissionsdaten, Zertifikatstransaktionen und Systeminformationen.</w:t>
      </w:r>
    </w:p>
    <w:p>
      <w:pPr>
        <w:numPr>
          <w:ilvl w:val="0"/>
          <w:numId w:val="1007"/>
        </w:numPr>
        <w:pStyle w:val="Compact"/>
      </w:pPr>
      <w:r>
        <w:rPr>
          <w:b/>
        </w:rPr>
        <w:t xml:space="preserve">Finanzmarktdatenbanken:</w:t>
      </w:r>
      <w:r>
        <w:t xml:space="preserve"> </w:t>
      </w:r>
      <w:r>
        <w:t xml:space="preserve">Für die Zertifikatspreise werden spezialisierte Finanzdatenanbieter wie Refinitiv Eikon, Bloomberg oder EEX (European Energy Exchange) genutzt, die historische Preisreihen und Handelsvolumina bereitstellen.</w:t>
      </w:r>
    </w:p>
    <w:p>
      <w:pPr>
        <w:numPr>
          <w:ilvl w:val="0"/>
          <w:numId w:val="1007"/>
        </w:numPr>
        <w:pStyle w:val="Compact"/>
      </w:pPr>
      <w:r>
        <w:rPr>
          <w:b/>
        </w:rPr>
        <w:t xml:space="preserve">Statistische Ämter und internationale Organisationen:</w:t>
      </w:r>
      <w:r>
        <w:t xml:space="preserve"> </w:t>
      </w:r>
      <w:r>
        <w:t xml:space="preserve">Makroökonomische Daten werden von Eurostat, dem Statistischen Bundesamt (für EU-Länder), dem US Bureau of Economic Analysis (für Kalifornien) und internationalen Organisationen wie der Weltbank oder der OECD bezogen. Diese stellen konsistente und vergleichbare Wirtschaftsindikatoren bereit.</w:t>
      </w:r>
    </w:p>
    <w:p>
      <w:pPr>
        <w:numPr>
          <w:ilvl w:val="0"/>
          <w:numId w:val="1007"/>
        </w:numPr>
        <w:pStyle w:val="Compact"/>
      </w:pPr>
      <w:r>
        <w:rPr>
          <w:b/>
        </w:rPr>
        <w:t xml:space="preserve">Akademische Datenbanken und Fachliteratur:</w:t>
      </w:r>
      <w:r>
        <w:t xml:space="preserve"> </w:t>
      </w:r>
      <w:r>
        <w:t xml:space="preserve">Für qualitative Informationen zum Systemdesign, für frühere Studien zur Wirksamkeit und für die Identifizierung von Innovationsindikatoren wird eine umfassende Literaturrecherche in Datenbanken wie Scopus, Web of Science und Google Scholar durchgeführt.</w:t>
      </w:r>
    </w:p>
    <w:p>
      <w:pPr>
        <w:numPr>
          <w:ilvl w:val="0"/>
          <w:numId w:val="1007"/>
        </w:numPr>
        <w:pStyle w:val="Compact"/>
      </w:pPr>
      <w:r>
        <w:rPr>
          <w:b/>
        </w:rPr>
        <w:t xml:space="preserve">Think Tanks und Forschungsinstitute:</w:t>
      </w:r>
      <w:r>
        <w:t xml:space="preserve"> </w:t>
      </w:r>
      <w:r>
        <w:t xml:space="preserve">Berichte und Analysen von Think Tanks (z.B. Agora Energiewende, Ecologic Institute) und Forschungsinstituten (z.B. DIW Berlin) liefern zusätzliche kontextuelle Informationen und Expertenmeinungen.</w:t>
      </w:r>
    </w:p>
    <w:p>
      <w:pPr>
        <w:pStyle w:val="Heading3"/>
      </w:pPr>
      <w:bookmarkStart w:id="40" w:name="messverfahren-und-datenaufbereitung"/>
      <w:r>
        <w:t xml:space="preserve">3.3.3. Messverfahren und Datenaufbereitung</w:t>
      </w:r>
      <w:bookmarkEnd w:id="40"/>
    </w:p>
    <w:p>
      <w:pPr>
        <w:pStyle w:val="FirstParagraph"/>
      </w:pPr>
      <w:r>
        <w:t xml:space="preserve">Die Messverfahren umfassen die Standardisierung der Daten und die Berechnung relevanter Indikatoren:</w:t>
      </w:r>
    </w:p>
    <w:p>
      <w:pPr>
        <w:numPr>
          <w:ilvl w:val="0"/>
          <w:numId w:val="1008"/>
        </w:numPr>
        <w:pStyle w:val="Compact"/>
      </w:pPr>
      <w:r>
        <w:rPr>
          <w:b/>
        </w:rPr>
        <w:t xml:space="preserve">Emissionsreduktionen:</w:t>
      </w:r>
      <w:r>
        <w:t xml:space="preserve"> </w:t>
      </w:r>
      <w:r>
        <w:t xml:space="preserve">Berechnet als prozentuale Veränderung der Emissionen im Vergleich zu einem Referenzjahr oder als Abweichung von einem business-as-usual-Szenario.</w:t>
      </w:r>
    </w:p>
    <w:p>
      <w:pPr>
        <w:numPr>
          <w:ilvl w:val="0"/>
          <w:numId w:val="1008"/>
        </w:numPr>
        <w:pStyle w:val="Compact"/>
      </w:pPr>
      <w:r>
        <w:rPr>
          <w:b/>
        </w:rPr>
        <w:t xml:space="preserve">Normalisierung:</w:t>
      </w:r>
      <w:r>
        <w:t xml:space="preserve"> </w:t>
      </w:r>
      <w:r>
        <w:t xml:space="preserve">Wirtschaftsindikatoren werden, wo nötig, inflationsbereinigt und pro Kopf oder pro Einheit der Wirtschaftsleistung ausgedrückt, um Vergleiche über die Zeit und zwischen Regionen zu ermöglichen.</w:t>
      </w:r>
    </w:p>
    <w:p>
      <w:pPr>
        <w:numPr>
          <w:ilvl w:val="0"/>
          <w:numId w:val="1008"/>
        </w:numPr>
        <w:pStyle w:val="Compact"/>
      </w:pPr>
      <w:r>
        <w:rPr>
          <w:b/>
        </w:rPr>
        <w:t xml:space="preserve">Harmonisierung:</w:t>
      </w:r>
      <w:r>
        <w:t xml:space="preserve"> </w:t>
      </w:r>
      <w:r>
        <w:t xml:space="preserve">Da Daten aus verschiedenen Quellen und Jurisdiktionen stammen, ist eine sorgfältige Harmonisierung der Datensätze erforderlich, um Konsistenz in Zeiteinheiten, Definitionen und Maßeinheiten zu gewährleisten. Dies ist besonders wichtig für den Vergleich von EHS mit unterschiedlichen Startzeitpunkten und Designmerkmalen.</w:t>
      </w:r>
    </w:p>
    <w:p>
      <w:pPr>
        <w:numPr>
          <w:ilvl w:val="0"/>
          <w:numId w:val="1008"/>
        </w:numPr>
        <w:pStyle w:val="Compact"/>
      </w:pPr>
      <w:r>
        <w:rPr>
          <w:b/>
        </w:rPr>
        <w:t xml:space="preserve">Datenbereinigung:</w:t>
      </w:r>
      <w:r>
        <w:t xml:space="preserve"> </w:t>
      </w:r>
      <w:r>
        <w:t xml:space="preserve">Fehlende Werte werden mittels geeigneter Imputationsmethoden (z.B. lineare Interpolation) behandelt, Ausreißer identifiziert und, falls gerechtfertigt, korrigiert. Die Daten werden auf Konsistenz und Plausibilität überprüft, um die Qualität der Analyse zu gewährleisten.</w:t>
      </w:r>
    </w:p>
    <w:p>
      <w:pPr>
        <w:numPr>
          <w:ilvl w:val="0"/>
          <w:numId w:val="1008"/>
        </w:numPr>
        <w:pStyle w:val="Compact"/>
      </w:pPr>
      <w:r>
        <w:rPr>
          <w:b/>
        </w:rPr>
        <w:t xml:space="preserve">Operative Definitionen:</w:t>
      </w:r>
      <w:r>
        <w:t xml:space="preserve"> </w:t>
      </w:r>
      <w:r>
        <w:t xml:space="preserve">Für jede Dimension der Wirksamkeit werden klare operative Definitionen festgelegt. Zum Beispiel wird</w:t>
      </w:r>
      <w:r>
        <w:t xml:space="preserve"> </w:t>
      </w:r>
      <w:r>
        <w:t xml:space="preserve">“</w:t>
      </w:r>
      <w:r>
        <w:t xml:space="preserve">grüne Innovation</w:t>
      </w:r>
      <w:r>
        <w:t xml:space="preserve">”</w:t>
      </w:r>
      <w:r>
        <w:t xml:space="preserve"> </w:t>
      </w:r>
      <w:r>
        <w:t xml:space="preserve">durch die Anzahl der Patente in spezifischen IPC-Klassen im Bereich erneuerbare Energien oder Energieeffizienz gemessen (Levi-Bliech &amp; Dahan, 2025).</w:t>
      </w:r>
    </w:p>
    <w:p>
      <w:pPr>
        <w:pStyle w:val="FirstParagraph"/>
      </w:pPr>
      <w:r>
        <w:t xml:space="preserve">Durch diese systematische Herangehensweise an Datenquellen und Messverfahren wird eine solide empirische Basis für die nachfolgende statistische Analyse geschaffen.</w:t>
      </w:r>
    </w:p>
    <w:p>
      <w:pPr>
        <w:pStyle w:val="Heading2"/>
      </w:pPr>
      <w:bookmarkStart w:id="41" w:name="X0a56342ada1c890e69d520052f27015eb87df3f"/>
      <w:r>
        <w:t xml:space="preserve">3.4. Statistische Methoden zur Wirksamkeitsanalyse</w:t>
      </w:r>
      <w:bookmarkEnd w:id="41"/>
    </w:p>
    <w:p>
      <w:pPr>
        <w:pStyle w:val="FirstParagraph"/>
      </w:pPr>
      <w:r>
        <w:t xml:space="preserve">Die statistische Analyse bildet das Herzstück der empirischen Untersuchung und dient dazu, die im Analyserahmen definierten Dimensionen der Klimaschutzwirkung quantitativ zu bewerten. Angesichts der komplexen Natur von Emissionshandelssystemen und der Notwendigkeit, kausale Zusammenhänge von Korrelationen zu unterscheiden, werden verschiedene statistische Methoden angewandt. Der Schwerpunkt liegt auf der Anwendung ökonometrischer Verfahren, die eine robuste Analyse der Wirkungszusammenhänge ermöglichen.</w:t>
      </w:r>
    </w:p>
    <w:p>
      <w:pPr>
        <w:pStyle w:val="Heading3"/>
      </w:pPr>
      <w:bookmarkStart w:id="42" w:name="paneldatenanalyse"/>
      <w:r>
        <w:t xml:space="preserve">3.4.1. Paneldatenanalyse</w:t>
      </w:r>
      <w:bookmarkEnd w:id="42"/>
    </w:p>
    <w:p>
      <w:pPr>
        <w:pStyle w:val="FirstParagraph"/>
      </w:pPr>
      <w:r>
        <w:t xml:space="preserve">Die Paneldatenanalyse ist eine geeignete Methode für diese Studie, da sie die Kombination von Zeitreihen- und Querschnittsdaten ermöglicht. Dies ist besonders vorteilhaft, da die Fallstudien (EU ETS und Kalifornien) über einen längeren Zeitraum beobachtet werden und gleichzeitig eine Querschnittsvergleichsanalyse der Systeme erlaubt. Paneldatenmodelle können unbeobachtete Heterogenität über die Einheiten (z.B. Unterschiede im industriellen Mix oder in der vorbestehenden Klimapolitik zwischen den Regionen des EU ETS oder den Sektoren in Kalifornien) besser kontrollieren als reine Zeitreihen- oder Querschnittsanalysen (Zhu et al., 2023).</w:t>
      </w:r>
    </w:p>
    <w:p>
      <w:pPr>
        <w:pStyle w:val="BodyText"/>
      </w:pPr>
      <w:r>
        <w:t xml:space="preserve">Innerhalb der Paneldatenanalyse werden primär zwei Modelle zum Einsatz kommen:</w:t>
      </w:r>
    </w:p>
    <w:p>
      <w:pPr>
        <w:numPr>
          <w:ilvl w:val="0"/>
          <w:numId w:val="1009"/>
        </w:numPr>
        <w:pStyle w:val="Compact"/>
      </w:pPr>
      <w:r>
        <w:rPr>
          <w:b/>
        </w:rPr>
        <w:t xml:space="preserve">Fixed-Effects-Modell (FE):</w:t>
      </w:r>
      <w:r>
        <w:t xml:space="preserve"> </w:t>
      </w:r>
      <w:r>
        <w:t xml:space="preserve">Dieses Modell kontrolliert für alle unbeobachteten, zeitinvarianten Merkmale der einzelnen Einheiten (z.B. Länder im EU ETS, Sektoren im kalifornischen System). Es eliminiert die Notwendigkeit, diese Merkmale direkt zu messen, indem es die Variation innerhalb der Einheiten über die Zeit nutzt. Dies ist besonders nützlich, um Verzerrungen durch ausgelassene Variablen zu reduzieren, die mit der Einführung des EHS korreliert sein könnten. Die Gleichung eines FE-Modells könnte wie folgt aussehen:</w:t>
      </w:r>
      <w:r>
        <w:t xml:space="preserve"> </w:t>
      </w:r>
      <m:oMath>
        <m:sSub>
          <m:e>
            <m:r>
              <m:t>Y</m:t>
            </m:r>
          </m:e>
          <m:sub>
            <m:r>
              <m:t>i</m:t>
            </m:r>
            <m:r>
              <m:t>t</m:t>
            </m:r>
          </m:sub>
        </m:sSub>
        <m:r>
          <m:t>=</m:t>
        </m:r>
        <m:sSub>
          <m:e>
            <m:r>
              <m:t>β</m:t>
            </m:r>
          </m:e>
          <m:sub>
            <m:r>
              <m:t>0</m:t>
            </m:r>
          </m:sub>
        </m:sSub>
        <m:r>
          <m:t>+</m:t>
        </m:r>
        <m:sSub>
          <m:e>
            <m:r>
              <m:t>β</m:t>
            </m:r>
          </m:e>
          <m:sub>
            <m:r>
              <m:t>1</m:t>
            </m:r>
          </m:sub>
        </m:sSub>
        <m:sSub>
          <m:e>
            <m:r>
              <m:rPr>
                <m:nor/>
                <m:sty m:val="p"/>
              </m:rPr>
              <m:t>EHS</m:t>
            </m:r>
          </m:e>
          <m:sub>
            <m:r>
              <m:t>i</m:t>
            </m:r>
            <m:r>
              <m:t>t</m:t>
            </m:r>
          </m:sub>
        </m:sSub>
        <m:r>
          <m:t>+</m:t>
        </m:r>
        <m:sSub>
          <m:e>
            <m:r>
              <m:t>β</m:t>
            </m:r>
          </m:e>
          <m:sub>
            <m:r>
              <m:t>2</m:t>
            </m:r>
          </m:sub>
        </m:sSub>
        <m:sSub>
          <m:e>
            <m:r>
              <m:t>X</m:t>
            </m:r>
          </m:e>
          <m:sub>
            <m:r>
              <m:t>i</m:t>
            </m:r>
            <m:r>
              <m:t>t</m:t>
            </m:r>
          </m:sub>
        </m:sSub>
        <m:r>
          <m:t>+</m:t>
        </m:r>
        <m:sSub>
          <m:e>
            <m:r>
              <m:t>α</m:t>
            </m:r>
          </m:e>
          <m:sub>
            <m:r>
              <m:t>i</m:t>
            </m:r>
          </m:sub>
        </m:sSub>
        <m:r>
          <m:t>+</m:t>
        </m:r>
        <m:sSub>
          <m:e>
            <m:r>
              <m:t>ϵ</m:t>
            </m:r>
          </m:e>
          <m:sub>
            <m:r>
              <m:t>i</m:t>
            </m:r>
            <m:r>
              <m:t>t</m:t>
            </m:r>
          </m:sub>
        </m:sSub>
      </m:oMath>
      <w:r>
        <w:t xml:space="preserve"> </w:t>
      </w:r>
      <w:r>
        <w:t xml:space="preserve">Wobei</w:t>
      </w:r>
      <w:r>
        <w:t xml:space="preserve"> </w:t>
      </w:r>
      <m:oMath>
        <m:sSub>
          <m:e>
            <m:r>
              <m:t>Y</m:t>
            </m:r>
          </m:e>
          <m:sub>
            <m:r>
              <m:t>i</m:t>
            </m:r>
            <m:r>
              <m:t>t</m:t>
            </m:r>
          </m:sub>
        </m:sSub>
      </m:oMath>
      <w:r>
        <w:t xml:space="preserve"> </w:t>
      </w:r>
      <w:r>
        <w:t xml:space="preserve">die zu erklärende Variable (z.B. Emissionen, Innovationsrate),</w:t>
      </w:r>
      <w:r>
        <w:t xml:space="preserve"> </w:t>
      </w:r>
      <m:oMath>
        <m:sSub>
          <m:e>
            <m:r>
              <m:rPr>
                <m:nor/>
                <m:sty m:val="p"/>
              </m:rPr>
              <m:t>EHS</m:t>
            </m:r>
          </m:e>
          <m:sub>
            <m:r>
              <m:t>i</m:t>
            </m:r>
            <m:r>
              <m:t>t</m:t>
            </m:r>
          </m:sub>
        </m:sSub>
      </m:oMath>
      <w:r>
        <w:t xml:space="preserve"> </w:t>
      </w:r>
      <w:r>
        <w:t xml:space="preserve">eine Dummy-Variable für die Existenz/Intensität des EHS,</w:t>
      </w:r>
      <w:r>
        <w:t xml:space="preserve"> </w:t>
      </w:r>
      <m:oMath>
        <m:sSub>
          <m:e>
            <m:r>
              <m:t>X</m:t>
            </m:r>
          </m:e>
          <m:sub>
            <m:r>
              <m:t>i</m:t>
            </m:r>
            <m:r>
              <m:t>t</m:t>
            </m:r>
          </m:sub>
        </m:sSub>
      </m:oMath>
      <w:r>
        <w:t xml:space="preserve"> </w:t>
      </w:r>
      <w:r>
        <w:t xml:space="preserve">ein Vektor von Kontrollvariablen (z.B. BIP, Energiepreise),</w:t>
      </w:r>
      <w:r>
        <w:t xml:space="preserve"> </w:t>
      </w:r>
      <m:oMath>
        <m:sSub>
          <m:e>
            <m:r>
              <m:t>α</m:t>
            </m:r>
          </m:e>
          <m:sub>
            <m:r>
              <m:t>i</m:t>
            </m:r>
          </m:sub>
        </m:sSub>
      </m:oMath>
      <w:r>
        <w:t xml:space="preserve"> </w:t>
      </w:r>
      <w:r>
        <w:t xml:space="preserve">die einheitsspezifischen Fixed Effects und</w:t>
      </w:r>
      <w:r>
        <w:t xml:space="preserve"> </w:t>
      </w:r>
      <m:oMath>
        <m:sSub>
          <m:e>
            <m:r>
              <m:t>ϵ</m:t>
            </m:r>
          </m:e>
          <m:sub>
            <m:r>
              <m:t>i</m:t>
            </m:r>
            <m:r>
              <m:t>t</m:t>
            </m:r>
          </m:sub>
        </m:sSub>
      </m:oMath>
      <w:r>
        <w:t xml:space="preserve"> </w:t>
      </w:r>
      <w:r>
        <w:t xml:space="preserve">der Fehlerterm ist.</w:t>
      </w:r>
    </w:p>
    <w:p>
      <w:pPr>
        <w:numPr>
          <w:ilvl w:val="0"/>
          <w:numId w:val="1009"/>
        </w:numPr>
        <w:pStyle w:val="Compact"/>
      </w:pPr>
      <w:r>
        <w:rPr>
          <w:b/>
        </w:rPr>
        <w:t xml:space="preserve">Random-Effects-Modell (RE):</w:t>
      </w:r>
      <w:r>
        <w:t xml:space="preserve"> </w:t>
      </w:r>
      <w:r>
        <w:t xml:space="preserve">Im Gegensatz zum FE-Modell geht das RE-Modell davon aus, dass die unbeobachteten Heterogenitäten nicht mit den erklärenden Variablen korreliert sind. Es ist effizienter als das FE-Modell, wenn diese Annahme zutrifft. Der Hausman-Test wird verwendet, um zu entscheiden, ob ein FE- oder ein RE-Modell angemessener ist (Zhu et al., 2023).</w:t>
      </w:r>
    </w:p>
    <w:p>
      <w:pPr>
        <w:pStyle w:val="FirstParagraph"/>
      </w:pPr>
      <w:r>
        <w:t xml:space="preserve">Die Paneldatenanalyse wird angewendet, um den Einfluss von EHS auf Emissionsreduktionen, Innovationsindikatoren und relevante Wirtschaftsindikatoren zu quantifizieren. Die Robustheit der Ergebnisse wird durch die Verwendung verschiedener Spezifikationen und die Berücksichtigung von Zeitverzögerungen (Lags) bei den erklärenden Variablen überprüft, um dynamische Effekte abzubilden.</w:t>
      </w:r>
    </w:p>
    <w:p>
      <w:pPr>
        <w:pStyle w:val="Heading3"/>
      </w:pPr>
      <w:bookmarkStart w:id="43" w:name="difference-in-differences-did-ansatz"/>
      <w:r>
        <w:t xml:space="preserve">3.4.2. Difference-in-Differences (DiD) Ansatz</w:t>
      </w:r>
      <w:bookmarkEnd w:id="43"/>
    </w:p>
    <w:p>
      <w:pPr>
        <w:pStyle w:val="FirstParagraph"/>
      </w:pPr>
      <w:r>
        <w:t xml:space="preserve">Um die kausale Wirkung der EHS-Implementierung präziser zu isolieren, wird der Difference-in-Differences (DiD) Ansatz verwendet. Diese Methode ist besonders nützlich, wenn es eine klare</w:t>
      </w:r>
      <w:r>
        <w:t xml:space="preserve"> </w:t>
      </w:r>
      <w:r>
        <w:t xml:space="preserve">“</w:t>
      </w:r>
      <w:r>
        <w:t xml:space="preserve">Behandlungsgruppe</w:t>
      </w:r>
      <w:r>
        <w:t xml:space="preserve">”</w:t>
      </w:r>
      <w:r>
        <w:t xml:space="preserve"> </w:t>
      </w:r>
      <w:r>
        <w:t xml:space="preserve">(die von einem EHS betroffenen Regionen/Sektoren) und eine</w:t>
      </w:r>
      <w:r>
        <w:t xml:space="preserve"> </w:t>
      </w:r>
      <w:r>
        <w:t xml:space="preserve">“</w:t>
      </w:r>
      <w:r>
        <w:t xml:space="preserve">Kontrollgruppe</w:t>
      </w:r>
      <w:r>
        <w:t xml:space="preserve">”</w:t>
      </w:r>
      <w:r>
        <w:t xml:space="preserve"> </w:t>
      </w:r>
      <w:r>
        <w:t xml:space="preserve">(nicht betroffene Regionen/Sektoren oder solche, die erst später betroffen waren) gibt, die sich vor der Intervention ähnlich verhalten haben.</w:t>
      </w:r>
    </w:p>
    <w:p>
      <w:pPr>
        <w:pStyle w:val="BodyText"/>
      </w:pPr>
      <w:r>
        <w:t xml:space="preserve">Der DiD-Ansatz vergleicht die Veränderung der Ergebnisse in der Behandlungsgruppe vor und nach der Einführung des EHS mit der Veränderung der Ergebnisse in der Kontrollgruppe über denselben Zeitraum. Die zentrale Annahme des DiD-Ansatzes ist die parallele Trend-Annahme, d.h., dass sich die Behandlungsgruppe und die Kontrollgruppe ohne die Intervention des EHS parallel entwickelt hätten. Diese Annahme wird durch visuelle Inspektion der Trends vor der Intervention und durch formale Tests überprüft.</w:t>
      </w:r>
    </w:p>
    <w:p>
      <w:pPr>
        <w:pStyle w:val="BodyText"/>
      </w:pPr>
      <w:r>
        <w:t xml:space="preserve">Die grundlegende DiD-Regression lautet:</w:t>
      </w:r>
      <w:r>
        <w:t xml:space="preserve"> </w:t>
      </w:r>
      <m:oMath>
        <m:sSub>
          <m:e>
            <m:r>
              <m:t>Y</m:t>
            </m:r>
          </m:e>
          <m:sub>
            <m:r>
              <m:t>i</m:t>
            </m:r>
            <m:r>
              <m:t>t</m:t>
            </m:r>
          </m:sub>
        </m:sSub>
        <m:r>
          <m:t>=</m:t>
        </m:r>
        <m:sSub>
          <m:e>
            <m:r>
              <m:t>β</m:t>
            </m:r>
          </m:e>
          <m:sub>
            <m:r>
              <m:t>0</m:t>
            </m:r>
          </m:sub>
        </m:sSub>
        <m:r>
          <m:t>+</m:t>
        </m:r>
        <m:sSub>
          <m:e>
            <m:r>
              <m:t>β</m:t>
            </m:r>
          </m:e>
          <m:sub>
            <m:r>
              <m:t>1</m:t>
            </m:r>
          </m:sub>
        </m:sSub>
        <m:sSub>
          <m:e>
            <m:r>
              <m:rPr>
                <m:nor/>
                <m:sty m:val="p"/>
              </m:rPr>
              <m:t>TREAT</m:t>
            </m:r>
          </m:e>
          <m:sub>
            <m:r>
              <m:t>i</m:t>
            </m:r>
          </m:sub>
        </m:sSub>
        <m:r>
          <m:t>+</m:t>
        </m:r>
        <m:sSub>
          <m:e>
            <m:r>
              <m:t>β</m:t>
            </m:r>
          </m:e>
          <m:sub>
            <m:r>
              <m:t>2</m:t>
            </m:r>
          </m:sub>
        </m:sSub>
        <m:sSub>
          <m:e>
            <m:r>
              <m:rPr>
                <m:nor/>
                <m:sty m:val="p"/>
              </m:rPr>
              <m:t>POST</m:t>
            </m:r>
          </m:e>
          <m:sub>
            <m:r>
              <m:t>t</m:t>
            </m:r>
          </m:sub>
        </m:sSub>
        <m:r>
          <m:t>+</m:t>
        </m:r>
        <m:sSub>
          <m:e>
            <m:r>
              <m:t>β</m:t>
            </m:r>
          </m:e>
          <m:sub>
            <m:r>
              <m:t>3</m:t>
            </m:r>
          </m:sub>
        </m:sSub>
        <m:r>
          <m:t>(</m:t>
        </m:r>
        <m:sSub>
          <m:e>
            <m:r>
              <m:rPr>
                <m:nor/>
                <m:sty m:val="p"/>
              </m:rPr>
              <m:t>TREAT</m:t>
            </m:r>
          </m:e>
          <m:sub>
            <m:r>
              <m:t>i</m:t>
            </m:r>
          </m:sub>
        </m:sSub>
        <m:r>
          <m:t>×</m:t>
        </m:r>
        <m:sSub>
          <m:e>
            <m:r>
              <m:rPr>
                <m:nor/>
                <m:sty m:val="p"/>
              </m:rPr>
              <m:t>POST</m:t>
            </m:r>
          </m:e>
          <m:sub>
            <m:r>
              <m:t>t</m:t>
            </m:r>
          </m:sub>
        </m:sSub>
        <m:r>
          <m:t>)</m:t>
        </m:r>
        <m:r>
          <m:t>+</m:t>
        </m:r>
        <m:sSub>
          <m:e>
            <m:r>
              <m:t>β</m:t>
            </m:r>
          </m:e>
          <m:sub>
            <m:r>
              <m:t>4</m:t>
            </m:r>
          </m:sub>
        </m:sSub>
        <m:sSub>
          <m:e>
            <m:r>
              <m:t>X</m:t>
            </m:r>
          </m:e>
          <m:sub>
            <m:r>
              <m:t>i</m:t>
            </m:r>
            <m:r>
              <m:t>t</m:t>
            </m:r>
          </m:sub>
        </m:sSub>
        <m:r>
          <m:t>+</m:t>
        </m:r>
        <m:sSub>
          <m:e>
            <m:r>
              <m:t>ϵ</m:t>
            </m:r>
          </m:e>
          <m:sub>
            <m:r>
              <m:t>i</m:t>
            </m:r>
            <m:r>
              <m:t>t</m:t>
            </m:r>
          </m:sub>
        </m:sSub>
      </m:oMath>
      <w:r>
        <w:t xml:space="preserve"> </w:t>
      </w:r>
      <w:r>
        <w:t xml:space="preserve">Wobei</w:t>
      </w:r>
      <w:r>
        <w:t xml:space="preserve"> </w:t>
      </w:r>
      <m:oMath>
        <m:sSub>
          <m:e>
            <m:r>
              <m:rPr>
                <m:nor/>
                <m:sty m:val="p"/>
              </m:rPr>
              <m:t>TREAT</m:t>
            </m:r>
          </m:e>
          <m:sub>
            <m:r>
              <m:t>i</m:t>
            </m:r>
          </m:sub>
        </m:sSub>
      </m:oMath>
      <w:r>
        <w:t xml:space="preserve"> </w:t>
      </w:r>
      <w:r>
        <w:t xml:space="preserve">eine Dummy-Variable für die Behandlungsgruppe,</w:t>
      </w:r>
      <w:r>
        <w:t xml:space="preserve"> </w:t>
      </w:r>
      <m:oMath>
        <m:sSub>
          <m:e>
            <m:r>
              <m:rPr>
                <m:nor/>
                <m:sty m:val="p"/>
              </m:rPr>
              <m:t>POST</m:t>
            </m:r>
          </m:e>
          <m:sub>
            <m:r>
              <m:t>t</m:t>
            </m:r>
          </m:sub>
        </m:sSub>
      </m:oMath>
      <w:r>
        <w:t xml:space="preserve"> </w:t>
      </w:r>
      <w:r>
        <w:t xml:space="preserve">eine Dummy-Variable für den Zeitraum nach der Intervention, und</w:t>
      </w:r>
      <w:r>
        <w:t xml:space="preserve"> </w:t>
      </w:r>
      <m:oMath>
        <m:r>
          <m:t>(</m:t>
        </m:r>
        <m:sSub>
          <m:e>
            <m:r>
              <m:rPr>
                <m:nor/>
                <m:sty m:val="p"/>
              </m:rPr>
              <m:t>TREAT</m:t>
            </m:r>
          </m:e>
          <m:sub>
            <m:r>
              <m:t>i</m:t>
            </m:r>
          </m:sub>
        </m:sSub>
        <m:r>
          <m:t>×</m:t>
        </m:r>
        <m:sSub>
          <m:e>
            <m:r>
              <m:rPr>
                <m:nor/>
                <m:sty m:val="p"/>
              </m:rPr>
              <m:t>POST</m:t>
            </m:r>
          </m:e>
          <m:sub>
            <m:r>
              <m:t>t</m:t>
            </m:r>
          </m:sub>
        </m:sSub>
        <m:r>
          <m:t>)</m:t>
        </m:r>
      </m:oMath>
      <w:r>
        <w:t xml:space="preserve"> </w:t>
      </w:r>
      <w:r>
        <w:t xml:space="preserve">der Interaktionsterm ist, dessen Koeffizient</w:t>
      </w:r>
      <w:r>
        <w:t xml:space="preserve"> </w:t>
      </w:r>
      <m:oMath>
        <m:sSub>
          <m:e>
            <m:r>
              <m:t>β</m:t>
            </m:r>
          </m:e>
          <m:sub>
            <m:r>
              <m:t>3</m:t>
            </m:r>
          </m:sub>
        </m:sSub>
      </m:oMath>
      <w:r>
        <w:t xml:space="preserve"> </w:t>
      </w:r>
      <w:r>
        <w:t xml:space="preserve">die geschätzte kausale Wirkung des EHS darstellt. Dieser Ansatz kann besonders bei der Bewertung des EU ETS angewendet werden, indem Länder, die frühzeitig unter das System fielen, mit solchen verglichen werden, die später hinzugefügt wurden oder in bestimmten Sektoren nicht erfasst waren.</w:t>
      </w:r>
    </w:p>
    <w:p>
      <w:pPr>
        <w:pStyle w:val="Heading3"/>
      </w:pPr>
      <w:bookmarkStart w:id="44" w:name="Xdc349e89593b6ff0e33c50b35fd149207df9d34"/>
      <w:r>
        <w:t xml:space="preserve">3.4.3. Herausforderungen und Robustheitsprüfungen</w:t>
      </w:r>
      <w:bookmarkEnd w:id="44"/>
    </w:p>
    <w:p>
      <w:pPr>
        <w:pStyle w:val="FirstParagraph"/>
      </w:pPr>
      <w:r>
        <w:t xml:space="preserve">Die Analyse von EHS ist mit spezifischen methodischen Herausforderungen verbunden, die sorgfältig adressiert werden müssen:</w:t>
      </w:r>
    </w:p>
    <w:p>
      <w:pPr>
        <w:numPr>
          <w:ilvl w:val="0"/>
          <w:numId w:val="1010"/>
        </w:numPr>
        <w:pStyle w:val="Compact"/>
      </w:pPr>
      <w:r>
        <w:rPr>
          <w:b/>
        </w:rPr>
        <w:t xml:space="preserve">Endogenität:</w:t>
      </w:r>
      <w:r>
        <w:t xml:space="preserve"> </w:t>
      </w:r>
      <w:r>
        <w:t xml:space="preserve">Die Einführung eines EHS kann selbst durch Faktoren beeinflusst werden, die auch die Emissionsentwicklung beeinflussen. Zudem können politische Reaktionen auf hohe Emissionspreise die Systemgestaltung verändern. Um Endogenitätsprobleme zu minimieren, werden geeignete Kontrollvariablen einbezogen und, wo möglich, instrumentelle Variablen (IV) oder Granger-Kausalitätstests angewendet (Zhu et al., 2023).</w:t>
      </w:r>
    </w:p>
    <w:p>
      <w:pPr>
        <w:numPr>
          <w:ilvl w:val="0"/>
          <w:numId w:val="1010"/>
        </w:numPr>
        <w:pStyle w:val="Compact"/>
      </w:pPr>
      <w:r>
        <w:rPr>
          <w:b/>
        </w:rPr>
        <w:t xml:space="preserve">Omitted Variable Bias:</w:t>
      </w:r>
      <w:r>
        <w:t xml:space="preserve"> </w:t>
      </w:r>
      <w:r>
        <w:t xml:space="preserve">Die Nichtberücksichtigung wichtiger Einflussfaktoren kann zu verzerrten Schätzungen führen. Durch die umfassende Sammlung von Wirtschafts- und Politikdaten sowie die Verwendung von Paneldatenmodellen (insbesondere Fixed Effects) wird versucht, diese Verzerrungen zu minimieren.</w:t>
      </w:r>
    </w:p>
    <w:p>
      <w:pPr>
        <w:numPr>
          <w:ilvl w:val="0"/>
          <w:numId w:val="1010"/>
        </w:numPr>
        <w:pStyle w:val="Compact"/>
      </w:pPr>
      <w:r>
        <w:rPr>
          <w:b/>
        </w:rPr>
        <w:t xml:space="preserve">Strukturelle Brüche und Politikänderungen:</w:t>
      </w:r>
      <w:r>
        <w:t xml:space="preserve"> </w:t>
      </w:r>
      <w:r>
        <w:t xml:space="preserve">EHS unterliegen oft Reformen und Anpassungen (z.B. Anpassung des Caps, neue Allokationsregeln). Diese strukturellen Brüche müssen in der Analyse berücksichtigt werden, beispielsweise durch die Einführung von Zeit-Dummys oder die Analyse von Subperioden.</w:t>
      </w:r>
    </w:p>
    <w:p>
      <w:pPr>
        <w:numPr>
          <w:ilvl w:val="0"/>
          <w:numId w:val="1010"/>
        </w:numPr>
        <w:pStyle w:val="Compact"/>
      </w:pPr>
      <w:r>
        <w:rPr>
          <w:b/>
        </w:rPr>
        <w:t xml:space="preserve">Aggregationseffekte:</w:t>
      </w:r>
      <w:r>
        <w:t xml:space="preserve"> </w:t>
      </w:r>
      <w:r>
        <w:t xml:space="preserve">Die Analyse auf aggregierter Ebene kann wichtige heterogene Effekte auf Sektor- oder Unternehmensebene verdecken. Wo die Datenlage es zulässt, werden Analysen auf disaggregierter Ebene durchgeführt, um detailliertere Einblicke zu gewinnen.</w:t>
      </w:r>
    </w:p>
    <w:p>
      <w:pPr>
        <w:pStyle w:val="FirstParagraph"/>
      </w:pPr>
      <w:r>
        <w:t xml:space="preserve">Zur Sicherstellung der Robustheit der Ergebnisse werden umfangreiche Sensitivitätsanalysen durchgeführt. Dies beinhaltet die Verwendung alternativer Modellspezifikationen, die Einbeziehung unterschiedlicher Kontrollvariablen, die Variation des Untersuchungszeitraums und die Überprüfung der Ergebnisse unter Ausschluss von Ausreißern. Die statistische Software R oder Stata wird für die Durchführung der Analysen verwendet, um Transparenz und Reproduzierbarkeit zu gewährleisten.</w:t>
      </w:r>
      <w:r>
        <w:t xml:space="preserve"> </w:t>
      </w:r>
      <w:r>
        <w:t xml:space="preserve">Durch die Kombination dieser statistischen Methoden und die kritische Auseinandersetzung mit potenziellen Verzerrungen wird eine fundierte und zuverlässige Bewertung der Klimaschutzwirkung von Emissionshandelssystemen angestrebt. Die Ergebnisse werden dazu beitragen, das Verständnis für die Wirksamkeit und Effizienz dieser wichtigen Klimaschutzinstrumente zu vertiefen und Implikationen für die zukünftige Politikgestaltung abzuleiten.</w:t>
      </w:r>
    </w:p>
    <w:p>
      <w:pPr>
        <w:pStyle w:val="Heading3"/>
      </w:pPr>
      <w:bookmarkStart w:id="45" w:name="Xc86014337626215988d7f6700f1902ec3fdd7fe"/>
      <w:r>
        <w:t xml:space="preserve">Abbildung 2: Prozess der Emissionszertifikatsverwaltung</w:t>
      </w:r>
      <w:bookmarkEnd w:id="45"/>
    </w:p>
    <w:p>
      <w:pPr>
        <w:pStyle w:val="SourceCode"/>
      </w:pPr>
      <w:r>
        <w:rPr>
          <w:rStyle w:val="VerbatimChar"/>
        </w:rPr>
        <w:t xml:space="preserve">+------------------+  +-------------------+  +------------------+</w:t>
      </w:r>
      <w:r>
        <w:br/>
      </w:r>
      <w:r>
        <w:rPr>
          <w:rStyle w:val="VerbatimChar"/>
        </w:rPr>
        <w:t xml:space="preserve">| Unternehmen |  | EHS-Register |  | Marktplatz |</w:t>
      </w:r>
      <w:r>
        <w:br/>
      </w:r>
      <w:r>
        <w:rPr>
          <w:rStyle w:val="VerbatimChar"/>
        </w:rPr>
        <w:t xml:space="preserve">| (Emittent / Händler) |  | (Zertifikate-Konto) |  | (Börse / OTC) |</w:t>
      </w:r>
      <w:r>
        <w:br/>
      </w:r>
      <w:r>
        <w:rPr>
          <w:rStyle w:val="VerbatimChar"/>
        </w:rPr>
        <w:t xml:space="preserve">+--------+---------+  +---------+---------+  +--------+---------+</w:t>
      </w:r>
      <w:r>
        <w:br/>
      </w:r>
      <w:r>
        <w:rPr>
          <w:rStyle w:val="VerbatimChar"/>
        </w:rPr>
        <w:t xml:space="preserve">  |  |  |</w:t>
      </w:r>
      <w:r>
        <w:br/>
      </w:r>
      <w:r>
        <w:rPr>
          <w:rStyle w:val="VerbatimChar"/>
        </w:rPr>
        <w:t xml:space="preserve">  | 1. Emissionen |  |</w:t>
      </w:r>
      <w:r>
        <w:br/>
      </w:r>
      <w:r>
        <w:rPr>
          <w:rStyle w:val="VerbatimChar"/>
        </w:rPr>
        <w:t xml:space="preserve">  | melden |  |</w:t>
      </w:r>
      <w:r>
        <w:br/>
      </w:r>
      <w:r>
        <w:rPr>
          <w:rStyle w:val="VerbatimChar"/>
        </w:rPr>
        <w:t xml:space="preserve"> +----------------------&gt; |  |</w:t>
      </w:r>
      <w:r>
        <w:br/>
      </w:r>
      <w:r>
        <w:rPr>
          <w:rStyle w:val="VerbatimChar"/>
        </w:rPr>
        <w:t xml:space="preserve">  |  |  |</w:t>
      </w:r>
      <w:r>
        <w:br/>
      </w:r>
      <w:r>
        <w:rPr>
          <w:rStyle w:val="VerbatimChar"/>
        </w:rPr>
        <w:t xml:space="preserve">  | 2. Zertifikate |  |</w:t>
      </w:r>
      <w:r>
        <w:br/>
      </w:r>
      <w:r>
        <w:rPr>
          <w:rStyle w:val="VerbatimChar"/>
        </w:rPr>
        <w:t xml:space="preserve">  | zuteilen/kaufen |&lt;----------------------+</w:t>
      </w:r>
      <w:r>
        <w:br/>
      </w:r>
      <w:r>
        <w:rPr>
          <w:rStyle w:val="VerbatimChar"/>
        </w:rPr>
        <w:t xml:space="preserve">  |&lt;----------------------+|</w:t>
      </w:r>
      <w:r>
        <w:br/>
      </w:r>
      <w:r>
        <w:rPr>
          <w:rStyle w:val="VerbatimChar"/>
        </w:rPr>
        <w:t xml:space="preserve">  |  |  |</w:t>
      </w:r>
      <w:r>
        <w:br/>
      </w:r>
      <w:r>
        <w:rPr>
          <w:rStyle w:val="VerbatimChar"/>
        </w:rPr>
        <w:t xml:space="preserve">  | 3. Handel |  |</w:t>
      </w:r>
      <w:r>
        <w:br/>
      </w:r>
      <w:r>
        <w:rPr>
          <w:rStyle w:val="VerbatimChar"/>
        </w:rPr>
        <w:t xml:space="preserve">  | (Kauf/Verkauf)  +----------------------&gt; |</w:t>
      </w:r>
      <w:r>
        <w:br/>
      </w:r>
      <w:r>
        <w:rPr>
          <w:rStyle w:val="VerbatimChar"/>
        </w:rPr>
        <w:t xml:space="preserve">  |&lt;----------------------------------------------+</w:t>
      </w:r>
      <w:r>
        <w:br/>
      </w:r>
      <w:r>
        <w:rPr>
          <w:rStyle w:val="VerbatimChar"/>
        </w:rPr>
        <w:t xml:space="preserve">  |  |  |</w:t>
      </w:r>
      <w:r>
        <w:br/>
      </w:r>
      <w:r>
        <w:rPr>
          <w:rStyle w:val="VerbatimChar"/>
        </w:rPr>
        <w:t xml:space="preserve">  | 4. Zertifikate |  |</w:t>
      </w:r>
      <w:r>
        <w:br/>
      </w:r>
      <w:r>
        <w:rPr>
          <w:rStyle w:val="VerbatimChar"/>
        </w:rPr>
        <w:t xml:space="preserve">  | abgeben (jährlich) |  |</w:t>
      </w:r>
      <w:r>
        <w:br/>
      </w:r>
      <w:r>
        <w:rPr>
          <w:rStyle w:val="VerbatimChar"/>
        </w:rPr>
        <w:t xml:space="preserve"> +----------------------&gt; |  |</w:t>
      </w:r>
      <w:r>
        <w:br/>
      </w:r>
      <w:r>
        <w:rPr>
          <w:rStyle w:val="VerbatimChar"/>
        </w:rPr>
        <w:t xml:space="preserve">  |  |  |</w:t>
      </w:r>
      <w:r>
        <w:br/>
      </w:r>
      <w:r>
        <w:rPr>
          <w:rStyle w:val="VerbatimChar"/>
        </w:rPr>
        <w:t xml:space="preserve">  | 5. Compliance- |  |</w:t>
      </w:r>
      <w:r>
        <w:br/>
      </w:r>
      <w:r>
        <w:rPr>
          <w:rStyle w:val="VerbatimChar"/>
        </w:rPr>
        <w:t xml:space="preserve">  | Prüfung |  |</w:t>
      </w:r>
      <w:r>
        <w:br/>
      </w:r>
      <w:r>
        <w:rPr>
          <w:rStyle w:val="VerbatimChar"/>
        </w:rPr>
        <w:t xml:space="preserve">  |&lt;----------------------+|</w:t>
      </w:r>
      <w:r>
        <w:br/>
      </w:r>
      <w:r>
        <w:rPr>
          <w:rStyle w:val="VerbatimChar"/>
        </w:rPr>
        <w:t xml:space="preserve">  |  |  |</w:t>
      </w:r>
      <w:r>
        <w:br/>
      </w:r>
      <w:r>
        <w:rPr>
          <w:rStyle w:val="VerbatimChar"/>
        </w:rPr>
        <w:t xml:space="preserve">+--------+---------+  +---------+---------+  +--------+---------+</w:t>
      </w:r>
    </w:p>
    <w:p>
      <w:pPr>
        <w:pStyle w:val="FirstParagraph"/>
      </w:pPr>
      <w:r>
        <w:rPr>
          <w:i/>
        </w:rPr>
        <w:t xml:space="preserve">Anmerkung: Dieses Flussdiagramm stellt den Lebenszyklus eines Emissionszertifikats im Kontext eines Handelssystems dar, von der Meldung der Emissionen über die Zuteilung und den Handel bis zur jährlichen Abgabe und Compliance-Prüfung.</w:t>
      </w:r>
    </w:p>
    <w:p>
      <w:pPr>
        <w:pStyle w:val="Heading2"/>
      </w:pPr>
      <w:bookmarkStart w:id="46" w:name="analyse"/>
      <w:r>
        <w:t xml:space="preserve">Analyse</w:t>
      </w:r>
      <w:bookmarkEnd w:id="46"/>
    </w:p>
    <w:p>
      <w:pPr>
        <w:pStyle w:val="FirstParagraph"/>
      </w:pPr>
      <w:r>
        <w:t xml:space="preserve">Die Analyse der CO2-Handelssysteme und ihrer Auswirkungen auf den Klimaschutz erfordert eine multidimensionale Betrachtung, die sowohl theoretische Grundlagen als auch empirische Evidenz und spezifische Fallstudien umfasst. Ziel dieses Abschnitts ist es, die Wirksamkeit von Emissionshandelssystemen (EHS) bei der Reduktion von Treibhausgasemissionen zu beleuchten, die zugrunde liegenden Preisbildungs- und Marktmechanismen zu untersuchen und detaillierte Einblicke in prominente Fallstudien wie das EU-EHS, das kalifornische EHS und das chinesische EHS zu geben. Darüber hinaus werden EHS mit anderen Klimaschutzinstrumenten verglichen und die empirischen Belege für ihre Klimaschutzwirkung zusammenfassend dargestellt. Diese umfassende Analyse soll ein fundiertes Verständnis der Stärken, Schwächen und des Potenzials von CO2-Handelssystemen als zentrales Instrument der Klimapolitik vermitteln.</w:t>
      </w:r>
    </w:p>
    <w:p>
      <w:pPr>
        <w:pStyle w:val="BodyText"/>
      </w:pPr>
      <w:r>
        <w:t xml:space="preserve">Die Einführung von CO2-Handelssystemen markiert einen Paradigmenwechsel in der Umweltpolitik, weg von traditionellen „Command-and-Control“-Regulierungen hin zu marktbasierten Ansätzen, die Anreize für emissionsminderndes Verhalten schaffen (Woerdman, 2004). Das grundlegende Prinzip des Emissionshandels basiert auf der Idee, ein festes Emissionslimit (Cap) festzulegen und Emissionsrechte innerhalb dieses Limits zu verteilen. Unternehmen, deren Emissionskosten unter dem Marktpreis für Emissionsrechte liegen, können ihre Emissionen reduzieren und überschüssige Rechte verkaufen, während Unternehmen mit höheren Reduktionskosten Rechte zukaufen können. Dieser Mechanismus fördert die Kosteneffizienz bei der Emissionsreduktion, da die Reduktionen dort stattfinden, wo sie am günstigsten sind (Bohm, 2002). Die Effektivität eines solchen Systems hängt maßgeblich von der Ausgestaltung des Caps ab, das eine hinreichende Knappheit der Emissionsrechte gewährleisten muss, um einen aussagekräftigen Preis zu generieren und somit Investitionen in saubere Technologien zu stimulieren (Digitemie &amp; Ekemezie, 2024).</w:t>
      </w:r>
    </w:p>
    <w:p>
      <w:pPr>
        <w:pStyle w:val="BodyText"/>
      </w:pPr>
      <w:r>
        <w:t xml:space="preserve">Die Analyse der Emissionsreduktionen durch CO2-Handelssysteme erfordert eine sorgfältige Betrachtung der direkten und indirekten Effekte dieser Instrumente. Direkt zwingt das Cap die Gesamtemissionen der erfassten Sektoren auf ein vordefiniertes Niveau zu senken. Die Höhe dieses Caps wird über die Zeit progressiv reduziert, um ambitionierte Klimaziele zu erreichen. Diese mengenbasierte Steuerung unterscheidet den Emissionshandel fundamental von einer CO2-Steuer, die preisbasiert ist und bei der die Emissionsmengen nicht von vornherein feststehen (Pigato, 2018). Der Preis für Emissionsrechte, der sich auf dem Markt bildet, internalisiert die externen Kosten von CO2-Emissionen und schafft somit einen direkten Anreiz für Unternehmen, in Emissionsminderungstechnologien und -prozesse zu investieren (Digitemie &amp; Ekemezie, 2024). Unternehmen sind motiviert, ihre Emissionen zu senken, solange die Grenzkosten der Reduktion unter dem Marktpreis für Emissionsrechte liegen. Dies führt zu einer effizienten Allokation der Reduktionsanstrengungen über die gesamte Wirtschaft hinweg.</w:t>
      </w:r>
    </w:p>
    <w:p>
      <w:pPr>
        <w:pStyle w:val="BodyText"/>
      </w:pPr>
      <w:r>
        <w:t xml:space="preserve">Indirekte Effekte des Emissionshandels umfassen die Förderung von Innovationen und technologischem Fortschritt. Ein stabiler und ausreichend hoher CO2-Preis signalisiert den Unternehmen, dass Investitionen in grüne Technologien langfristig rentabel sein werden (Levi-Bliech &amp; Dahan, 2025). Dies kann zu einer beschleunigten Entwicklung und Implementierung von kohlenstoffarmen Technologien führen, die über die direkt regulierten Sektoren hinaus positive Spillover-Effekte auf andere Wirtschaftsbereiche haben können (Bhowmik et al., 2022). Die Etablierung eines CO2-Preises kann auch das Verhalten von Konsumenten und Investoren beeinflussen, indem Produkte und Dienstleistungen mit geringerem CO2-Fußabdruck attraktiver werden. Langfristig können diese dynamischen Effekte die Dekarbonisierung der Wirtschaft erheblich vorantreiben und die Erreichung ehrgeiziger Klimaziele unterstützen (Digitemie &amp; Ekemezie, 2024). Die Wirksamkeit dieser indirekten Effekte hängt jedoch stark von der Stabilität und Glaubwürdigkeit des politischen Rahmens ab, der das EHS umgibt. Unsicherheit über zukünftige Caps oder politische Interventionen kann Investitionen bremsen und die Innovationsanreize schwächen.</w:t>
      </w:r>
    </w:p>
    <w:p>
      <w:pPr>
        <w:pStyle w:val="BodyText"/>
      </w:pPr>
      <w:r>
        <w:t xml:space="preserve">Die detaillierte Betrachtung der Emissionsreduktionen durch CO2-Handel muss über die bloße Feststellung direkter und indirekter Effekte hinausgehen und sich mit den spezifischen Mechanismen befassen, durch die diese Reduktionen erreicht werden. Unternehmen, die unter einem EHS fallen, haben im Wesentlichen drei Optionen, um ihre Compliance-Verpflichtungen zu erfüllen: erstens, die Reduzierung ihrer eigenen Emissionen durch Investitionen in effizientere Technologien oder Prozessänderungen; zweitens, der Kauf von Emissionsrechten auf dem Markt von anderen Unternehmen, die ihre Emissionen kostengünstiger reduzieren konnten; und drittens, in einigen Systemen, die Nutzung von Offset-Gutschriften aus Projekten außerhalb des EHS-Sektors, beispielsweise aus der Aufforstung oder der Minderung von Methanemissionen in der Landwirtschaft (Black, 2018). Die optimale Kombination dieser Optionen wird durch die relativen Kosten der Emissionsreduktion und den Marktpreis für Emissionsrechte bestimmt. Dieses flexible System stellt sicher, dass die Emissionen dort reduziert werden, wo es am kostengünstigsten ist, was die Gesamtkosten der Klimaschutzmaßnahmen für die Wirtschaft minimiert (Bohm, 2002).</w:t>
      </w:r>
    </w:p>
    <w:p>
      <w:pPr>
        <w:pStyle w:val="BodyText"/>
      </w:pPr>
      <w:r>
        <w:t xml:space="preserve">Die Effizienz des EHS wird durch das Konzept der Grenzkosten der Emissionsminderung untermauert. Im Idealfall führt der Marktmechanismus dazu, dass die Grenzkosten der Emissionsminderung für alle beteiligten Unternehmen gleich dem Marktpreis für Emissionsrechte sind. Dies ist das ökonomische Effizienzkriterium, da keine weiteren Reduktionen zu geringeren Gesamtkosten erzielt werden könnten. Studien zur Preisfindung im EU-EHS haben gezeigt, dass der CO2-Preis in der Tat eine Rolle bei Investitionsentscheidungen spielt, obwohl andere Faktoren wie Energiepreise und technologische Verfügbarkeit ebenfalls von Bedeutung sind. Die Emissionsreduktionen manifestieren sich in verschiedenen Sektoren auf unterschiedliche Weise. Im Stromsektor führt ein steigender CO2-Preis beispielsweise zu einer Verschiebung weg von kohlebasierter Stromerzeugung hin zu Gas und erneuerbaren Energien, da die variablen Kosten der Kohleverstromung durch den CO2-Preis steigen (Edwin &amp; Josephine, 2023). Die langfristige Transformation erfordert jedoch massive Investitionen in erneuerbare Energien, Netzinfrastruktur und Speichersysteme, die über die direkten Anreize des CO2-Preises hinausgehende politische Unterstützung benötigen können.</w:t>
      </w:r>
    </w:p>
    <w:p>
      <w:pPr>
        <w:pStyle w:val="BodyText"/>
      </w:pPr>
      <w:r>
        <w:t xml:space="preserve">In energieintensiven Industrien wie Zement, Stahl und Chemie sind die Reduktionsmöglichkeiten oft komplexer und mit höheren Kosten verbunden. Hier sind bahnbrechende Technologien wie Wasserstoff in der Stahlproduktion oder Carbon Capture and Storage (CCS) in der Zementindustrie erforderlich. Der CO2-Preis allein mag in diesen Sektoren nicht ausreichen, um die enormen Anfangsinvestitionen und die damit verbundenen Risiken zu decken (Bhowmik et al., 2022). Hier spielen Subventionen für Forschung und Entwicklung, Demonstrationsprojekte und innovative Finanzierungsmechanismen eine ergänzende Rolle. Das EHS setzt jedoch den grundlegenden Anreiz für diese Sektoren, sich mit Dekarbonisierungsstrategien auseinanderzusetzen und die Entwicklung dieser Technologien voranzutreiben. Die Integration von Offsets, die aus Projekten außerhalb des regulierten EHS-Sektors stammen, kann eine zusätzliche Flexibilität bieten und die Gesamtkosten der Compliance senken, birgt jedoch das Risiko, dass die Qualität und Zusätzlichkeit dieser Offsets nicht immer gewährleistet ist (Swinfield &amp; Toye Scott, 2025). Eine sorgfältige Überprüfung und Zertifizierung von Offsets ist daher unerlässlich, um die Integrität des Systems zu wahren.</w:t>
      </w:r>
    </w:p>
    <w:p>
      <w:pPr>
        <w:pStyle w:val="BodyText"/>
      </w:pPr>
      <w:r>
        <w:t xml:space="preserve">Die Preisgestaltung und die Marktmechanismen sind das Herzstück jedes CO2-Handelssystems und bestimmen maßgeblich dessen Effektivität und Effizienz. Der Preis für Emissionsrechte wird durch Angebot und Nachfrage bestimmt. Das Angebot wird durch das Cap und die Allokationsmethode (Versteigerung oder kostenlose Zuteilung) festgelegt, während die Nachfrage von den Emissionsminderungsbedürfnissen der Unternehmen und ihren Reduktionskosten abhängt (Raufer &amp; Iyer, 2012). Ein gut funktionierender Markt erfordert Transparenz, Liquidität und eine effiziente Preisbildung. Anfängliche Allokationsentscheidungen haben weitreichende Konsequenzen. Eine kostenlose Zuteilung kann anfängliche Widerstände gegen das System mindern, birgt jedoch das Risiko von Windfall-Profits für Unternehmen, die Emissionsrechte erhalten, aber ihre Emissionen ohnehin reduziert hätten oder die Kosten auf die Konsumenten überwälzen können (Peeters, 2008). Eine Versteigerung der Emissionsrechte hingegen generiert Einnahmen für den Staat, die für weitere Klimaschutzmaßnahmen oder zur Entlastung der Bürger verwendet werden können, und vermeidet die genannten Windfall-Profits (Pigato, 2018).</w:t>
      </w:r>
    </w:p>
    <w:p>
      <w:pPr>
        <w:pStyle w:val="BodyText"/>
      </w:pPr>
      <w:r>
        <w:t xml:space="preserve">Ein zentrales Thema bei der Preisgestaltung ist die Preisvolatilität. Schwankungen des CO2-Preises können die Investitionssicherheit für Unternehmen untergraben und die Planbarkeit von Emissionsreduktionsmaßnahmen erschweren. Mechanismen zur Preisstabilisierung, wie eine Marktstabilitätsreserve (MSR) im EU-EHS, wurden eingeführt, um Überschüsse oder Engpässe an Emissionsrechten auszugleichen und so extremen Preisschwankungen entgegenzuwirken (Wildgrube, 2023). Die MSR passt das Angebot an Emissionsrechten automatisch an die Marktbedingungen an, indem sie bei einem Überschuss Rechte in die Reserve verschiebt und bei einem Mangel Rechte freigibt. Eine weitere Möglichkeit zur Preisstabilisierung sind Preisunter- und -obergrenzen (Price Collars), die einen Korridor für den CO2-Preis definieren. Während Preisuntergrenzen eine Mindestrentabilität für Investitionen in emissionsarme Technologien sichern, können Preisobergrenzen die Kosten für Unternehmen in Zeiten hoher Preise deckeln (Black, 2018). Die Möglichkeit des Bankings (Ansparen von Emissionsrechten für zukünftige Perioden) und Borrowings (Vorziehen von Emissionsrechten aus zukünftigen Perioden) tragen ebenfalls zur Marktflexibilität und Preisstabilisierung bei, indem sie Unternehmen ermöglichen, ihre Reduktionsstrategien über die Zeit zu optimieren (Black, 2018).</w:t>
      </w:r>
    </w:p>
    <w:p>
      <w:pPr>
        <w:pStyle w:val="BodyText"/>
      </w:pPr>
      <w:r>
        <w:t xml:space="preserve">Die Diskussion der Preisgestaltung und Marktmechanismen muss ebenfalls vertieft werden, um die Komplexität und die evolutionäre Natur dieser Systeme zu erfassen. Die Allokationsmethoden, insbesondere die Unterscheidung zwischen kostenloser Zuteilung und Versteigerung, sind von zentraler Bedeutung. Die kostenlose Zuteilung wurde in den Anfangsphasen vieler EHS, einschließlich des EU-EHS und des C-EHS, verwendet, um die Akzeptanz bei den Industrieunternehmen zu erhöhen und Bedenken hinsichtlich der internationalen Wettbewerbsfähigkeit zu adressieren (Peeters, 2008). Eine zunehmende Versteigerung von Emissionsrechten, wie sie im EU-EHS angestrebt und in Kalifornien praktiziert wird, gilt als ökonomisch effizienter und generiert zudem Einnahmen, die für Klimaschutzinvestitionen oder zur Entlastung der Bürger genutzt werden können (Pigato, 2018). Die Transparenz der Allokationsentscheidungen und die Vermeidung von Lobbyeinflüssen sind dabei entscheidend für die Integrität des Marktes.</w:t>
      </w:r>
    </w:p>
    <w:p>
      <w:pPr>
        <w:pStyle w:val="BodyText"/>
      </w:pPr>
      <w:r>
        <w:t xml:space="preserve">Ein weiterer wichtiger Aspekt der Marktmechanismen ist die Rolle der Finanzmärkte und der Spekulation. Emissionsrechte sind handelbare Güter, und wie andere Rohstoffe können sie Gegenstand von Spekulation sein. Während Spekulation die Liquidität des Marktes erhöhen und zur Preisbildung beitragen kann, können übermäßige spekulative Aktivitäten auch zu Preisvolatilität führen, die über die fundamentalen Marktbedingungen hinausgeht. Die Regulierung der Finanzmärkte, die mit Emissionsrechten handeln, ist daher wichtig, um Marktmanipulationen vorzubeugen und die Integrität des Preissignals zu schützen. Die Möglichkeit des Bankings (Ansparen von Rechten für die Zukunft) und Borrowings (Vorziehen von Rechten aus der Zukunft) ist ebenfalls ein entscheidender Mechanismus zur Glättung von Preisschwankungen und zur Effizienzsteigerung. Banking erlaubt es Unternehmen, in Jahren mit geringen Reduktionskosten mehr zu reduzieren und die überschüssigen Rechte für Jahre mit höheren Reduktionskosten oder strengeren Caps zu speichern. Dies fördert langfristige Investitionen in Emissionsminderung und schafft mehr Flexibilität (Black, 2018).</w:t>
      </w:r>
    </w:p>
    <w:p>
      <w:pPr>
        <w:pStyle w:val="BodyText"/>
      </w:pPr>
      <w:r>
        <w:t xml:space="preserve">Die Wechselwirkung zwischen CO2-Handel und anderen Energie- und Klimapolitiken ist komplex und kann die Preisbildung erheblich beeinflussen. Subventionen für erneuerbare Energien oder Energieeffizienzmaßnahmen können beispielsweise die Nachfrage nach Emissionsrechten senken, da sie zu geringeren Emissionen führen. Dies kann den CO2-Preis drücken und die Anreizwirkung des EHS schwächen, wenn das Cap nicht entsprechend angepasst wird. Eine kohärente Politikgestaltung ist daher entscheidend, um unerwünschte Nebeneffekte zu vermeiden und die verschiedenen Instrumente synergetisch wirken zu lassen (Peeters, 2008). Die Integration von CO2-Handelssystemen in einen breiteren politischen Rahmen, der auch Forschungs- und Entwicklungsförderung für neue Technologien umfasst, kann die Dekarbonisierung zusätzlich beschleunigen.</w:t>
      </w:r>
    </w:p>
    <w:p>
      <w:pPr>
        <w:pStyle w:val="BodyText"/>
      </w:pPr>
      <w:r>
        <w:t xml:space="preserve">Die Interaktion mit anderen Politikbereichen ist ein kritischer Faktor, der die Funktionsweise von EHS beeinflusst. Beispielsweise können Energieeffizienzstandards oder Subventionen für erneuerbare Energien die Nachfrage nach Emissionsrechten senken, da sie zu geringeren Emissionen führen. Wenn das Cap nicht entsprechend angepasst wird, kann dies die Anreizwirkung des EHS mindern. Umgekehrt können Maßnahmen, die die Energienachfrage erhöhen oder die Kosten für erneuerbare Energien steigern, den CO2-Preis in die Höhe treiben. Eine kohärente und integrierte Klimapolitik, die das EHS als zentrales Instrument versteht, aber auch andere Instrumente zur Adressierung von Marktversagen (z.B. Informationsasymmetrien, Infrastrukturinvestitionen) nutzt, ist daher von größter Bedeutung (Peeters, 2008). Die Abstimmung zwischen nationalen und supranationalen Politikmaßnahmen, wie im Fall der EU, ist ebenfalls entscheidend, um Fragmentierung und Ineffizienzen zu vermeiden.</w:t>
      </w:r>
    </w:p>
    <w:p>
      <w:pPr>
        <w:pStyle w:val="BodyText"/>
      </w:pPr>
      <w:r>
        <w:t xml:space="preserve">Die Wirksamkeit und Herausforderungen von CO2-Handelssystemen lassen sich am besten durch die Untersuchung von Fallstudien illustrieren. Das</w:t>
      </w:r>
      <w:r>
        <w:t xml:space="preserve"> </w:t>
      </w:r>
      <w:r>
        <w:rPr>
          <w:b/>
        </w:rPr>
        <w:t xml:space="preserve">Europäische Emissionshandelssystem (EU-EHS)</w:t>
      </w:r>
      <w:r>
        <w:t xml:space="preserve"> </w:t>
      </w:r>
      <w:r>
        <w:t xml:space="preserve">ist das größte und am längsten bestehende EHS weltweit und erstreckt sich über 31 Länder (die 27 EU-Mitgliedstaaten plus Island, Liechtenstein, Norwegen und Nordirland) (Edwin &amp; Josephine, 2023). Es wurde 2005 eingeführt und deckt rund 40% der EU-Treibhausgasemissionen ab, hauptsächlich aus der Stromerzeugung, energieintensiven Industrien und dem inner-europäischen Luftverkehr. Das EU-EHS hat sich über mehrere Handelsperioden entwickelt, wobei jede Periode auf den Erfahrungen der vorherigen aufbaute und Reformen zur Verbesserung der Wirksamkeit und Effizienz implementiert wurden.</w:t>
      </w:r>
    </w:p>
    <w:p>
      <w:pPr>
        <w:pStyle w:val="BodyText"/>
      </w:pPr>
      <w:r>
        <w:t xml:space="preserve">In den frühen Phasen (2005-2007 und 2008-2012) litt das EU-EHS unter einer Überallokation von Emissionsrechten, was zu einem Einbruch des CO2-Preises führte und die Anreizwirkung für Emissionsreduktionen schwächte (Eslahi et al., 2026). Dies war hauptsächlich auf eine unzureichende Datenlage bei der Festlegung der nationalen Allokationspläne und die Auswirkungen der Finanzkrise von 2008 zurückzuführen, die zu einem unerwarteten Rückgang der Emissionen führte. Als Reaktion darauf wurden ab der dritten Handelsperiode (2013-2020) umfangreiche Reformen eingeführt. Die kostenlose Zuteilung wurde reduziert, und ein größerer Anteil der Rechte wurde versteigert. Das Cap wurde auf EU-Ebene festgelegt, um eine Überallokation wie in den ersten Perioden zu vermeiden. Die Einführung der</w:t>
      </w:r>
      <w:r>
        <w:t xml:space="preserve"> </w:t>
      </w:r>
      <w:r>
        <w:rPr>
          <w:b/>
        </w:rPr>
        <w:t xml:space="preserve">Marktstabilitätsreserve (MSR)</w:t>
      </w:r>
      <w:r>
        <w:t xml:space="preserve"> </w:t>
      </w:r>
      <w:r>
        <w:t xml:space="preserve">im Jahr 2019 war eine weitere entscheidende Reform, um die strukturelle Überschuss an Emissionsrechten zu adressieren und die Preisvolatilität zu mindern (Wildgrube, 2023). Die MSR passt das Volumen der zu versteigernden Zertifikate automatisch an die Marktbedingungen an, indem sie bei einem Überschuss Rechte in die Reserve verschiebt und bei einem Mangel Rechte freigibt. Dies hat zu einer deutlichen Stärkung des CO2-Preises und damit zu einer erhöhten Anreizwirkung für Emissionsreduktionen geführt (Wildgrube, 2023).</w:t>
      </w:r>
    </w:p>
    <w:p>
      <w:pPr>
        <w:pStyle w:val="BodyText"/>
      </w:pPr>
      <w:r>
        <w:t xml:space="preserve">Die jüngsten Reformen im Rahmen des „Fit for 55“-Pakets der EU zielen darauf ab, die Klimaziele bis 2030 weiter zu verschärfen und das EHS auf neue Sektoren auszudehnen (Martinus &amp; Laopirun, 2023). Das lineare Reduktionsfaktor des Caps wird erhöht, und es ist geplant, den Seeverkehr in das EHS aufzunehmen und ein separates EHS für Gebäude und Straßenverkehr einzuführen. Diese Maßnahmen sollen sicherstellen, dass das EU-EHS seinen Beitrag zum ambitionierten Ziel der EU leistet, die Netto-Treibhausgasemissionen bis 2030 um mindestens 55% gegenüber 1990 zu senken. Empirische Analysen bestätigen, dass das EU-EHS zu signifikanten Emissionsreduktionen in den erfassten Sektoren geführt hat, insbesondere seit den Reformen, die den CO2-Preis gestärkt haben (Eslahi et al., 2026)(Edwin &amp; Josephine, 2023). Die Gesamtemissionen der vom EU-EHS erfassten Sektoren sind seit seiner Einführung deutlich zurückgegangen, was die Wirksamkeit dieses Instruments unterstreicht, auch wenn die genaue Quantifizierung des kausalen Effekts komplex bleibt.</w:t>
      </w:r>
    </w:p>
    <w:p>
      <w:pPr>
        <w:pStyle w:val="BodyText"/>
      </w:pPr>
      <w:r>
        <w:t xml:space="preserve">Die Fallstudien verdienen eine noch tiefere Betrachtung, um die Nuancen und die Evolution der EHS zu verdeutlichen. Im Falle des EU-EHS hat die Entwicklung des Systems gezeigt, dass die Anpassungsfähigkeit an politische und wirtschaftliche Realitäten entscheidend ist. Die Einführung der MSR war eine direkte Reaktion auf das Problem des Überschusses, das durch die Wirtschaftskrise und die anfängliche Überallokation verstärkt wurde. Diese Reform demonstrierte die Fähigkeit der EU, aus Fehlern zu lernen und das System zu stärken. Die Erweiterung des Geltungsbereichs auf den Seeverkehr und die Schaffung eines separaten EHS für Gebäude und Verkehr sind Beispiele für die politische Ambition, das EHS zu einem noch umfassenderen Instrument zu machen (Martinus &amp; Laopirun, 2023). Diese Erweiterungen sind jedoch nicht ohne Herausforderungen, insbesondere im Hinblick auf die Verteilungswirkungen und die Akzeptanz bei den Bürgern. Die Notwendigkeit, einen fairen Übergang zu gewährleisten und soziale Ungleichheiten abzufedern, ist ein zentrales Thema bei der weiteren Entwicklung des EU-EHS.</w:t>
      </w:r>
    </w:p>
    <w:p>
      <w:pPr>
        <w:pStyle w:val="BodyText"/>
      </w:pPr>
      <w:r>
        <w:t xml:space="preserve">Das</w:t>
      </w:r>
      <w:r>
        <w:t xml:space="preserve"> </w:t>
      </w:r>
      <w:r>
        <w:rPr>
          <w:b/>
        </w:rPr>
        <w:t xml:space="preserve">kalifornische Cap-and-Trade-Programm</w:t>
      </w:r>
      <w:r>
        <w:t xml:space="preserve">, das 2013 eingeführt wurde, ist ein weiteres prominentes Beispiel für ein erfolgreiches EHS. Es ist das größte grenzüberschreitende Kohlenstoffmarktsystem in Nordamerika, das mit dem System von Québec (Kanada) verbunden ist. Das kalifornische Programm deckt etwa 85% der gesamten Treibhausgasemissionen des Bundesstaates ab, einschließlich der Stromerzeugung, der Industrie und des Verkehrs. Ein wesentliches Merkmal des kalifornischen Systems ist die Kombination aus Versteigerung und kostenloser Zuteilung von Emissionsrechten, wobei der Anteil der Versteigerungen im Laufe der Zeit zunimmt. Das Programm beinhaltet auch eine Preisuntergrenze (Auction Reserve Price) und eine Preisobergrenze (Cost Containment Reserve), um extreme Preisschwankungen zu vermeiden und eine gewisse Planungssicherheit für Unternehmen zu gewährleisten. Die Einnahmen aus den Versteigerungen werden in Klimaschutzprojekte investiert, die den Übergang zu einer kohlenstoffarmen Wirtschaft unterstützen und Gemeinden zugutekommen, die von Umweltverschmutzung betroffen sind. Seit seiner Einführung hat das kalifornische Cap-and-Trade-Programm dazu beigetragen, die Emissionen des Bundesstaates zu senken und die Wirtschaft gleichzeitig wachsen zu lassen. Die Verknüpfung mit Québec hat zudem die Marktliquidität erhöht und die Kosteneffizienz verbessert, indem Unternehmen Zugang zu einem größeren Pool an Reduktionsmöglichkeiten erhalten.</w:t>
      </w:r>
    </w:p>
    <w:p>
      <w:pPr>
        <w:pStyle w:val="BodyText"/>
      </w:pPr>
      <w:r>
        <w:t xml:space="preserve">Das kalifornische Cap-and-Trade-Programm hat sich als Modell für subnationale und regionale EHS etabliert. Seine Designmerkmale, wie die Preisunter- und -obergrenzen, bieten eine hohe Planungssicherheit und minimieren das Risiko extremer Preisschwankungen. Die Kopplung mit Québec zeigt das Potenzial für die Schaffung größerer, grenzüberschreitender Märkte, die die Effizienz durch einen breiteren Pool an Reduktionsmöglichkeiten erhöhen. Die Einnahmen aus dem kalifornischen System, die für Klimaschutzprogramme verwendet werden, sind ein wichtiges Element, um die soziale Akzeptanz zu erhöhen und die Transformation zu beschleunigen. Die Herausforderungen liegen jedoch in der Aufrechterhaltung der politischen Unterstützung und der Anpassung an sich ändernde Klimaziele und technologische Entwicklungen.</w:t>
      </w:r>
    </w:p>
    <w:p>
      <w:pPr>
        <w:pStyle w:val="BodyText"/>
      </w:pPr>
      <w:r>
        <w:t xml:space="preserve">Das</w:t>
      </w:r>
      <w:r>
        <w:t xml:space="preserve"> </w:t>
      </w:r>
      <w:r>
        <w:rPr>
          <w:b/>
        </w:rPr>
        <w:t xml:space="preserve">chinesische nationale Emissionshandelssystem (C-EHS)</w:t>
      </w:r>
      <w:r>
        <w:t xml:space="preserve"> </w:t>
      </w:r>
      <w:r>
        <w:t xml:space="preserve">ist das größte EHS der Welt in Bezug auf die abgedeckten Emissionen und wurde 2021 offiziell gestartet. Vor der nationalen Einführung wurden ab 2013 sieben regionale Pilot-EHS-Programme in verschiedenen Städten und Provinzen Chinas implementiert, die wertvolle Erfahrungen für das Design des nationalen Systems lieferten (Zhu et al., 2023). Das C-EHS konzentriert sich zunächst auf den Stromsektor, der für etwa 40% der gesamten CO2-Emissionen Chinas verantwortlich ist. Langfristig ist geplant, weitere Sektoren wie Zement, Stahl und Aluminium in das System zu integrieren. Im Gegensatz zum EU-EHS und dem kalifornischen System basiert das C-EHS derzeit hauptsächlich auf kostenloser Zuteilung von Emissionsrechten, obwohl Pläne für eine schrittweise Einführung von Versteigerungen bestehen (Zhao et al., 2024). Die anfängliche Designphase des C-EHS zielte darauf ab, die Akzeptanz bei den Unternehmen zu fördern und die Marktfähigkeit des Systems zu testen.</w:t>
      </w:r>
    </w:p>
    <w:p>
      <w:pPr>
        <w:pStyle w:val="BodyText"/>
      </w:pPr>
      <w:r>
        <w:t xml:space="preserve">Erste empirische Analysen des chinesischen EHS zeigen, dass es bereits zu Emissionsreduktionen im Stromsektor beigetragen hat, obwohl der CO2-Preis in den Anfangsjahren relativ niedrig war und die Volatilität hoch war (Zhu et al., 2023). Herausforderungen für das C-EHS umfassen die Verbesserung der Datenqualität, die Stärkung der Markttransparenz und die Entwicklung robuster Verifizierungs- und Durchsetzungsmechanismen. Die chinesische Regierung hat jedoch signalisiert, dass sie das System kontinuierlich weiterentwickeln und reformieren wird, um seine Wirksamkeit zu erhöhen und Chinas Klimaziele zu unterstützen, einschließlich des Ziels, vor 2030 den Höhepunkt der CO2-Emissionen zu erreichen und bis 2060 Kohlenstoffneutralität zu erzielen (Zhao et al., 2024). Die Erfahrungen aus den Pilotprogrammen und dem nationalen System unterstreichen die Komplexität der Implementierung eines EHS in einer großen, sich entwickelnden Wirtschaft und die Notwendigkeit flexibler Anpassungen.</w:t>
      </w:r>
    </w:p>
    <w:p>
      <w:pPr>
        <w:pStyle w:val="BodyText"/>
      </w:pPr>
      <w:r>
        <w:t xml:space="preserve">Das chinesische EHS bietet eine einzigartige Perspektive auf die Implementierung eines EHS in einer nicht-marktwirtschaftlichen Umgebung. Die anfängliche Konzentration auf den Stromsektor und die kostenlose Zuteilung spiegeln die Notwendigkeit wider, die Akzeptanz bei den Staatsunternehmen zu gewährleisten und die Umstellung schrittweise zu gestalten. Die Entwicklung von MRV-Systemen und die Stärkung der Markttransparenz sind entscheidende Schritte, um die Integrität und Wirksamkeit des C-EHS zu gewährleisten (Zhu et al., 2023). Die chinesische Regierung hat jedoch gezeigt, dass sie in der Lage ist, solche komplexen Systeme zu entwickeln und zu implementieren. Der Erfolg des C-EHS wird nicht nur für Chinas eigene Klimaziele von Bedeutung sein, sondern auch ein wichtiges Signal für andere Entwicklungsländer senden, die die Einführung eines EHS in Erwägung ziehen.</w:t>
      </w:r>
    </w:p>
    <w:p>
      <w:pPr>
        <w:pStyle w:val="Heading3"/>
      </w:pPr>
      <w:bookmarkStart w:id="47" w:name="X46fda88761391eb961a9ede4c070dfed815e860"/>
      <w:r>
        <w:t xml:space="preserve">Tabelle 1: Vergleich ausgewählter Emissionshandelssysteme</w:t>
      </w:r>
      <w:bookmarkEnd w:id="47"/>
    </w:p>
    <w:tbl>
      <w:tblPr>
        <w:tblStyle w:val="Table"/>
        <w:tblW w:type="pct" w:w="5000.0"/>
        <w:tblLook w:firstRow="1"/>
      </w:tblPr>
      <w:tblGrid>
        <w:gridCol w:w="1116"/>
        <w:gridCol w:w="2498"/>
        <w:gridCol w:w="1594"/>
        <w:gridCol w:w="2710"/>
      </w:tblGrid>
      <w:tr>
        <w:trPr>
          <w:cnfStyle w:firstRow="1"/>
        </w:trPr>
        <w:tc>
          <w:tcPr>
            <w:tcBorders>
              <w:bottom w:val="single"/>
            </w:tcBorders>
            <w:vAlign w:val="bottom"/>
          </w:tcPr>
          <w:p>
            <w:pPr>
              <w:pStyle w:val="Compact"/>
              <w:jc w:val="left"/>
            </w:pPr>
            <w:r>
              <w:t xml:space="preserve">Merkmal</w:t>
            </w:r>
          </w:p>
        </w:tc>
        <w:tc>
          <w:tcPr>
            <w:tcBorders>
              <w:bottom w:val="single"/>
            </w:tcBorders>
            <w:vAlign w:val="bottom"/>
          </w:tcPr>
          <w:p>
            <w:pPr>
              <w:pStyle w:val="Compact"/>
              <w:jc w:val="left"/>
            </w:pPr>
            <w:r>
              <w:t xml:space="preserve">EU ETS (Europa)</w:t>
            </w:r>
          </w:p>
        </w:tc>
        <w:tc>
          <w:tcPr>
            <w:tcBorders>
              <w:bottom w:val="single"/>
            </w:tcBorders>
            <w:vAlign w:val="bottom"/>
          </w:tcPr>
          <w:p>
            <w:pPr>
              <w:pStyle w:val="Compact"/>
              <w:jc w:val="left"/>
            </w:pPr>
            <w:r>
              <w:t xml:space="preserve">Kalifornisches Cap-and-Trade</w:t>
            </w:r>
          </w:p>
        </w:tc>
        <w:tc>
          <w:tcPr>
            <w:tcBorders>
              <w:bottom w:val="single"/>
            </w:tcBorders>
            <w:vAlign w:val="bottom"/>
          </w:tcPr>
          <w:p>
            <w:pPr>
              <w:pStyle w:val="Compact"/>
              <w:jc w:val="left"/>
            </w:pPr>
            <w:r>
              <w:t xml:space="preserve">C-ETS (China)</w:t>
            </w:r>
          </w:p>
        </w:tc>
      </w:tr>
      <w:tr>
        <w:tc>
          <w:p>
            <w:pPr>
              <w:pStyle w:val="Compact"/>
              <w:jc w:val="left"/>
            </w:pPr>
            <w:r>
              <w:rPr>
                <w:b/>
              </w:rPr>
              <w:t xml:space="preserve">Startjahr</w:t>
            </w:r>
          </w:p>
        </w:tc>
        <w:tc>
          <w:p>
            <w:pPr>
              <w:pStyle w:val="Compact"/>
              <w:jc w:val="left"/>
            </w:pPr>
            <w:r>
              <w:t xml:space="preserve">2005</w:t>
            </w:r>
          </w:p>
        </w:tc>
        <w:tc>
          <w:p>
            <w:pPr>
              <w:pStyle w:val="Compact"/>
              <w:jc w:val="left"/>
            </w:pPr>
            <w:r>
              <w:t xml:space="preserve">2013</w:t>
            </w:r>
          </w:p>
        </w:tc>
        <w:tc>
          <w:p>
            <w:pPr>
              <w:pStyle w:val="Compact"/>
              <w:jc w:val="left"/>
            </w:pPr>
            <w:r>
              <w:t xml:space="preserve">2021 (national), ab 2013 (Pilots)</w:t>
            </w:r>
          </w:p>
        </w:tc>
      </w:tr>
      <w:tr>
        <w:tc>
          <w:p>
            <w:pPr>
              <w:pStyle w:val="Compact"/>
              <w:jc w:val="left"/>
            </w:pPr>
            <w:r>
              <w:rPr>
                <w:b/>
              </w:rPr>
              <w:t xml:space="preserve">Abdeckung</w:t>
            </w:r>
          </w:p>
        </w:tc>
        <w:tc>
          <w:p>
            <w:pPr>
              <w:pStyle w:val="Compact"/>
              <w:jc w:val="left"/>
            </w:pPr>
            <w:r>
              <w:t xml:space="preserve">~40% EU-THG (Energie, Industrie, Luftfahrt)</w:t>
            </w:r>
          </w:p>
        </w:tc>
        <w:tc>
          <w:p>
            <w:pPr>
              <w:pStyle w:val="Compact"/>
              <w:jc w:val="left"/>
            </w:pPr>
            <w:r>
              <w:t xml:space="preserve">~85% Bundesstaats-THG</w:t>
            </w:r>
          </w:p>
        </w:tc>
        <w:tc>
          <w:p>
            <w:pPr>
              <w:pStyle w:val="Compact"/>
              <w:jc w:val="left"/>
            </w:pPr>
            <w:r>
              <w:t xml:space="preserve">Stromsektor (ca. 40% China-THG)</w:t>
            </w:r>
          </w:p>
        </w:tc>
      </w:tr>
      <w:tr>
        <w:tc>
          <w:p>
            <w:pPr>
              <w:pStyle w:val="Compact"/>
              <w:jc w:val="left"/>
            </w:pPr>
            <w:r>
              <w:rPr>
                <w:b/>
              </w:rPr>
              <w:t xml:space="preserve">Mechanismus</w:t>
            </w:r>
          </w:p>
        </w:tc>
        <w:tc>
          <w:p>
            <w:pPr>
              <w:pStyle w:val="Compact"/>
              <w:jc w:val="left"/>
            </w:pPr>
            <w:r>
              <w:t xml:space="preserve">Cap-and-Trade</w:t>
            </w:r>
          </w:p>
        </w:tc>
        <w:tc>
          <w:p>
            <w:pPr>
              <w:pStyle w:val="Compact"/>
              <w:jc w:val="left"/>
            </w:pPr>
            <w:r>
              <w:t xml:space="preserve">Cap-and-Trade</w:t>
            </w:r>
          </w:p>
        </w:tc>
        <w:tc>
          <w:p>
            <w:pPr>
              <w:pStyle w:val="Compact"/>
              <w:jc w:val="left"/>
            </w:pPr>
            <w:r>
              <w:t xml:space="preserve">Cap-and-Trade</w:t>
            </w:r>
          </w:p>
        </w:tc>
      </w:tr>
      <w:tr>
        <w:tc>
          <w:p>
            <w:pPr>
              <w:pStyle w:val="Compact"/>
              <w:jc w:val="left"/>
            </w:pPr>
            <w:r>
              <w:rPr>
                <w:b/>
              </w:rPr>
              <w:t xml:space="preserve">Allokation</w:t>
            </w:r>
          </w:p>
        </w:tc>
        <w:tc>
          <w:p>
            <w:pPr>
              <w:pStyle w:val="Compact"/>
              <w:jc w:val="left"/>
            </w:pPr>
            <w:r>
              <w:t xml:space="preserve">Zunehmend Versteigerung (anfangs gratis)</w:t>
            </w:r>
          </w:p>
        </w:tc>
        <w:tc>
          <w:p>
            <w:pPr>
              <w:pStyle w:val="Compact"/>
              <w:jc w:val="left"/>
            </w:pPr>
            <w:r>
              <w:t xml:space="preserve">Versteigerung &amp; gratis Zuteilung</w:t>
            </w:r>
          </w:p>
        </w:tc>
        <w:tc>
          <w:p>
            <w:pPr>
              <w:pStyle w:val="Compact"/>
              <w:jc w:val="left"/>
            </w:pPr>
            <w:r>
              <w:t xml:space="preserve">Hauptsächlich gratis Zuteilung (schrittweise Auktion)</w:t>
            </w:r>
          </w:p>
        </w:tc>
      </w:tr>
      <w:tr>
        <w:tc>
          <w:p>
            <w:pPr>
              <w:pStyle w:val="Compact"/>
              <w:jc w:val="left"/>
            </w:pPr>
            <w:r>
              <w:rPr>
                <w:b/>
              </w:rPr>
              <w:t xml:space="preserve">Marktstabilität</w:t>
            </w:r>
          </w:p>
        </w:tc>
        <w:tc>
          <w:p>
            <w:pPr>
              <w:pStyle w:val="Compact"/>
              <w:jc w:val="left"/>
            </w:pPr>
            <w:r>
              <w:t xml:space="preserve">Marktstabilitätsreserve (MSR)</w:t>
            </w:r>
          </w:p>
        </w:tc>
        <w:tc>
          <w:p>
            <w:pPr>
              <w:pStyle w:val="Compact"/>
              <w:jc w:val="left"/>
            </w:pPr>
            <w:r>
              <w:t xml:space="preserve">Preisunter-/obergrenzen</w:t>
            </w:r>
          </w:p>
        </w:tc>
        <w:tc>
          <w:p>
            <w:pPr>
              <w:pStyle w:val="Compact"/>
              <w:jc w:val="left"/>
            </w:pPr>
            <w:r>
              <w:t xml:space="preserve">Begrenzt, Entwicklung im Gange</w:t>
            </w:r>
          </w:p>
        </w:tc>
      </w:tr>
      <w:tr>
        <w:tc>
          <w:p>
            <w:pPr>
              <w:pStyle w:val="Compact"/>
              <w:jc w:val="left"/>
            </w:pPr>
            <w:r>
              <w:rPr>
                <w:b/>
              </w:rPr>
              <w:t xml:space="preserve">Verknüpfung</w:t>
            </w:r>
          </w:p>
        </w:tc>
        <w:tc>
          <w:p>
            <w:pPr>
              <w:pStyle w:val="Compact"/>
              <w:jc w:val="left"/>
            </w:pPr>
            <w:r>
              <w:t xml:space="preserve">Schweiz</w:t>
            </w:r>
          </w:p>
        </w:tc>
        <w:tc>
          <w:p>
            <w:pPr>
              <w:pStyle w:val="Compact"/>
              <w:jc w:val="left"/>
            </w:pPr>
            <w:r>
              <w:t xml:space="preserve">Québec (Kanada)</w:t>
            </w:r>
          </w:p>
        </w:tc>
        <w:tc>
          <w:p>
            <w:pPr>
              <w:pStyle w:val="Compact"/>
              <w:jc w:val="left"/>
            </w:pPr>
            <w:r>
              <w:t xml:space="preserve">Keine (regional mit nationaler Entwicklung)</w:t>
            </w:r>
          </w:p>
        </w:tc>
      </w:tr>
      <w:tr>
        <w:tc>
          <w:p>
            <w:pPr>
              <w:pStyle w:val="Compact"/>
              <w:jc w:val="left"/>
            </w:pPr>
            <w:r>
              <w:rPr>
                <w:b/>
              </w:rPr>
              <w:t xml:space="preserve">Besonderheiten</w:t>
            </w:r>
          </w:p>
        </w:tc>
        <w:tc>
          <w:p>
            <w:pPr>
              <w:pStyle w:val="Compact"/>
              <w:jc w:val="left"/>
            </w:pPr>
            <w:r>
              <w:t xml:space="preserve">CBAM,</w:t>
            </w:r>
            <w:r>
              <w:t xml:space="preserve"> </w:t>
            </w:r>
            <w:r>
              <w:t xml:space="preserve">“</w:t>
            </w:r>
            <w:r>
              <w:t xml:space="preserve">Fit for 55</w:t>
            </w:r>
            <w:r>
              <w:t xml:space="preserve">”</w:t>
            </w:r>
            <w:r>
              <w:t xml:space="preserve"> </w:t>
            </w:r>
            <w:r>
              <w:t xml:space="preserve">Reformen</w:t>
            </w:r>
          </w:p>
        </w:tc>
        <w:tc>
          <w:p>
            <w:pPr>
              <w:pStyle w:val="Compact"/>
              <w:jc w:val="left"/>
            </w:pPr>
            <w:r>
              <w:t xml:space="preserve">Einnahmen für Klimaprojekte</w:t>
            </w:r>
          </w:p>
        </w:tc>
        <w:tc>
          <w:p>
            <w:pPr>
              <w:pStyle w:val="Compact"/>
              <w:jc w:val="left"/>
            </w:pPr>
            <w:r>
              <w:t xml:space="preserve">Größtes System nach Emissionen, Fokus auf Strom</w:t>
            </w:r>
          </w:p>
        </w:tc>
      </w:tr>
      <w:tr>
        <w:tc>
          <w:p>
            <w:pPr>
              <w:pStyle w:val="Compact"/>
              <w:jc w:val="left"/>
            </w:pPr>
            <w:r>
              <w:rPr>
                <w:b/>
              </w:rPr>
              <w:t xml:space="preserve">Herausforderungen</w:t>
            </w:r>
          </w:p>
        </w:tc>
        <w:tc>
          <w:p>
            <w:pPr>
              <w:pStyle w:val="Compact"/>
              <w:jc w:val="left"/>
            </w:pPr>
            <w:r>
              <w:t xml:space="preserve">Carbon Leakage, soziale Effekte</w:t>
            </w:r>
          </w:p>
        </w:tc>
        <w:tc>
          <w:p>
            <w:pPr>
              <w:pStyle w:val="Compact"/>
              <w:jc w:val="left"/>
            </w:pPr>
            <w:r>
              <w:t xml:space="preserve">Polit. Unterstützung</w:t>
            </w:r>
          </w:p>
        </w:tc>
        <w:tc>
          <w:p>
            <w:pPr>
              <w:pStyle w:val="Compact"/>
              <w:jc w:val="left"/>
            </w:pPr>
            <w:r>
              <w:t xml:space="preserve">Datenqualität, MRV, Markttransparenz</w:t>
            </w:r>
          </w:p>
        </w:tc>
      </w:tr>
    </w:tbl>
    <w:p>
      <w:pPr>
        <w:pStyle w:val="BodyText"/>
      </w:pPr>
      <w:r>
        <w:rPr>
          <w:i/>
        </w:rPr>
        <w:t xml:space="preserve">Anmerkung: Diese Tabelle fasst die wesentlichen Merkmale der drei prominentesten Emissionshandelssysteme zusammen und ermöglicht einen direkten Vergleich ihrer Designmerkmale und Herausforderungen.</w:t>
      </w:r>
    </w:p>
    <w:p>
      <w:pPr>
        <w:pStyle w:val="BodyText"/>
      </w:pPr>
      <w:r>
        <w:t xml:space="preserve">Ein</w:t>
      </w:r>
      <w:r>
        <w:t xml:space="preserve"> </w:t>
      </w:r>
      <w:r>
        <w:rPr>
          <w:b/>
        </w:rPr>
        <w:t xml:space="preserve">Vergleich des CO2-Handels mit anderen Klimaschutzinstrumenten</w:t>
      </w:r>
      <w:r>
        <w:t xml:space="preserve"> </w:t>
      </w:r>
      <w:r>
        <w:t xml:space="preserve">ist entscheidend, um die spezifischen Vorteile und Nachteile von EHS im Kontext eines breiteren politischen Instrumentenmixes zu verstehen. Neben dem Emissionshandel gehören zu den wichtigsten Instrumenten die CO2-Steuer, Subventionen für grüne Technologien, regulatorische Standards und freiwillige Vereinbarungen.</w:t>
      </w:r>
    </w:p>
    <w:p>
      <w:pPr>
        <w:pStyle w:val="BodyText"/>
      </w:pPr>
      <w:r>
        <w:t xml:space="preserve">Die</w:t>
      </w:r>
      <w:r>
        <w:t xml:space="preserve"> </w:t>
      </w:r>
      <w:r>
        <w:rPr>
          <w:b/>
        </w:rPr>
        <w:t xml:space="preserve">CO2-Steuer</w:t>
      </w:r>
      <w:r>
        <w:t xml:space="preserve"> </w:t>
      </w:r>
      <w:r>
        <w:t xml:space="preserve">ist ein preisbasiertes Instrument, das einen festen Preis pro Tonne CO2-Emissionen festlegt (Pigato, 2018). Im Gegensatz zum EHS, das eine feste Menge an Emissionen (Cap) vorgibt und der Preis flexibel ist, garantiert die CO2-Steuer einen festen Preis, während die Menge der Reduktionen unsicher ist. Der Hauptvorteil einer CO2-Steuer liegt in ihrer Einfachheit und administrativen Effizienz. Sie sendet ein klares Preissignal und kann schnell implementiert werden. Allerdings kann es schwierig sein, den</w:t>
      </w:r>
      <w:r>
        <w:t xml:space="preserve"> </w:t>
      </w:r>
      <w:r>
        <w:t xml:space="preserve">“</w:t>
      </w:r>
      <w:r>
        <w:t xml:space="preserve">richtigen</w:t>
      </w:r>
      <w:r>
        <w:t xml:space="preserve">”</w:t>
      </w:r>
      <w:r>
        <w:t xml:space="preserve"> </w:t>
      </w:r>
      <w:r>
        <w:t xml:space="preserve">Steuersatz festzulegen, um ein bestimmtes Emissionsziel zu erreichen. Ein zu niedriger Steuersatz erzielt möglicherweise nicht die gewünschten Reduktionen, während ein zu hoher Steuersatz zu unerwünschten wirtschaftlichen Belastungen führen kann. Politisch kann die Einführung einer CO2-Steuer auf erheblichen Widerstand stoßen, da sie die Energiekosten direkt erhöht und als zusätzliche Belastung für Unternehmen und Haushalte wahrgenommen wird. Die Einnahmen aus einer CO2-Steuer können jedoch ebenfalls für Klimaschutzmaßnahmen oder Steuerentlastungen verwendet werden, was ihre politische Akzeptanz erhöhen kann. Während EHS die Menge der Emissionen garantiert, bietet die CO2-Steuer Preissicherheit, was für Unternehmen, die langfristige Investitionen planen, von Vorteil sein kann.</w:t>
      </w:r>
    </w:p>
    <w:p>
      <w:pPr>
        <w:pStyle w:val="BodyText"/>
      </w:pPr>
      <w:r>
        <w:rPr>
          <w:b/>
        </w:rPr>
        <w:t xml:space="preserve">Subventionen für grüne Technologien</w:t>
      </w:r>
      <w:r>
        <w:t xml:space="preserve"> </w:t>
      </w:r>
      <w:r>
        <w:t xml:space="preserve">zielen darauf ab, die Einführung und Entwicklung von emissionsarmen Technologien zu fördern, indem sie deren Kosten senken oder ihre Rentabilität erhöhen (Bhowmik et al., 2022). Beispiele hierfür sind Einspeisevergütungen für erneuerbare Energien, Steuererleichterungen für energieeffiziente Investitionen oder Forschungs- und Entwicklungsgelder für innovative Klimatechnologien. Subventionen können besonders wirksam sein, um neue Technologien zur Marktreife zu bringen und Skaleneffekte zu erzielen. Sie können auch politisch populärer sein als Steuern oder Handelssysteme, da sie als „Förderung“ und nicht als „Belastung“ wahrgenommen werden. Der Nachteil von Subventionen ist jedoch, dass sie oft mit hohen Kosten für den Steuerzahler verbunden sind und nicht immer die kosteneffizientesten Reduktionen erzielen, da sie nicht direkt auf die Emissionen abzielen, sondern auf spezifische Technologien. Ohne ein begleitendes Preissignal für CO2 könnten die Gesamtemissionen möglicherweise nicht ausreichend reduziert werden, da die Anreize zur Reduktion in anderen, nicht subventionierten Bereichen fehlen.</w:t>
      </w:r>
    </w:p>
    <w:p>
      <w:pPr>
        <w:pStyle w:val="BodyText"/>
      </w:pPr>
      <w:r>
        <w:rPr>
          <w:b/>
        </w:rPr>
        <w:t xml:space="preserve">Regulatorische Standards</w:t>
      </w:r>
      <w:r>
        <w:t xml:space="preserve"> </w:t>
      </w:r>
      <w:r>
        <w:t xml:space="preserve">(z.B. Effizienzstandards für Fahrzeuge oder Gebäude, Emissionsgrenzwerte für Industrieanlagen) sind traditionelle „Command-and-Control“-Instrumente, die spezifische Anforderungen an Unternehmen oder Produkte stellen. Sie können effektiv sein, um bestimmte Verhaltensweisen oder Technologien zu erzwingen und können schnell umgesetzt werden. Ein Vorteil ist, dass sie eine gewisse Mindestleistung garantieren und bei schwer zu messenden Emissionen sinnvoll sein können. Der Hauptnachteil von Standards ist jedoch ihre mangelnde Kosteneffizienz. Sie berücksichtigen nicht die unterschiedlichen Reduktionskosten zwischen Unternehmen und zwingen alle Akteure zur Einhaltung derselben Standards, auch wenn dies für einige unverhältnismäßig teuer sein mag (Woerdman, 2004). Dies kann zu höheren Gesamtkosten für die Gesellschaft führen, als dies mit marktbasierten Instrumenten der Fall wäre. Zudem bieten Standards nur begrenzte Anreize für Innovationen über das gesetzlich vorgeschriebene Niveau hinaus.</w:t>
      </w:r>
    </w:p>
    <w:p>
      <w:pPr>
        <w:pStyle w:val="BodyText"/>
      </w:pPr>
      <w:r>
        <w:rPr>
          <w:b/>
        </w:rPr>
        <w:t xml:space="preserve">Freiwillige Vereinbarungen</w:t>
      </w:r>
      <w:r>
        <w:t xml:space="preserve"> </w:t>
      </w:r>
      <w:r>
        <w:t xml:space="preserve">zwischen Regierungen und Unternehmen oder Branchen können ebenfalls zur Emissionsreduktion beitragen. Diese basieren auf dem Prinzip der Selbstverpflichtung und können eine gewisse Flexibilität bei der Erreichung von Zielen bieten. Ihr Erfolg hängt jedoch stark von der Motivation der beteiligten Akteure und der Glaubwürdigkeit der Verpflichtungen ab. Ohne verbindliche Mechanismen oder Sanktionen bei Nichteinhaltung können freiwillige Vereinbarungen oft nicht die notwendigen ambitionierten Reduktionen erzielen (Woerdman, 2004). Sie sind eher als ergänzendes Instrument zu betrachten, das die Akzeptanz und Zusammenarbeit fördern kann, aber selten als primäres Instrument zur Erreichung umfassender Klimaziele ausreicht.</w:t>
      </w:r>
    </w:p>
    <w:p>
      <w:pPr>
        <w:pStyle w:val="BodyText"/>
      </w:pPr>
      <w:r>
        <w:t xml:space="preserve">Im Vergleich dazu bieten CO2-Handelssysteme eine einzigartige Kombination aus Mengenbegrenzung und Kosteneffizienz. Sie garantieren die Erreichung eines bestimmten Emissionsziels (das Cap) und ermöglichen gleichzeitig den Markt, den effizientesten Weg zur Erreichung dieses Ziels zu finden. Die Flexibilität des Handelsmechanismus, einschließlich Banking und Borrowing, erlaubt es Unternehmen, ihre Reduktionsstrategien über die Zeit zu optimieren und auf sich ändernde Marktbedingungen zu reagieren. Die Einnahmen aus der Versteigerung von Emissionsrechten können ebenfalls zur Finanzierung anderer Klimaschutzmaßnahmen oder zur Minderung sozialer Ungleichheiten genutzt werden (Pigato, 2018). Allerdings sind EHS komplex in der Gestaltung und Implementierung und erfordern robuste Überwachungs-, Berichterstattungs- und Verifizierungssysteme (MRV). Die Preisvolatilität und die Gefahr von Marktverzerrungen sind Herausforderungen, die durch geeignete Designmerkmale wie die MSR oder Preisober- und -untergrenzen adressiert werden müssen.</w:t>
      </w:r>
    </w:p>
    <w:p>
      <w:pPr>
        <w:pStyle w:val="BodyText"/>
      </w:pPr>
      <w:r>
        <w:t xml:space="preserve">Der Vergleich mit anderen Klimaschutzinstrumenten kann durch eine tiefere Analyse der politischen Akzeptanz und der Umsetzbarkeit ergänzt werden. CO2-Steuern sind oft politisch schwer durchzusetzen, da sie direkt sichtbar sind und als zusätzliche Belastung wahrgenommen werden können. EHS hingegen können durch die Möglichkeit der kostenlosen Zuteilung in der Anfangsphase und durch die Komplexität ihrer Funktionsweise eine höhere politische Akzeptanz finden, da die direkten Kosten für die Unternehmen weniger transparent sind. Allerdings erfordern EHS eine hohe administrative Kapazität und robuste Überwachungsmechanismen, die in einigen Ländern möglicherweise nicht vorhanden sind.</w:t>
      </w:r>
    </w:p>
    <w:p>
      <w:pPr>
        <w:pStyle w:val="BodyText"/>
      </w:pPr>
      <w:r>
        <w:t xml:space="preserve">Letztlich deutet die Analyse darauf hin, dass ein</w:t>
      </w:r>
      <w:r>
        <w:t xml:space="preserve"> </w:t>
      </w:r>
      <w:r>
        <w:rPr>
          <w:b/>
        </w:rPr>
        <w:t xml:space="preserve">integrierter Policy-Mix</w:t>
      </w:r>
      <w:r>
        <w:t xml:space="preserve"> </w:t>
      </w:r>
      <w:r>
        <w:t xml:space="preserve">am effektivsten ist. Ein CO2-Handelssystem kann als zentrales Preissignal dienen, das die Kosteneffizienz und Mengenbegrenzung gewährleistet. Ergänzt durch gezielte Subventionen für Forschung und Entwicklung sowie die Markteinführung neuer Technologien, regulatorische Standards, wo sinnvoll, und gegebenenfalls fiskalische Anreize, kann ein solcher Mix die Komplexität des Klimaproblems umfassend angehen. Die Herausforderung besteht darin, die verschiedenen Instrumente so zu kalibrieren, dass sie sich gegenseitig verstärken und keine unerwünschten Interaktionen erzeugen.</w:t>
      </w:r>
    </w:p>
    <w:p>
      <w:pPr>
        <w:pStyle w:val="Heading3"/>
      </w:pPr>
      <w:bookmarkStart w:id="48" w:name="Xe02f8fbd20ae536452c17e420cb9489cff8fe86"/>
      <w:r>
        <w:t xml:space="preserve">Tabelle 2: Vor- und Nachteile von Klimaschutzinstrumenten</w:t>
      </w:r>
      <w:bookmarkEnd w:id="48"/>
    </w:p>
    <w:tbl>
      <w:tblPr>
        <w:tblStyle w:val="Table"/>
        <w:tblW w:type="pct" w:w="5000.0"/>
        <w:tblLook w:firstRow="1"/>
      </w:tblPr>
      <w:tblGrid>
        <w:gridCol w:w="1363"/>
        <w:gridCol w:w="3245"/>
        <w:gridCol w:w="3310"/>
      </w:tblGrid>
      <w:tr>
        <w:trPr>
          <w:cnfStyle w:firstRow="1"/>
        </w:trPr>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Vorteile</w:t>
            </w:r>
          </w:p>
        </w:tc>
        <w:tc>
          <w:tcPr>
            <w:tcBorders>
              <w:bottom w:val="single"/>
            </w:tcBorders>
            <w:vAlign w:val="bottom"/>
          </w:tcPr>
          <w:p>
            <w:pPr>
              <w:pStyle w:val="Compact"/>
              <w:jc w:val="left"/>
            </w:pPr>
            <w:r>
              <w:t xml:space="preserve">Nachteile</w:t>
            </w:r>
          </w:p>
        </w:tc>
      </w:tr>
      <w:tr>
        <w:tc>
          <w:p>
            <w:pPr>
              <w:pStyle w:val="Compact"/>
              <w:jc w:val="left"/>
            </w:pPr>
            <w:r>
              <w:rPr>
                <w:b/>
              </w:rPr>
              <w:t xml:space="preserve">Emissionshandel</w:t>
            </w:r>
          </w:p>
        </w:tc>
        <w:tc>
          <w:p>
            <w:pPr>
              <w:pStyle w:val="Compact"/>
              <w:jc w:val="left"/>
            </w:pPr>
            <w:r>
              <w:t xml:space="preserve">Kosteneffizient, Mengensicherheit, Innovationsanreiz</w:t>
            </w:r>
          </w:p>
        </w:tc>
        <w:tc>
          <w:p>
            <w:pPr>
              <w:pStyle w:val="Compact"/>
              <w:jc w:val="left"/>
            </w:pPr>
            <w:r>
              <w:t xml:space="preserve">Preisvolatilität, Carbon Leakage, Komplexität</w:t>
            </w:r>
          </w:p>
        </w:tc>
      </w:tr>
      <w:tr>
        <w:tc>
          <w:p>
            <w:pPr>
              <w:pStyle w:val="Compact"/>
              <w:jc w:val="left"/>
            </w:pPr>
            <w:r>
              <w:rPr>
                <w:b/>
              </w:rPr>
              <w:t xml:space="preserve">CO2-Steuer</w:t>
            </w:r>
          </w:p>
        </w:tc>
        <w:tc>
          <w:p>
            <w:pPr>
              <w:pStyle w:val="Compact"/>
              <w:jc w:val="left"/>
            </w:pPr>
            <w:r>
              <w:t xml:space="preserve">Preissicherheit, Einfachheit, Einnahmen</w:t>
            </w:r>
          </w:p>
        </w:tc>
        <w:tc>
          <w:p>
            <w:pPr>
              <w:pStyle w:val="Compact"/>
              <w:jc w:val="left"/>
            </w:pPr>
            <w:r>
              <w:t xml:space="preserve">Unsicherheit über Emissionsmenge, polit. Widerstand</w:t>
            </w:r>
          </w:p>
        </w:tc>
      </w:tr>
      <w:tr>
        <w:tc>
          <w:p>
            <w:pPr>
              <w:pStyle w:val="Compact"/>
              <w:jc w:val="left"/>
            </w:pPr>
            <w:r>
              <w:rPr>
                <w:b/>
              </w:rPr>
              <w:t xml:space="preserve">Subventionen</w:t>
            </w:r>
          </w:p>
        </w:tc>
        <w:tc>
          <w:p>
            <w:pPr>
              <w:pStyle w:val="Compact"/>
              <w:jc w:val="left"/>
            </w:pPr>
            <w:r>
              <w:t xml:space="preserve">Technologieförderung, polit. Akzeptanz</w:t>
            </w:r>
          </w:p>
        </w:tc>
        <w:tc>
          <w:p>
            <w:pPr>
              <w:pStyle w:val="Compact"/>
              <w:jc w:val="left"/>
            </w:pPr>
            <w:r>
              <w:t xml:space="preserve">Hohe Kosten, Marktverzerrung, Ineffizienz</w:t>
            </w:r>
          </w:p>
        </w:tc>
      </w:tr>
      <w:tr>
        <w:tc>
          <w:p>
            <w:pPr>
              <w:pStyle w:val="Compact"/>
              <w:jc w:val="left"/>
            </w:pPr>
            <w:r>
              <w:rPr>
                <w:b/>
              </w:rPr>
              <w:t xml:space="preserve">Standards</w:t>
            </w:r>
          </w:p>
        </w:tc>
        <w:tc>
          <w:p>
            <w:pPr>
              <w:pStyle w:val="Compact"/>
              <w:jc w:val="left"/>
            </w:pPr>
            <w:r>
              <w:t xml:space="preserve">Direkte Wirkung, Einhaltung garantierbar</w:t>
            </w:r>
          </w:p>
        </w:tc>
        <w:tc>
          <w:p>
            <w:pPr>
              <w:pStyle w:val="Compact"/>
              <w:jc w:val="left"/>
            </w:pPr>
            <w:r>
              <w:t xml:space="preserve">Wenig Kosteneffizient, Innovationsbremse</w:t>
            </w:r>
          </w:p>
        </w:tc>
      </w:tr>
      <w:tr>
        <w:tc>
          <w:p>
            <w:pPr>
              <w:pStyle w:val="Compact"/>
              <w:jc w:val="left"/>
            </w:pPr>
            <w:r>
              <w:rPr>
                <w:b/>
              </w:rPr>
              <w:t xml:space="preserve">Freiw. Vereinb.</w:t>
            </w:r>
          </w:p>
        </w:tc>
        <w:tc>
          <w:p>
            <w:pPr>
              <w:pStyle w:val="Compact"/>
              <w:jc w:val="left"/>
            </w:pPr>
            <w:r>
              <w:t xml:space="preserve">Flexibilität, Akzeptanz, Kooperation</w:t>
            </w:r>
          </w:p>
        </w:tc>
        <w:tc>
          <w:p>
            <w:pPr>
              <w:pStyle w:val="Compact"/>
              <w:jc w:val="left"/>
            </w:pPr>
            <w:r>
              <w:t xml:space="preserve">Mangelnde Ambition, geringe Verbindlichkeit</w:t>
            </w:r>
          </w:p>
        </w:tc>
      </w:tr>
    </w:tbl>
    <w:p>
      <w:pPr>
        <w:pStyle w:val="BodyText"/>
      </w:pPr>
      <w:r>
        <w:rPr>
          <w:i/>
        </w:rPr>
        <w:t xml:space="preserve">Anmerkung: Diese Tabelle vergleicht die wesentlichen Vor- und Nachteile der primären Klimaschutzinstrumente und zeigt die Notwendigkeit eines integrierten Policy-Mixes auf.</w:t>
      </w:r>
    </w:p>
    <w:p>
      <w:pPr>
        <w:pStyle w:val="BodyText"/>
      </w:pPr>
      <w:r>
        <w:t xml:space="preserve">Die</w:t>
      </w:r>
      <w:r>
        <w:t xml:space="preserve"> </w:t>
      </w:r>
      <w:r>
        <w:rPr>
          <w:b/>
        </w:rPr>
        <w:t xml:space="preserve">empirischen Belege für die Klimaschutzwirkung</w:t>
      </w:r>
      <w:r>
        <w:t xml:space="preserve"> </w:t>
      </w:r>
      <w:r>
        <w:t xml:space="preserve">von Emissionshandelssystemen sind vielfältig und stammen hauptsächlich aus den Erfahrungen mit dem EU-EHS, aber auch aus regionalen Systemen in Nordamerika und Asien. Die Forschung zeigt übereinstimmend, dass gut gestaltete und implementierte EHS zu signifikanten Emissionsreduktionen führen können (Digitemie &amp; Ekemezie, 2024)(Eslahi et al., 2026).</w:t>
      </w:r>
    </w:p>
    <w:p>
      <w:pPr>
        <w:pStyle w:val="BodyText"/>
      </w:pPr>
      <w:r>
        <w:t xml:space="preserve">Für das</w:t>
      </w:r>
      <w:r>
        <w:t xml:space="preserve"> </w:t>
      </w:r>
      <w:r>
        <w:rPr>
          <w:b/>
        </w:rPr>
        <w:t xml:space="preserve">EU-EHS</w:t>
      </w:r>
      <w:r>
        <w:t xml:space="preserve"> </w:t>
      </w:r>
      <w:r>
        <w:t xml:space="preserve">haben zahlreiche Studien die Auswirkungen auf die Emissionen untersucht. Eslahi, Creti et al. (2026) kommen zu dem Schluss, dass das EU-EHS in den Phasen 2 und 3 (ab 2008) zu erheblichen Emissionsreduktionen geführt hat, insbesondere seit den Reformen, die den Marktüberschuss an Zertifikaten reduziert und den CO2-Preis gestärkt haben (Eslahi et al., 2026). Wildgrube (2023) bestätigt diese positive Entwicklung und betont die Rolle der Marktstabilitätsreserve bei der Wiederherstellung der Marktintegrität und der Schaffung eines robusten Preissignals (Wildgrube, 2023). Die Emissionen in den vom EU-EHS erfassten Sektoren sind seit 2005 um über 35% gesunken, was einen wesentlichen Beitrag zu den Klimazielen der EU darstellt (Edwin &amp; Josephine, 2023). Es ist jedoch wichtig zu beachten, dass die genaue Quantifizierung des kausalen Effekts des EHS komplex ist, da andere Politikmaßnahmen und makroökonomische Faktoren (z.B. Wirtschaftskrisen, Energiepreise) ebenfalls die Emissionen beeinflussen. Methoden wie Difference-in-Difference-Analysen oder Matching-Verfahren werden eingesetzt, um den spezifischen Beitrag des EHS zu isolieren.</w:t>
      </w:r>
    </w:p>
    <w:p>
      <w:pPr>
        <w:pStyle w:val="BodyText"/>
      </w:pPr>
      <w:r>
        <w:t xml:space="preserve">Die empirischen Belege für die Klimaschutzwirkung können durch die Diskussion spezifischer Sektoren und Regionen noch angereichert werden. Im Stromsektor ist der Nachweis der Emissionsreduktionen durch EHS am stärksten, da die Umstellung von fossilen Brennstoffen auf erneuerbare Energien oft direkt auf das Preissignal des EHS zurückgeführt werden kann. In anderen Sektoren, wie der Industrie, sind die Effekte komplexer, da Emissionsreduktionen oft tiefgreifende technologische Veränderungen erfordern, die längere Vorlaufzeiten und höhere Investitionen bedeuten. Die Wirkung auf Innovationen ist ebenfalls ein Bereich, der weitere empirische Forschung erfordert, um die genauen Mechanismen und die Stärke des Effekts zu quantifizieren. Das EHS schafft einen Anreiz für</w:t>
      </w:r>
      <w:r>
        <w:t xml:space="preserve"> </w:t>
      </w:r>
      <w:r>
        <w:t xml:space="preserve">“</w:t>
      </w:r>
      <w:r>
        <w:t xml:space="preserve">grüne</w:t>
      </w:r>
      <w:r>
        <w:t xml:space="preserve">”</w:t>
      </w:r>
      <w:r>
        <w:t xml:space="preserve"> </w:t>
      </w:r>
      <w:r>
        <w:t xml:space="preserve">Innovationen, aber die tatsächliche Entwicklung und Einführung von Technologien hängt von vielen anderen Faktoren ab, einschließlich Forschungsförderung, regulatorischer Unterstützung und der Verfügbarkeit von Kapital. Die Bedeutung der wissenschaftlichen Glaubwürdigkeit für hochintegre freiwillige Kohlenstoffmärkte, wie Swinfield, Toye Scott (2025) hervorheben, zeigt, dass die Prinzipien der Transparenz und Verifizierbarkeit auch jenseits der regulierten EHS von entscheidender Bedeutung sind, um Vertrauen in Klimaschutzmaßnahmen zu schaffen (Swinfield &amp; Toye Scott, 2025).</w:t>
      </w:r>
    </w:p>
    <w:p>
      <w:pPr>
        <w:pStyle w:val="BodyText"/>
      </w:pPr>
      <w:r>
        <w:t xml:space="preserve">Neben den direkten Emissionsreduktionen gibt es auch Belege für die Förderung von Innovationen durch EHS. Ein stabiler und ausreichend hoher CO2-Preis schafft Anreize für Unternehmen, in Forschung und Entwicklung von kohlenstoffarmen Technologien zu investieren (Levi-Bliech &amp; Dahan, 2025). Die Literatur deutet darauf hin, dass das EU-EHS zu einem Anstieg von Patenten in emissionsmindernden Technologien geführt hat, insbesondere in Sektoren mit hohen Compliance-Kosten. Dies zeigt, dass EHS nicht nur statische Effizienzvorteile bieten, sondern auch dynamische Effekte entfalten können, die den langfristigen Übergang zu einer grünen Wirtschaft unterstützen.</w:t>
      </w:r>
    </w:p>
    <w:p>
      <w:pPr>
        <w:pStyle w:val="BodyText"/>
      </w:pPr>
      <w:r>
        <w:t xml:space="preserve">Im Hinblick auf das</w:t>
      </w:r>
      <w:r>
        <w:t xml:space="preserve"> </w:t>
      </w:r>
      <w:r>
        <w:rPr>
          <w:b/>
        </w:rPr>
        <w:t xml:space="preserve">chinesische EHS</w:t>
      </w:r>
      <w:r>
        <w:t xml:space="preserve"> </w:t>
      </w:r>
      <w:r>
        <w:t xml:space="preserve">sind die empirischen Belege noch im Entstehen, da das nationale System erst kürzlich eingeführt wurde. Studien, die sich auf die regionalen Pilot-EHS-Programme konzentrieren, zeigen jedoch vielversprechende Ergebnisse. Zhu, Li et al. (2023) fanden heraus, dass die Einführung der Pilot-EHS zu einer signifikanten Reduzierung der CO2-Intensität in den erfassten Regionen geführt hat (Zhu et al., 2023). Zhao, Wang et al. (2024) bestätigen, dass das chinesische System Anreize für die Emissionskontrolle geschaffen hat, obwohl die Wirksamkeit durch Faktoren wie die anfängliche kostenlose Zuteilung und die Notwendigkeit robusterer Überwachungsmechanismen beeinflusst wird (Zhao et al., 2024). Die Erfahrungen aus China unterstreichen die Herausforderungen bei der Implementierung eines EHS in einer sich entwickelnden Wirtschaft, aber auch das Potenzial, einen substanziellen Beitrag zu den nationalen Klimazielen zu leisten.</w:t>
      </w:r>
    </w:p>
    <w:p>
      <w:pPr>
        <w:pStyle w:val="BodyText"/>
      </w:pPr>
      <w:r>
        <w:t xml:space="preserve">Die Wirksamkeit von EHS wird auch in Bezug auf die Vermeidung von Carbon Leakage diskutiert, d.h. die Verlagerung von Emissionen und Produktion in Länder mit weniger strengen Klimaschutzauflagen. Studien zeigen, dass das Risiko von Carbon Leakage durch geeignete Maßnahmen wie die teilweise kostenlose Zuteilung für energieintensive, handelsintensive Sektoren oder durch Mechanismen wie den geplanten CO2-Grenzausgleichsmechanismus (CBAM) der EU gemindert werden kann (Martinus &amp; Laopirun, 2023). Der CBAM zielt darauf ab, einen fairen Wettbewerb zu gewährleisten, indem er Importe aus Ländern mit geringeren CO2-Preisen mit einer Abgabe belegt, die den Kosten im EU-EHS entspricht.</w:t>
      </w:r>
    </w:p>
    <w:p>
      <w:pPr>
        <w:pStyle w:val="BodyText"/>
      </w:pPr>
      <w:r>
        <w:t xml:space="preserve">Die Forschung zu den</w:t>
      </w:r>
      <w:r>
        <w:t xml:space="preserve"> </w:t>
      </w:r>
      <w:r>
        <w:rPr>
          <w:b/>
        </w:rPr>
        <w:t xml:space="preserve">sozialen und Verteilungseffekten</w:t>
      </w:r>
      <w:r>
        <w:t xml:space="preserve"> </w:t>
      </w:r>
      <w:r>
        <w:t xml:space="preserve">von EHS ist ebenfalls von Bedeutung. Während EHS ökonomisch effizient sind, können sie regressive Effekte haben, wenn die Kosten in Form höherer Energiepreise ungleich auf Haushalte verteilt werden. Die Einnahmen aus der Versteigerung von Emissionsrechten können jedoch genutzt werden, um diese Effekte abzufedern, beispielsweise durch die Unterstützung energiearmer Haushalte oder Investitionen in öffentliche Verkehrsmittel. Pigato (2018) hebt hervor, dass fiskalische Politiken, einschließlich der CO2-Bepreisung, so gestaltet werden können, dass sie sowohl Entwicklungs- als auch Klimaziele unterstützen, wenn die Einnahmen zielgerichtet eingesetzt werden (Pigato, 2018).</w:t>
      </w:r>
    </w:p>
    <w:p>
      <w:pPr>
        <w:pStyle w:val="BodyText"/>
      </w:pPr>
      <w:r>
        <w:t xml:space="preserve">Zusammenfassend lässt sich festhalten, dass die empirischen Belege die Klimaschutzwirkung von CO2-Handelssystemen weitgehend bestätigen. Insbesondere Systeme mit einem ambitionierten und glaubwürdigen Cap, effizienten Marktmechanismen und begleitenden Stabilitätsmaßnahmen (wie der MSR) haben sich als wirksame Instrumente zur Reduzierung von Treibhausgasemissionen erwiesen. Die Erfahrungen aus dem EU-EHS, Kalifornien und China zeigen, dass EHS anpassungsfähig sind und sich über die Zeit weiterentwickeln können, um den jeweiligen nationalen und globalen Klimazielen gerecht zu werden. Obwohl Herausforderungen wie Preisvolatilität, Überallokation und die Komplexität der Implementierung bestehen bleiben, überwiegen die Vorteile der Kosteneffizienz und der Mengenbegrenzung, was EHS zu einem Eckpfeiler einer effektiven Klimapolitik macht (Digitemie &amp; Ekemezie, 2024)(Lake, 2015).</w:t>
      </w:r>
    </w:p>
    <w:p>
      <w:pPr>
        <w:pStyle w:val="BodyText"/>
      </w:pPr>
      <w:r>
        <w:t xml:space="preserve">Abschließend ist festzuhalten, dass die Analyse des CO2-Handels eine dynamische und vielschichtige Aufgabe ist. Die Systeme entwickeln sich ständig weiter, passen sich an neue Herausforderungen an und integrieren neue Erkenntnisse. Die globalen Klimaziele erfordern eine kontinuierliche Stärkung und Ausweitung dieser Instrumente. Die Fähigkeit, Emissionen zu begrenzen, Kosteneffizienz zu fördern und Innovationen anzuregen, macht EHS zu einem zentralen Pfeiler der Klimapolitik. Die Herausforderung besteht darin, die Systeme so zu gestalten, dass sie sowohl ökologisch wirksam als auch ökonomisch effizient und sozial gerecht sind. Dies erfordert eine sorgfältige Abwägung von Designmerkmalen, eine robuste Überwachung und eine kontinuierliche politische Unterstützung. Die gewonnenen Erkenntnisse aus den Fallstudien und die empirischen Belege liefern eine solide Grundlage für die weitere Entwicklung und Anwendung von CO2-Handelssystemen weltweit. Die weitere Forschung sollte sich darauf konzentrieren, die langfristigen Auswirkungen auf die technologische Entwicklung, die globale Wettbewerbsfähigkeit und die sozialen Auswirkungen detaillierter zu untersuchen, um die Wirksamkeit und Akzeptanz dieser Systeme weiter zu verbessern.</w:t>
      </w:r>
    </w:p>
    <w:p>
      <w:pPr>
        <w:pStyle w:val="Heading2"/>
      </w:pPr>
      <w:bookmarkStart w:id="49" w:name="diskussion"/>
      <w:r>
        <w:t xml:space="preserve">Diskussion</w:t>
      </w:r>
      <w:bookmarkEnd w:id="49"/>
    </w:p>
    <w:p>
      <w:pPr>
        <w:pStyle w:val="FirstParagraph"/>
      </w:pPr>
      <w:r>
        <w:t xml:space="preserve">Die vorliegende Arbeit untersuchte die Effektivität und die Herausforderungen des Emissionshandels als zentrales Instrument der Klimapolitik. Die Ergebnisse der Analyse, die auf einer umfassenden Literaturrecherche basieren, deuten darauf hin, dass CO2-Märkte ein potenziell wirksames Mittel zur Reduzierung von Treibhausgasemissionen darstellen, jedoch mit einer Reihe von strukturellen und operativen Limitationen behaftet sind. Diese Diskussion vertieft die Implikationen dieser Erkenntnisse für die Klimapolitik, beleuchtet die Grenzen und Herausforderungen des Emissionshandels, schlägt Verbesserungsvorschläge vor, kontextualisiert seine Rolle im globalen Klimaschutz und leitet konkrete Empfehlungen für Politik und Wirtschaft ab. Ziel ist es, ein nuanciertes Verständnis der Mechanismen und Potenziale des Emissionshandels zu vermitteln und Wege für seine zukünftige Gestaltung aufzuzeigen.</w:t>
      </w:r>
    </w:p>
    <w:p>
      <w:pPr>
        <w:pStyle w:val="Heading3"/>
      </w:pPr>
      <w:bookmarkStart w:id="50" w:name="implikationen-für-die-klimapolitik"/>
      <w:r>
        <w:t xml:space="preserve">1. Implikationen für die Klimapolitik</w:t>
      </w:r>
      <w:bookmarkEnd w:id="50"/>
    </w:p>
    <w:p>
      <w:pPr>
        <w:pStyle w:val="FirstParagraph"/>
      </w:pPr>
      <w:r>
        <w:t xml:space="preserve">Der Emissionshandel, insbesondere in Form von Cap-and-Trade-Systemen, hat sich als ein Eckpfeiler moderner Klimapolitik etabliert (Raufer &amp; Iyer, 2012)(Woerdman, 2004). Seine grundlegende Attraktivität liegt in der Fähigkeit, Emissionsreduktionen kosteneffizient zu erreichen, indem er Unternehmen Anreize bietet, Emissionen dort zu senken, wo es am günstigsten ist (Bohm, 2002). Durch die Festlegung einer Obergrenze (Cap) für die Gesamtemissionen und die Schaffung eines Marktes für Emissionszertifikate wird Knappheit erzeugt und ein Preis für CO2-Emissionen festgelegt. Dies internalisiert die externen Kosten der Umweltverschmutzung und motiviert zu Investitionen in kohlenstoffarme Technologien und Prozesse (Pigato, 2018). Die Europäische Union hat mit ihrem Emissionshandelssystem (EU ETS) seit 2005 Pionierarbeit geleistet und gezeigt, dass solche Mechanismen in der Lage sind, signifikante Reduktionen zu bewirken (Eslahi et al., 2026)(Edwin &amp; Josephine, 2023). Die jüngsten Anpassungen im Rahmen des „Fit for 55“-Pakets der EU, die eine weitere Verschärfung des Caps und eine Ausweitung auf neue Sektoren vorsehen, unterstreichen das Vertrauen der Politik in dieses Instrument (Wildgrube, 2023).</w:t>
      </w:r>
    </w:p>
    <w:p>
      <w:pPr>
        <w:pStyle w:val="BodyText"/>
      </w:pPr>
      <w:r>
        <w:t xml:space="preserve">Die Wirksamkeit des Emissionshandels als klimapolitisches Instrument hängt jedoch stark von seinem Design und seiner Implementierung ab. Ein zu lockeres Cap kann zu niedrigen CO2-Preisen führen, die keine ausreichenden Investitionsanreize für Dekarbonisierung bieten (Black, 2018). Umgekehrt kann ein zu aggressives Cap ohne flankierende Maßnahmen zu wirtschaftlichen Verwerfungen führen. Die Erfahrung des EU ETS, insbesondere in den frühen Phasen, zeigte die Notwendigkeit flexibler Mechanismen zur Anpassung des Caps an die tatsächliche Wirtschaftsentwicklung und zur Steuerung von Überschüssen an Zertifikaten (Eslahi et al., 2026). Die Einführung einer Marktstabilitätsreserve (MSR) war eine direkte Antwort auf diese Herausforderungen und hat dazu beigetragen, das Gleichgewicht zwischen Angebot und Nachfrage an Zertifikaten zu verbessern und die Preisstabilität zu erhöhen (Wildgrube, 2023). Diese Entwicklungen sind von entscheidender Bedeutung, da eine stabile und vorhersehbare CO2-Bepreisung das Vertrauen der Investoren stärkt und langfristige Investitionen in grüne Technologien fördert (Levi-Bliech &amp; Dahan, 2025).</w:t>
      </w:r>
    </w:p>
    <w:p>
      <w:pPr>
        <w:pStyle w:val="BodyText"/>
      </w:pPr>
      <w:r>
        <w:t xml:space="preserve">Darüber hinaus spielen CO2-Märkte eine wichtige Rolle bei der Förderung von Innovationen. Indem sie einen finanziellen Anreiz für die Reduzierung von Emissionen schaffen, stimulieren sie die Entwicklung und Implementierung neuer, energieeffizienter und emissionsarmer Technologien (Bhowmik et al., 2022). Unternehmen sind gezwungen, ihre Produktionsprozesse zu überdenken und in Forschung und Entwicklung zu investieren, um ihre Wettbewerbsfähigkeit in einer kohlenstoffarmen Wirtschaft zu erhalten. Dies führt nicht nur zu direkten Emissionsreduktionen, sondern auch zu einem breiteren technologischen Fortschritt, der über die Grenzen des Emissionshandelssystems hinaus positive Auswirkungen haben kann (Levi-Bliech &amp; Dahan, 2025). Die chinesische Regierung hat beispielsweise in ihrem nationalen Emissionshandelssystem ebenfalls auf wirtschaftliche Anreize zur Umweltverschmutzungsbekämpfung gesetzt, um grüne Innovationen zu fördern und ihre Klimaziele zu erreichen (Zhao et al., 2024). Die Integration von CO2-Märkten in eine umfassendere Klimapolitik, die auch Subventionen für erneuerbare Energien, Regulierungen für Energieeffizienz und Investitionen in die Forschung und Entwicklung umfasst, kann die Wirksamkeit des Instruments maximieren (Pigato, 2018). Diese Kombination von Preissignalen und direkten Fördermaßnahmen ist entscheidend, um sowohl kurzfristige Reduktionsziele zu erreichen als auch langfristige Transformationen der Wirtschaft zu ermöglichen (Digitemie &amp; Ekemezie, 2024).</w:t>
      </w:r>
    </w:p>
    <w:p>
      <w:pPr>
        <w:pStyle w:val="BodyText"/>
      </w:pPr>
      <w:r>
        <w:t xml:space="preserve">Die Implikationen für die Klimapolitik sind somit vielschichtig. Emissionshandelssysteme bieten einen flexiblen und kosteneffizienten Weg zur Emissionsreduktion, setzen Anreize für Innovationen und können in unterschiedlichen geografischen und wirtschaftlichen Kontexten angewendet werden. Ihre erfolgreiche Implementierung erfordert jedoch ein robustes Design, Anpassungsfähigkeit an Marktdynamiken und eine sorgfältige Integration in einen breiteren Policy-Mix, um die gewünschten Umweltziele zu erreichen und gleichzeitig wirtschaftliche und soziale Herausforderungen zu minimieren (Peeters, 2008). Die Lehren aus den bestehenden Systemen, wie dem EU ETS und dem chinesischen Markt (Zhu et al., 2023), sind von unschätzbarem Wert für die Weiterentwicklung und die globale Verbreitung dieses wichtigen klimapolitischen Instruments.</w:t>
      </w:r>
    </w:p>
    <w:p>
      <w:pPr>
        <w:pStyle w:val="Heading3"/>
      </w:pPr>
      <w:bookmarkStart w:id="51" w:name="X6608d10b0d75e437a43dc4ddb42682fa31d7c3e"/>
      <w:r>
        <w:t xml:space="preserve">2. Grenzen und Herausforderungen des Emissionshandels</w:t>
      </w:r>
      <w:bookmarkEnd w:id="51"/>
    </w:p>
    <w:p>
      <w:pPr>
        <w:pStyle w:val="FirstParagraph"/>
      </w:pPr>
      <w:r>
        <w:t xml:space="preserve">Trotz des Potenzials des Emissionshandels zur Kosteneffizienz und Innovationsförderung ist das Instrument nicht frei von Grenzen und Herausforderungen. Eine der prominentesten Schwierigkeiten ist die</w:t>
      </w:r>
      <w:r>
        <w:t xml:space="preserve"> </w:t>
      </w:r>
      <w:r>
        <w:rPr>
          <w:b/>
        </w:rPr>
        <w:t xml:space="preserve">Preisvolatilität</w:t>
      </w:r>
      <w:r>
        <w:t xml:space="preserve"> </w:t>
      </w:r>
      <w:r>
        <w:t xml:space="preserve">auf den CO2-Märkten. Die Preise für Emissionszertifikate können stark schwanken, beeinflusst durch externe Faktoren wie Wirtschaftskrisen, Energiepreise oder politische Entscheidungen (Eslahi et al., 2026). Solche Schwankungen erschweren Unternehmen die Planung und können Investitionen in Dekarbonisierung verzögern oder sogar verhindern, da die Unsicherheit über zukünftige CO2-Kosten zu hoch wird. Wenn der Preis zu niedrig ist, fehlen die Anreize für Reduktionen; ist er zu hoch, drohen Wettbewerbsnachteile. Die Erfahrungen aus dem EU ETS haben gezeigt, dass Marktinterventionen wie die Marktstabilitätsreserve notwendig sein können, um extreme Preisschwankungen zu dämpfen und ein stabileres Preissignal zu gewährleisten (Wildgrube, 2023). Ohne solche Mechanismen kann die Effektivität des Systems erheblich untergraben werden (Black, 2018).</w:t>
      </w:r>
    </w:p>
    <w:p>
      <w:pPr>
        <w:pStyle w:val="BodyText"/>
      </w:pPr>
      <w:r>
        <w:t xml:space="preserve">Eine weitere kritische Herausforderung ist das Problem des</w:t>
      </w:r>
      <w:r>
        <w:t xml:space="preserve"> </w:t>
      </w:r>
      <w:r>
        <w:rPr>
          <w:b/>
        </w:rPr>
        <w:t xml:space="preserve">Carbon Leakage</w:t>
      </w:r>
      <w:r>
        <w:t xml:space="preserve"> </w:t>
      </w:r>
      <w:r>
        <w:t xml:space="preserve">(Kohlenstoffverlagerung). Dies tritt auf, wenn Unternehmen ihre Produktion in Länder mit weniger strengen Klimaschutzauflagen verlagern, um die Kosten des Emissionshandels zu umgehen. Dies führt nicht nur zu einem Verlust von Arbeitsplätzen und Wirtschaftsleistung im Land mit dem ETS, sondern verlagert die Emissionen lediglich geografisch, anstatt sie global zu reduzieren (Martinus &amp; Laopirun, 2023). Das Ergebnis ist ein Netto-Null-Effekt oder sogar eine Erhöhung der globalen Emissionen, was dem ursprünglichen Ziel des Klimaschutzes zuwiderläuft. Um diesem Problem entgegenzuwirken, hat die Europäische Union den Carbon Border Adjustment Mechanism (CBAM) vorgeschlagen, der Importe aus Ländern mit geringeren CO2-Preisen mit einer Abgabe belegt (Martinus &amp; Laopirun, 2023). Während CBAM das Potenzial hat, Leakage zu reduzieren und gleiche Wettbewerbsbedingungen zu schaffen, birgt es eigene Herausforderungen in Bezug auf Komplexität, internationale Handelsbeziehungen und mögliche Vergeltungsmaßnahmen (Martinus &amp; Laopirun, 2023).</w:t>
      </w:r>
    </w:p>
    <w:p>
      <w:pPr>
        <w:pStyle w:val="BodyText"/>
      </w:pPr>
      <w:r>
        <w:t xml:space="preserve">Die</w:t>
      </w:r>
      <w:r>
        <w:t xml:space="preserve"> </w:t>
      </w:r>
      <w:r>
        <w:rPr>
          <w:b/>
        </w:rPr>
        <w:t xml:space="preserve">Verteilungswirkungen</w:t>
      </w:r>
      <w:r>
        <w:t xml:space="preserve"> </w:t>
      </w:r>
      <w:r>
        <w:t xml:space="preserve">des Emissionshandels stellen eine weitere wichtige Grenze dar. Die Kosten für Emissionszertifikate werden oft an die Verbraucher weitergegeben, was insbesondere Haushalte mit geringem Einkommen überproportional belasten kann (Pigato, 2018). Dies kann zu sozialer Ungerechtigkeit führen und die öffentliche Akzeptanz für Klimaschutzmaßnahmen untergraben. Politikmaßnahmen müssen daher sorgfältig konzipiert werden, um diese Effekte abzufedern, beispielsweise durch die Verwendung von Einnahmen aus dem Emissionshandel zur Unterstützung betroffener Haushalte oder zur Förderung energieeffizienter Technologien, die langfristig die Kosten senken (Pigato, 2018). Ohne solche kompensatorischen Maßnahmen besteht die Gefahr, dass der Emissionshandel als regressives Instrument wahrgenommen wird, was seinen politischen Rückhalt schwächen könnte.</w:t>
      </w:r>
    </w:p>
    <w:p>
      <w:pPr>
        <w:pStyle w:val="BodyText"/>
      </w:pPr>
      <w:r>
        <w:rPr>
          <w:b/>
        </w:rPr>
        <w:t xml:space="preserve">Administrative Komplexität und Governance</w:t>
      </w:r>
      <w:r>
        <w:t xml:space="preserve"> </w:t>
      </w:r>
      <w:r>
        <w:t xml:space="preserve">sind ebenfalls erhebliche Herausforderungen. Die Einrichtung und der Betrieb eines Emissionshandelssystems erfordern eine robuste rechtliche und institutionelle Infrastruktur, die Überwachung, Berichterstattung und Verifizierung (MRV) von Emissionen sowie die Verwaltung des Zertifikateregisters umfasst (Wurzel et al., 2013)(Aristizabal &amp; Gonzalez Manosalva, 2021). Fehler oder Schwächen in diesen Systemen können zu Betrug, mangelnder Datenintegrität und einer Untergrabung der Glaubwürdigkeit des Marktes führen. Die Festlegung des Caps, die Zuteilung von Zertifikaten (kostenlos oder über Auktionen) und die Definition der teilnehmenden Sektoren sind komplexe politische Entscheidungen, die oft von Lobbyinteressen beeinflusst werden und das Design des Systems erheblich prägen (Peeters, 2008). Die Erfahrungen aus dem Kyoto-Protokoll und den frühen Phasen des EU ETS haben gezeigt, wie wichtig eine klare Governance und eine konsistente Durchsetzung der Regeln sind, um die Integrität und Wirksamkeit des Marktes zu gewährleisten (Black, 2018).</w:t>
      </w:r>
    </w:p>
    <w:p>
      <w:pPr>
        <w:pStyle w:val="BodyText"/>
      </w:pPr>
      <w:r>
        <w:t xml:space="preserve">Schließlich besteht die Herausforderung, dass der Emissionshandel allein nicht ausreicht, um die Klimaziele zu erreichen. Er muss als Teil eines breiteren Policy-Mixes gesehen werden, der technologische Innovationen, Infrastrukturinvestitionen und Verhaltensänderungen adressiert (Digitemie &amp; Ekemezie, 2024). Ohne flankierende Maßnahmen, wie die Förderung von Forschung und Entwicklung im Bereich sauberer Technologien oder die Schaffung eines unterstützenden Rechtsrahmens, kann das Preissignal des Emissionshandels seine volle Wirkung nicht entfalten (Bhowmik et al., 2022). Die Grenzen des Emissionshandels liegen somit nicht nur in seinen intrinsischen Merkmalen, sondern auch in der Notwendigkeit, ihn in ein kohärentes und umfassendes Klimaschutzpaket einzubetten, das auch die sozialen und wirtschaftlichen Dimensionen der Transformation berücksichtigt.</w:t>
      </w:r>
    </w:p>
    <w:p>
      <w:pPr>
        <w:pStyle w:val="Heading3"/>
      </w:pPr>
      <w:bookmarkStart w:id="52" w:name="verbesserungsvorschläge-für-co2-märkte"/>
      <w:r>
        <w:t xml:space="preserve">3. Verbesserungsvorschläge für CO2-Märkte</w:t>
      </w:r>
      <w:bookmarkEnd w:id="52"/>
    </w:p>
    <w:p>
      <w:pPr>
        <w:pStyle w:val="FirstParagraph"/>
      </w:pPr>
      <w:r>
        <w:t xml:space="preserve">Um die Effektivität und Akzeptanz von CO2-Märkten zu steigern, sind gezielte Verbesserungen in Design und Implementierung unerlässlich. Ein zentraler Ansatzpunkt ist die</w:t>
      </w:r>
      <w:r>
        <w:t xml:space="preserve"> </w:t>
      </w:r>
      <w:r>
        <w:rPr>
          <w:b/>
        </w:rPr>
        <w:t xml:space="preserve">Optimierung der Marktstabilität und Preisvorhersehbarkeit</w:t>
      </w:r>
      <w:r>
        <w:t xml:space="preserve">. Die Erfahrungen des EU ETS haben die Bedeutung einer dynamischen Anpassung des Zertifikatsangebots an die Marktentwicklungen gezeigt. Die Marktstabilitätsreserve (MSR) ist hierbei ein entscheidendes Instrument, das bei einem Überschuss an Zertifikaten automatisch Kontingente vom Markt nimmt und bei einer Knappheit wieder zuführt (Wildgrube, 2023). Um die Preisvorhersehbarkeit weiter zu verbessern und extreme Volatilität zu vermeiden, könnten Mechanismen wie Preisunter- und -obergrenzen (Price Collars) oder ein dynamisches Cap in Betracht gezogen werden (media.rff.org, 2025). Ein Mindestpreis würde Investitionssicherheit bieten, während ein Höchstpreis vor extremen Kostenbelastungen schützen könnte. Solche Mechanismen müssen jedoch sorgfältig kalibriert werden, um die Preisfindungsfunktion des Marktes nicht zu untergraben.</w:t>
      </w:r>
    </w:p>
    <w:p>
      <w:pPr>
        <w:pStyle w:val="BodyText"/>
      </w:pPr>
      <w:r>
        <w:t xml:space="preserve">Ein weiterer wichtiger Hebel ist die</w:t>
      </w:r>
      <w:r>
        <w:t xml:space="preserve"> </w:t>
      </w:r>
      <w:r>
        <w:rPr>
          <w:b/>
        </w:rPr>
        <w:t xml:space="preserve">Ausweitung des Geltungsbereichs und die Integration neuer Sektoren</w:t>
      </w:r>
      <w:r>
        <w:t xml:space="preserve">. Bisher konzentrieren sich viele Emissionshandelssysteme auf große Industrieanlagen und die Energiewirtschaft (Edwin &amp; Josephine, 2023). Um jedoch die ambitionierten Klimaziele zu erreichen, ist es notwendig, auch Sektoren wie den Verkehr und Gebäude in den Emissionshandel einzubeziehen. Die EU hat mit der geplanten Einführung eines separaten ETS für Gebäude und Verkehr einen wichtigen Schritt in diese Richtung unternommen (Wildgrube, 2023). Eine solche Ausweitung erhöht die Abdeckung der Emissionen und schafft umfassendere Anreize für Reduktionen. Gleichzeitig müssen die spezifischen Herausforderungen dieser Sektoren, wie die Fragmentierung der Emittenten und die potenziellen sozialen Auswirkungen, berücksichtigt und durch geeignete Begleitmaßnahmen abgefedert werden (Pigato, 2018).</w:t>
      </w:r>
    </w:p>
    <w:p>
      <w:pPr>
        <w:pStyle w:val="BodyText"/>
      </w:pPr>
      <w:r>
        <w:t xml:space="preserve">Die</w:t>
      </w:r>
      <w:r>
        <w:t xml:space="preserve"> </w:t>
      </w:r>
      <w:r>
        <w:rPr>
          <w:b/>
        </w:rPr>
        <w:t xml:space="preserve">Harmonisierung und Verknüpfung (Linking) verschiedener CO2-Märkte</w:t>
      </w:r>
      <w:r>
        <w:t xml:space="preserve"> </w:t>
      </w:r>
      <w:r>
        <w:t xml:space="preserve">bietet ein erhebliches Potenzial zur Steigerung der Effizienz und zur Reduzierung von Leakage-Risiken (Raufer &amp; Iyer, 2012). Wenn verschiedene Emissionshandelssysteme miteinander verbunden werden, entsteht ein größerer und liquiderer Markt, der die Kosteneffizienz der Emissionsreduktionen global maximieren kann. Ein globaler CO2-Preis oder zumindest die Verknüpfung großer regionaler Märkte würde gleiche Wettbewerbsbedingungen schaffen und die Gefahr der Kohlenstoffverlagerung minimieren (Black, 2018). Die Erfahrungen mit der Verknüpfung des EU ETS mit anderen Systemen, wie dem Schweizer ETS, zeigen die Machbarkeit solcher Ansätze (Criblez et al., 2018). Auch wenn politische und technische Hürden bestehen, sollte die Entwicklung einer globalen Architektur von CO2-Märkten langfristig ein Ziel bleiben.</w:t>
      </w:r>
    </w:p>
    <w:p>
      <w:pPr>
        <w:pStyle w:val="BodyText"/>
      </w:pPr>
      <w:r>
        <w:t xml:space="preserve">Zur weiteren Förderung von Innovationen sollten CO2-Märkte durch</w:t>
      </w:r>
      <w:r>
        <w:t xml:space="preserve"> </w:t>
      </w:r>
      <w:r>
        <w:rPr>
          <w:b/>
        </w:rPr>
        <w:t xml:space="preserve">gezielte Anreize für grüne Technologien</w:t>
      </w:r>
      <w:r>
        <w:t xml:space="preserve"> </w:t>
      </w:r>
      <w:r>
        <w:t xml:space="preserve">ergänzt werden. Während der CO2-Preis einen allgemeinen Anreiz schafft, können spezifische Förderprogramme für Forschung und Entwicklung, Steuervergünstigungen für Investitionen in emissionsarme Technologien oder Innovationsfonds, die aus den Einnahmen des Emissionshandels finanziert werden, die Entwicklung und Markteinführung neuer Lösungen beschleunigen (Bhowmik et al., 2022)(Levi-Bliech &amp; Dahan, 2025). Die Verknüpfung von CO2-Preisen mit Innovationspolitik kann einen doppelten Nutzen erzielen: Sie senkt die Kosten für zukünftige Reduktionen und stärkt gleichzeitig die Wettbewerbsfähigkeit der Wirtschaft in einer dekarbonisierten Welt (Levi-Bliech &amp; Dahan, 2025). Die Rolle von Unternehmensstrategien zur nachhaltigen Entwicklung, die Green Innovation Products integrieren, wird dabei immer wichtiger (Tang, 2025).</w:t>
      </w:r>
    </w:p>
    <w:p>
      <w:pPr>
        <w:pStyle w:val="BodyText"/>
      </w:pPr>
      <w:r>
        <w:t xml:space="preserve">Schließlich ist die</w:t>
      </w:r>
      <w:r>
        <w:t xml:space="preserve"> </w:t>
      </w:r>
      <w:r>
        <w:rPr>
          <w:b/>
        </w:rPr>
        <w:t xml:space="preserve">Transparenz und Datenintegrität</w:t>
      </w:r>
      <w:r>
        <w:t xml:space="preserve"> </w:t>
      </w:r>
      <w:r>
        <w:t xml:space="preserve">entscheidend für die Glaubwürdigkeit der CO2-Märkte. Robuste Mechanismen für die Überwachung, Berichterstattung und Verifizierung (MRV) von Emissionen sind unerlässlich (Aristizabal &amp; Gonzalez Manosalva, 2021). Die Nutzung fortschrittlicher Technologien wie Blockchain für die Zertifikatsverwaltung könnte die Sicherheit und Nachvollziehbarkeit erhöhen, obwohl dies noch Gegenstand der Forschung ist. Darüber hinaus sollten die Einnahmen aus dem Emissionshandel transparent verwendet werden, um die Akzeptanz in der Öffentlichkeit zu erhöhen und sicherzustellen, dass die Mittel für klimarelevante Projekte oder soziale Ausgleichsmaßnahmen eingesetzt werden (Pigato, 2018). Die Entwicklung von Standards für hochintegre freiwillige Kohlenstoffmärkte (Swinfield &amp; Toye Scott, 2025) kann auch als Modell für mehr Transparenz und Glaubwürdigkeit in regulierten Märkten dienen.</w:t>
      </w:r>
    </w:p>
    <w:p>
      <w:pPr>
        <w:pStyle w:val="Heading3"/>
      </w:pPr>
      <w:bookmarkStart w:id="53" w:name="rolle-im-globalen-klimaschutz"/>
      <w:r>
        <w:t xml:space="preserve">4. Rolle im globalen Klimaschutz</w:t>
      </w:r>
      <w:bookmarkEnd w:id="53"/>
    </w:p>
    <w:p>
      <w:pPr>
        <w:pStyle w:val="FirstParagraph"/>
      </w:pPr>
      <w:r>
        <w:t xml:space="preserve">Der Emissionshandel spielt eine zunehmend wichtige Rolle im globalen Klimaschutz und ist ein wesentlicher Bestandteil der internationalen Bemühungen zur Erreichung der Ziele des Pariser Abkommens (Lake, 2015)(Digitemie &amp; Ekemezie, 2024). Das Pariser Abkommen ermöglicht es den Ländern, Emissionsreduktionen durch internationale Kooperation zu erzielen, was den Weg für die Verknüpfung nationaler und regionaler Kohlenstoffmärkte ebnet. Artikel 6 des Abkommens sieht Mechanismen für den internationalen Transfer von Minderungsergebnissen vor, was die globale Kosteneffizienz der Klimaschutzmaßnahmen erheblich steigern könnte (Lake, 2015). Indem es Ländern ermöglicht wird, Emissionsreduktionen dort zu kaufen, wo sie am günstigsten sind, kann das globale Emissionsbudget effizienter genutzt werden, und ehrgeizigere Klimaziele werden erreichbar.</w:t>
      </w:r>
    </w:p>
    <w:p>
      <w:pPr>
        <w:pStyle w:val="BodyText"/>
      </w:pPr>
      <w:r>
        <w:t xml:space="preserve">Die Verbreitung von Emissionshandelssystemen weltweit ist ein klares Indiz für ihre wachsende Bedeutung. Neben dem etablierten EU ETS haben zahlreiche andere Länder und Regionen eigene Systeme eingeführt oder planen deren Einführung, darunter China (Zhu et al., 2023)(Zhao et al., 2024), Kalifornien, Südkorea und Kanada. Diese regionalen Initiativen tragen nicht nur zur Emissionsreduktion in den jeweiligen Jurisdiktionen bei, sondern schaffen auch eine Basis für zukünftige internationale Verknüpfungen. Die Erfahrungen, die in diesen unterschiedlichen Kontexten gesammelt werden – von Entwicklungsländern bis hin zu hochentwickelten Industrienationen – sind von unschätzbarem Wert für die Weiterentwicklung und Anpassung des Instruments an spezifische regionale Gegebenheiten. Die chinesischen Erfahrungen, beispielsweise, zeigen die Herausforderungen und Potenziale eines Emissionshandelssystems in einer großen und schnell wachsenden Volkswirtschaft (Zhu et al., 2023)(Zhao et al., 2024).</w:t>
      </w:r>
    </w:p>
    <w:p>
      <w:pPr>
        <w:pStyle w:val="BodyText"/>
      </w:pPr>
      <w:r>
        <w:t xml:space="preserve">Der Emissionshandel kann auch dazu beitragen, die Prinzipien der</w:t>
      </w:r>
      <w:r>
        <w:t xml:space="preserve"> </w:t>
      </w:r>
      <w:r>
        <w:t xml:space="preserve">“</w:t>
      </w:r>
      <w:r>
        <w:t xml:space="preserve">gemeinsamen, aber differenzierten Verantwortlichkeiten und jeweiligen Fähigkeiten</w:t>
      </w:r>
      <w:r>
        <w:t xml:space="preserve">”</w:t>
      </w:r>
      <w:r>
        <w:t xml:space="preserve"> </w:t>
      </w:r>
      <w:r>
        <w:t xml:space="preserve">zu unterstützen, die im globalen Klimaschutz zentral sind (Digitemie &amp; Ekemezie, 2024). Entwicklungsländer, die möglicherweise geringere historische Emissionen, aber ein hohes Potenzial für kostengünstige Reduktionen haben, könnten von der Teilnahme an internationalen Kohlenstoffmärkten profitieren. Durch den Verkauf von Emissionszertifikaten könnten sie Einnahmen erzielen, die in nachhaltige Entwicklung und Klimaanpassungsmaßnahmen investiert werden können. Dies schafft einen finanziellen Anreiz für Klimaschutz in Regionen, die sonst Schwierigkeiten hätten, die notwendigen Investitionen zu tätigen (Pigato, 2018). Gleichzeitig ermöglicht es Industrieländern, ihre eigenen, oft teureren Reduktionsziele durch den Kauf von Zertifikaten kosteneffizienter zu erreichen.</w:t>
      </w:r>
    </w:p>
    <w:p>
      <w:pPr>
        <w:pStyle w:val="BodyText"/>
      </w:pPr>
      <w:r>
        <w:t xml:space="preserve">Allerdings gibt es auch Herausforderungen bei der globalen Integration von CO2-Märkten. Die Unterschiede in den nationalen Ambitionsniveaus, den Governance-Strukturen und den MRV-Standards können die Verknüpfung erschweren (Black, 2018). Eine zu schnelle oder unkoordinierte Verknüpfung könnte zu einer Schwächung der Wirksamkeit führen, wenn beispielsweise Systeme mit laxeren Regeln die Preise in ambitionierteren Systemen unterbieten. Daher ist ein schrittweiser und sorgfältig koordinierter Ansatz erforderlich, der auf der Harmonisierung von Regeln und der Sicherstellung der Integrität der beteiligten Märkte basiert. Freiwillige Kohlenstoffmärkte, obwohl sie nicht direkt reguliert sind, spielen ebenfalls eine ergänzende Rolle, indem sie Finanzmittel für Emissionsreduktionsprojekte in Sektoren bereitstellen, die nicht vom regulierten Emissionshandel abgedeckt sind, und so zur Gesamtreduktion beitragen (Swinfield &amp; Toye Scott, 2025).</w:t>
      </w:r>
    </w:p>
    <w:p>
      <w:pPr>
        <w:pStyle w:val="BodyText"/>
      </w:pPr>
      <w:r>
        <w:t xml:space="preserve">Zusammenfassend lässt sich sagen, dass der Emissionshandel als Instrument mit dem Potenzial zur globalen Skalierung und zur Steigerung der Kosteneffizienz des Klimaschutzes von entscheidender Bedeutung ist. Er bietet einen Weg, die Ambitionen des Pariser Abkommens durch marktbasierte Mechanismen zu unterstützen und gleichzeitig die unterschiedlichen nationalen Gegebenheiten zu berücksichtigen. Die Weiterentwicklung von Artikel 6 des Pariser Abkommens und die zunehmende Verbreitung regionaler Systeme sind vielversprechende Zeichen für die wachsende Rolle des Emissionshandels im globalen Kampf gegen den Klimawandel.</w:t>
      </w:r>
    </w:p>
    <w:p>
      <w:pPr>
        <w:pStyle w:val="Heading3"/>
      </w:pPr>
      <w:bookmarkStart w:id="54" w:name="empfehlungen-für-politik-und-wirtschaft"/>
      <w:r>
        <w:t xml:space="preserve">5. Empfehlungen für Politik und Wirtschaft</w:t>
      </w:r>
      <w:bookmarkEnd w:id="54"/>
    </w:p>
    <w:p>
      <w:pPr>
        <w:pStyle w:val="FirstParagraph"/>
      </w:pPr>
      <w:r>
        <w:t xml:space="preserve">Basierend auf den identifizierten Implikationen, Grenzen und Verbesserungspotenzialen des Emissionshandels lassen sich konkrete Empfehlungen für Politik und Wirtschaft ableiten, um die Wirksamkeit dieses Instruments im Kampf gegen den Klimawandel zu maximieren.</w:t>
      </w:r>
    </w:p>
    <w:p>
      <w:pPr>
        <w:pStyle w:val="BodyText"/>
      </w:pPr>
      <w:r>
        <w:rPr>
          <w:b/>
        </w:rPr>
        <w:t xml:space="preserve">Für die Politik:</w:t>
      </w:r>
    </w:p>
    <w:p>
      <w:pPr>
        <w:numPr>
          <w:ilvl w:val="0"/>
          <w:numId w:val="1011"/>
        </w:numPr>
        <w:pStyle w:val="Compact"/>
      </w:pPr>
      <w:r>
        <w:rPr>
          <w:b/>
        </w:rPr>
        <w:t xml:space="preserve">Dynamisches Cap-Management und Preisstabilität:</w:t>
      </w:r>
      <w:r>
        <w:t xml:space="preserve"> </w:t>
      </w:r>
      <w:r>
        <w:t xml:space="preserve">Die Regierungen sollten Mechanismen zur dynamischen Anpassung des Emissions-Caps implementieren, um auf Wirtschaftsschwankungen und technologischen Fortschritt reagieren zu können. Die Marktstabilitätsreserve (MSR) im EU ETS ist ein gutes Beispiel, das weiterentwickelt werden sollte, möglicherweise durch die Einführung von Preisunter- und -obergrenzen, um die Preisvolatilität zu reduzieren und Investitionssicherheit zu gewährleisten (Wildgrube, 2023). Ein stabiler und vorhersehbarer CO2-Preis ist essenziell für langfristige Investitionen in Dekarbonisierung (Bohm, 2002).</w:t>
      </w:r>
    </w:p>
    <w:p>
      <w:pPr>
        <w:numPr>
          <w:ilvl w:val="0"/>
          <w:numId w:val="1011"/>
        </w:numPr>
        <w:pStyle w:val="Compact"/>
      </w:pPr>
      <w:r>
        <w:rPr>
          <w:b/>
        </w:rPr>
        <w:t xml:space="preserve">Ausweitung und Integration von Sektoren:</w:t>
      </w:r>
      <w:r>
        <w:t xml:space="preserve"> </w:t>
      </w:r>
      <w:r>
        <w:t xml:space="preserve">Der Geltungsbereich von Emissionshandelssystemen sollte schrittweise auf weitere Sektoren, insbesondere den Verkehr und Gebäude, ausgeweitet werden, um eine umfassendere Emissionsabdeckung zu erreichen. Dabei müssen jedoch flankierende Maßnahmen ergriffen werden, um soziale Härten abzufedern und die Akzeptanz in der Bevölkerung zu sichern (Pigato, 2018).</w:t>
      </w:r>
    </w:p>
    <w:p>
      <w:pPr>
        <w:numPr>
          <w:ilvl w:val="0"/>
          <w:numId w:val="1011"/>
        </w:numPr>
        <w:pStyle w:val="Compact"/>
      </w:pPr>
      <w:r>
        <w:rPr>
          <w:b/>
        </w:rPr>
        <w:t xml:space="preserve">Internationale Harmonisierung und Verknüpfung:</w:t>
      </w:r>
      <w:r>
        <w:t xml:space="preserve"> </w:t>
      </w:r>
      <w:r>
        <w:t xml:space="preserve">Politische Entscheidungsträger sollten aktiv die Harmonisierung von Emissionshandelssystemen auf internationaler Ebene fördern und die Verknüpfung von Märkten erleichtern. Dies würde die Kosteneffizienz global steigern, Carbon Leakage minimieren und einen Beitrag zu einem globalen CO2-Preis leisten (Raufer &amp; Iyer, 2012)(Black, 2018). Die Ausgestaltung von Artikel 6 des Pariser Abkommens muss hierbei priorisiert werden (Lake, 2015).</w:t>
      </w:r>
    </w:p>
    <w:p>
      <w:pPr>
        <w:numPr>
          <w:ilvl w:val="0"/>
          <w:numId w:val="1011"/>
        </w:numPr>
        <w:pStyle w:val="Compact"/>
      </w:pPr>
      <w:r>
        <w:rPr>
          <w:b/>
        </w:rPr>
        <w:t xml:space="preserve">Einnahmennutzung für Klimaschutz und soziale Gerechtigkeit:</w:t>
      </w:r>
      <w:r>
        <w:t xml:space="preserve"> </w:t>
      </w:r>
      <w:r>
        <w:t xml:space="preserve">Die Einnahmen aus dem Emissionshandel sollten transparent und zielgerichtet eingesetzt werden. Ein signifikanter Teil dieser Einnahmen sollte in Forschung und Entwicklung emissionsarmer Technologien, in Infrastrukturprojekte für erneuerbare Energien und in Maßnahmen zur Unterstützung von Haushalten mit geringem Einkommen investiert werden, um die sozialen Auswirkungen abzufedern (Pigato, 2018)(Bhowmik et al., 2022).</w:t>
      </w:r>
    </w:p>
    <w:p>
      <w:pPr>
        <w:numPr>
          <w:ilvl w:val="0"/>
          <w:numId w:val="1011"/>
        </w:numPr>
        <w:pStyle w:val="Compact"/>
      </w:pPr>
      <w:r>
        <w:rPr>
          <w:b/>
        </w:rPr>
        <w:t xml:space="preserve">Stärkung von MRV und Governance:</w:t>
      </w:r>
      <w:r>
        <w:t xml:space="preserve"> </w:t>
      </w:r>
      <w:r>
        <w:t xml:space="preserve">Die regulatorischen Rahmenbedingungen für Überwachung, Berichterstattung und Verifizierung (MRV) von Emissionen müssen kontinuierlich verbessert und durchgesetzt werden (Aristizabal &amp; Gonzalez Manosalva, 2021). Eine robuste Governance-Struktur ist entscheidend, um Betrug zu verhindern und die Integrität und Glaubwürdigkeit des Marktes zu gewährleisten (Wurzel et al., 2013).</w:t>
      </w:r>
    </w:p>
    <w:p>
      <w:pPr>
        <w:pStyle w:val="FirstParagraph"/>
      </w:pPr>
      <w:r>
        <w:rPr>
          <w:b/>
        </w:rPr>
        <w:t xml:space="preserve">Für die Wirtschaft:</w:t>
      </w:r>
    </w:p>
    <w:p>
      <w:pPr>
        <w:numPr>
          <w:ilvl w:val="0"/>
          <w:numId w:val="1012"/>
        </w:numPr>
        <w:pStyle w:val="Compact"/>
      </w:pPr>
      <w:r>
        <w:rPr>
          <w:b/>
        </w:rPr>
        <w:t xml:space="preserve">Strategische Dekarbonisierungsplanung:</w:t>
      </w:r>
      <w:r>
        <w:t xml:space="preserve"> </w:t>
      </w:r>
      <w:r>
        <w:t xml:space="preserve">Unternehmen sollten den CO2-Preis nicht nur als Kostenfaktor, sondern als strategisches Signal für die Transformation ihrer Geschäftsmodelle verstehen (Tang, 2025). Eine proaktive Dekarbonisierungsstrategie, die Investitionen in Energieeffizienz, erneuerbare Energien und kohlenstoffarme Produktionsprozesse umfasst, kann langfristige Wettbewerbsvorteile sichern.</w:t>
      </w:r>
    </w:p>
    <w:p>
      <w:pPr>
        <w:numPr>
          <w:ilvl w:val="0"/>
          <w:numId w:val="1012"/>
        </w:numPr>
        <w:pStyle w:val="Compact"/>
      </w:pPr>
      <w:r>
        <w:rPr>
          <w:b/>
        </w:rPr>
        <w:t xml:space="preserve">Förderung grüner Innovationen:</w:t>
      </w:r>
      <w:r>
        <w:t xml:space="preserve"> </w:t>
      </w:r>
      <w:r>
        <w:t xml:space="preserve">Die Wirtschaft sollte verstärkt in Forschung und Entwicklung von grünen Technologien und Produkten investieren. Der Emissionshandel schafft den finanziellen Anreiz, aber die aktive Innovationsförderung durch Unternehmen ist entscheidend, um neue Lösungen zu schaffen und am Markt zu etablieren (Levi-Bliech &amp; Dahan, 2025)(Bhowmik et al., 2022).</w:t>
      </w:r>
    </w:p>
    <w:p>
      <w:pPr>
        <w:numPr>
          <w:ilvl w:val="0"/>
          <w:numId w:val="1012"/>
        </w:numPr>
        <w:pStyle w:val="Compact"/>
      </w:pPr>
      <w:r>
        <w:rPr>
          <w:b/>
        </w:rPr>
        <w:t xml:space="preserve">Optimierung der Lieferkette:</w:t>
      </w:r>
      <w:r>
        <w:t xml:space="preserve"> </w:t>
      </w:r>
      <w:r>
        <w:t xml:space="preserve">Unternehmen sollten die Emissionen entlang ihrer gesamten Lieferkette analysieren und optimieren. Dies umfasst die Zusammenarbeit mit Zulieferern, um deren Kohlenstoffintensität zu reduzieren, und die Auswahl von Materialien und Transportwegen mit geringerem Fußabdruck. Corporate Sustainability Development-Prinzipien (Tang, 2025) sind hierbei leitend.</w:t>
      </w:r>
    </w:p>
    <w:p>
      <w:pPr>
        <w:numPr>
          <w:ilvl w:val="0"/>
          <w:numId w:val="1012"/>
        </w:numPr>
        <w:pStyle w:val="Compact"/>
      </w:pPr>
      <w:r>
        <w:rPr>
          <w:b/>
        </w:rPr>
        <w:t xml:space="preserve">Risikomanagement und Anpassung:</w:t>
      </w:r>
      <w:r>
        <w:t xml:space="preserve"> </w:t>
      </w:r>
      <w:r>
        <w:t xml:space="preserve">Angesichts der potenziellen Preisvolatilität auf den CO2-Märkten sollten Unternehmen robuste Risikomanagementstrategien entwickeln. Dies kann Absicherungsstrategien für CO2-Zertifikate, aber auch eine Diversifizierung der Energiequellen und eine Reduzierung der Abhängigkeit von fossilen Brennstoffen umfassen.</w:t>
      </w:r>
    </w:p>
    <w:p>
      <w:pPr>
        <w:numPr>
          <w:ilvl w:val="0"/>
          <w:numId w:val="1012"/>
        </w:numPr>
        <w:pStyle w:val="Compact"/>
      </w:pPr>
      <w:r>
        <w:rPr>
          <w:b/>
        </w:rPr>
        <w:t xml:space="preserve">Engagement im politischen Dialog:</w:t>
      </w:r>
      <w:r>
        <w:t xml:space="preserve"> </w:t>
      </w:r>
      <w:r>
        <w:t xml:space="preserve">Die Wirtschaft sollte sich aktiv und konstruktiv am politischen Dialog über die Gestaltung und Weiterentwicklung von CO2-Märkten beteiligen. Eine enge Zusammenarbeit zwischen Politik und Wirtschaft kann dazu beitragen, praktikable und effektive Lösungen zu entwickeln, die sowohl Umweltziele als auch wirtschaftliche Realitäten berücksichtigen.</w:t>
      </w:r>
    </w:p>
    <w:p>
      <w:pPr>
        <w:pStyle w:val="FirstParagraph"/>
      </w:pPr>
      <w:r>
        <w:t xml:space="preserve">Durch die Umsetzung dieser Empfehlungen können sowohl die Politik als auch die Wirtschaft dazu beitragen, die Effektivität und Akzeptanz des Emissionshandels als zentrales Instrument im globalen Klimaschutz zu stärken und den Übergang zu einer nachhaltigen, kohlenstoffarmen Zukunft zu beschleunigen.</w:t>
      </w:r>
    </w:p>
    <w:p>
      <w:pPr>
        <w:pStyle w:val="BodyText"/>
      </w:pPr>
      <w:r>
        <w:t xml:space="preserve">Die Diskussion hat gezeigt, dass der Emissionshandel ein mächtiges, aber komplexes Instrument im Kampf gegen den Klimawandel ist. Seine Fähigkeit, Emissionen kosteneffizient zu reduzieren und Innovationen anzuregen, ist unbestreitbar. Gleichzeitig muss er sich den Herausforderungen der Preisvolatilität, des Carbon Leakage und der sozialen Verteilungswirkungen stellen. Durch kontinuierliche Verbesserungen im Design, eine kluge Integration in einen umfassenden Policy-Mix und eine starke internationale Kooperation kann der Emissionshandel sein volles Potenzial entfalten und einen entscheidenden Beitrag zur Erreichung der globalen Klimaziele leisten. Die vorliegende Analyse unterstreicht die Notwendigkeit eines dynamischen und adaptiven Ansatzes, der sowohl ökonomische Effizienz als auch soziale Gerechtigkeit und ökologische Wirksamkeit berücksichtigt.</w:t>
      </w:r>
    </w:p>
    <w:p>
      <w:pPr>
        <w:pStyle w:val="Heading2"/>
      </w:pPr>
      <w:bookmarkStart w:id="55" w:name="einschränkungen"/>
      <w:r>
        <w:t xml:space="preserve">6. Einschränkungen</w:t>
      </w:r>
      <w:bookmarkEnd w:id="55"/>
    </w:p>
    <w:p>
      <w:pPr>
        <w:pStyle w:val="FirstParagraph"/>
      </w:pPr>
      <w:r>
        <w:t xml:space="preserve">Während diese Forschung signifikante Beiträge zum Verständnis des Emissionshandels als Klimaschutzinstrument leistet, ist es wichtig, mehrere Einschränkungen anzuerkennen, die die Ergebnisse kontextualisieren und Bereiche für zukünftige Verfeinerungen aufzeigen.</w:t>
      </w:r>
    </w:p>
    <w:p>
      <w:pPr>
        <w:pStyle w:val="Heading3"/>
      </w:pPr>
      <w:bookmarkStart w:id="56" w:name="methodologische-einschränkungen"/>
      <w:r>
        <w:t xml:space="preserve">Methodologische Einschränkungen</w:t>
      </w:r>
      <w:bookmarkEnd w:id="56"/>
    </w:p>
    <w:p>
      <w:pPr>
        <w:pStyle w:val="FirstParagraph"/>
      </w:pPr>
      <w:r>
        <w:t xml:space="preserve">Die vorliegende Arbeit basiert primär auf einer umfassenden Literaturanalyse und der Synthese empirischer Studien zu Emissionshandelssystemen. Obwohl dies einen breiten Überblick und eine fundierte Bewertung ermöglicht, ist sie keine eigenständige empirische Untersuchung mit originären Datenanalysen. Die Schlussfolgerungen stützen sich auf die Aggregation und Interpretation vorhandener Forschung, was inhärente Einschränkungen in Bezug auf die Vergleichbarkeit von Methoden, Datenqualität und Untersuchungszeiträumen mit sich bringt. Insbesondere die Isolation des kausalen Effekts von ETS von anderen klimapolitischen Maßnahmen und makroökonomischen Faktoren bleibt eine Herausforderung, die auch in der referierten Literatur oft nur mit komplexen ökonometrischen Methoden teilweise gelöst wird. Die verwendeten Modelle und statistischen Ansätze in den zitierten Studien können unterschiedliche Annahmen treffen, was eine direkte Vergleichbarkeit erschwert.</w:t>
      </w:r>
    </w:p>
    <w:p>
      <w:pPr>
        <w:pStyle w:val="Heading3"/>
      </w:pPr>
      <w:bookmarkStart w:id="57" w:name="umfang-und-generalisierbarkeit"/>
      <w:r>
        <w:t xml:space="preserve">Umfang und Generalisierbarkeit</w:t>
      </w:r>
      <w:bookmarkEnd w:id="57"/>
    </w:p>
    <w:p>
      <w:pPr>
        <w:pStyle w:val="FirstParagraph"/>
      </w:pPr>
      <w:r>
        <w:t xml:space="preserve">Die Auswahl der Fallstudien (EU ETS, kalifornisches Cap-and-Trade, chinesisches ETS) ermöglichte zwar einen Vergleich reifer und aufstrebender Systeme, ist aber nicht erschöpfend. Es gibt weitere regionale und nationale ETS weltweit, deren spezifische Erfahrungen zusätzliche Nuancen liefern könnten. Die Generalisierbarkeit der Ergebnisse auf alle Emissionshandelssysteme ist daher begrenzt und muss kontextsensitiv erfolgen. Insbesondere die Übertragung von Erfahrungen aus hochentwickelten Volkswirtschaften auf Entwicklungsländer mit unterschiedlichen institutionellen Kapazitäten, politischen Rahmenbedingungen und ökonomischen Strukturen ist nicht trivial. Die Arbeit konzentriert sich zudem stark auf CO2-Emissionen, während andere Treibhausgase und deren spezifische Minderungspotenziale weniger detailliert beleuchtet werden.</w:t>
      </w:r>
    </w:p>
    <w:p>
      <w:pPr>
        <w:pStyle w:val="Heading3"/>
      </w:pPr>
      <w:bookmarkStart w:id="58" w:name="X88a5bede20f67c1d24a17f0ff988790838ec1bd"/>
      <w:r>
        <w:t xml:space="preserve">Zeitliche und Kontextuelle Beschränkungen</w:t>
      </w:r>
      <w:bookmarkEnd w:id="58"/>
    </w:p>
    <w:p>
      <w:pPr>
        <w:pStyle w:val="FirstParagraph"/>
      </w:pPr>
      <w:r>
        <w:t xml:space="preserve">Die Analyse berücksichtigt die dynamische Entwicklung von Emissionshandelssystemen und die jüngsten Reformen (z.B. EU</w:t>
      </w:r>
      <w:r>
        <w:t xml:space="preserve"> </w:t>
      </w:r>
      <w:r>
        <w:t xml:space="preserve">“</w:t>
      </w:r>
      <w:r>
        <w:t xml:space="preserve">Fit for 55</w:t>
      </w:r>
      <w:r>
        <w:t xml:space="preserve">”</w:t>
      </w:r>
      <w:r>
        <w:t xml:space="preserve">-Paket). Dennoch ist die Klimapolitik ein sich schnell entwickelndes Feld. Neue politische Entscheidungen, technologische Durchbrüche oder unvorhergesehene globale Ereignisse können die Funktionsweise und Wirksamkeit von ETS schnell verändern. Die Prognosen und Empfehlungen basieren auf dem aktuellen Stand der Forschung und Politikgestaltung und müssen kontinuierlich an neue Entwicklungen angepasst werden. Insbesondere die langfristigen Auswirkungen von Mechanismen wie dem CBAM oder der Ausweitung von ETS auf neue Sektoren sind noch nicht vollständig empirisch belegbar und unterliegen zukünftigen Beobachtungen und Analysen.</w:t>
      </w:r>
    </w:p>
    <w:p>
      <w:pPr>
        <w:pStyle w:val="Heading3"/>
      </w:pPr>
      <w:bookmarkStart w:id="59" w:name="X3c3b348a4034908f3b5488d3ae1433ffed93057"/>
      <w:r>
        <w:t xml:space="preserve">Theoretische und konzeptionelle Einschränkungen</w:t>
      </w:r>
      <w:bookmarkEnd w:id="59"/>
    </w:p>
    <w:p>
      <w:pPr>
        <w:pStyle w:val="FirstParagraph"/>
      </w:pPr>
      <w:r>
        <w:t xml:space="preserve">Obwohl die Arbeit die wichtigsten umweltökonomischen Theorien beleuchtet, vereinfacht sie notwendigerweise die komplexen Wechselwirkungen zwischen Märkten, Akteuren und politischen Systemen. Alternative theoretische Perspektiven, wie beispielsweise Ansätze aus der politischen Ökonomie, die Machtdynamiken und Lobbyeinflüsse detaillierter analysieren, wurden nicht im vollen Umfang berücksichtigt. Die Abgrenzung und Messung von Konzepten wie</w:t>
      </w:r>
      <w:r>
        <w:t xml:space="preserve"> </w:t>
      </w:r>
      <w:r>
        <w:t xml:space="preserve">“</w:t>
      </w:r>
      <w:r>
        <w:t xml:space="preserve">grüne Innovation</w:t>
      </w:r>
      <w:r>
        <w:t xml:space="preserve">”</w:t>
      </w:r>
      <w:r>
        <w:t xml:space="preserve"> </w:t>
      </w:r>
      <w:r>
        <w:t xml:space="preserve">oder</w:t>
      </w:r>
      <w:r>
        <w:t xml:space="preserve"> </w:t>
      </w:r>
      <w:r>
        <w:t xml:space="preserve">“</w:t>
      </w:r>
      <w:r>
        <w:t xml:space="preserve">soziale Gerechtigkeit</w:t>
      </w:r>
      <w:r>
        <w:t xml:space="preserve">”</w:t>
      </w:r>
      <w:r>
        <w:t xml:space="preserve"> </w:t>
      </w:r>
      <w:r>
        <w:t xml:space="preserve">kann ebenfalls Gegenstand unterschiedlicher Interpretationen sein und wurde in der Arbeit auf Basis gängiger Indikatoren vorgenommen, ohne eine umfassende epistemologische Debatte zu führen.</w:t>
      </w:r>
    </w:p>
    <w:p>
      <w:pPr>
        <w:pStyle w:val="BodyText"/>
      </w:pPr>
      <w:r>
        <w:t xml:space="preserve">Trotz dieser Einschränkungen liefert die Forschung wertvolle Einblicke in den Emissionshandel als Klimaschutzinstrument, und die identifizierten Beschränkungen bieten klare Richtungen für zukünftige Untersuchungen.</w:t>
      </w:r>
    </w:p>
    <w:p>
      <w:r>
        <w:pict>
          <v:rect style="width:0;height:1.5pt" o:hralign="center" o:hrstd="t" o:hr="t"/>
        </w:pict>
      </w:r>
    </w:p>
    <w:p>
      <w:pPr>
        <w:pStyle w:val="Heading2"/>
      </w:pPr>
      <w:bookmarkStart w:id="60" w:name="zukünftige-forschungsrichtungen"/>
      <w:r>
        <w:t xml:space="preserve">7. Zukünftige Forschungsrichtungen</w:t>
      </w:r>
      <w:bookmarkEnd w:id="60"/>
    </w:p>
    <w:p>
      <w:pPr>
        <w:pStyle w:val="FirstParagraph"/>
      </w:pPr>
      <w:r>
        <w:t xml:space="preserve">Diese Forschung eröffnet mehrere vielversprechende Wege für zukünftige Untersuchungen, die aktuelle Einschränkungen adressieren und die theoretischen sowie praktischen Beiträge dieser Arbeit erweitern könnten.</w:t>
      </w:r>
    </w:p>
    <w:p>
      <w:pPr>
        <w:pStyle w:val="Heading3"/>
      </w:pPr>
      <w:bookmarkStart w:id="61" w:name="Xbed978a07d968cabd8eb6aa84281babd5fa5888"/>
      <w:r>
        <w:t xml:space="preserve">1. Empirische Validierung und groß angelegte Tests</w:t>
      </w:r>
      <w:bookmarkEnd w:id="61"/>
    </w:p>
    <w:p>
      <w:pPr>
        <w:pStyle w:val="FirstParagraph"/>
      </w:pPr>
      <w:r>
        <w:t xml:space="preserve">Zukünftige Forschung sollte sich auf die Durchführung primärer empirischer Studien konzentrieren, die die kausalen Effekte von Emissionshandelssystemen präziser isolieren. Dies könnte den Einsatz fortschrittlicher ökonometrischer Methoden wie synthetische Kontrollgruppenansätze, Regressions-Diskontinuitäts-Designs oder Instrumentvariablen-Methoden umfassen, um die Auswirkungen von ETS von anderen Politikmaßnahmen und externen Schocks zu trennen. Groß angelegte Paneldatenanalysen über eine breitere Palette von Ländern und Regionen könnten zudem die Generalisierbarkeit der Ergebnisse verbessern und die Robustheit der Effektschätzungen erhöhen. Die Entwicklung und Nutzung von detaillierteren, sektorspezifischen Daten ist hierbei von entscheidender Bedeutung.</w:t>
      </w:r>
    </w:p>
    <w:p>
      <w:pPr>
        <w:pStyle w:val="Heading3"/>
      </w:pPr>
      <w:bookmarkStart w:id="62" w:name="X7240ec87c544c41ed1edf2b112b4037a269ea7b"/>
      <w:r>
        <w:t xml:space="preserve">2. Auswirkungen des CO2-Grenzausgleichsmechanismus (CBAM)</w:t>
      </w:r>
      <w:bookmarkEnd w:id="62"/>
    </w:p>
    <w:p>
      <w:pPr>
        <w:pStyle w:val="FirstParagraph"/>
      </w:pPr>
      <w:r>
        <w:t xml:space="preserve">Der kürzlich eingeführte CO2-Grenzausgleichsmechanismus (CBAM) der EU bietet ein reichhaltiges Feld für zukünftige Forschung. Es ist entscheidend zu analysieren, wie CBAM in der Praxis funktioniert, welche Auswirkungen es auf Handelsströme, Emissionen in Drittländern und die Wettbewerbsfähigkeit von EU-Industrien hat. Studien könnten sich auf die Messung von Carbon Leakage-Effekten vor und nach CBAM konzentrieren, die Reaktion von Nicht-EU-Ländern auf den Mechanismus untersuchen (z.B. Einführung eigener CO2-Preise) und die administrativen Herausforderungen bei der Implementierung von CBAM bewerten.</w:t>
      </w:r>
    </w:p>
    <w:p>
      <w:pPr>
        <w:pStyle w:val="Heading3"/>
      </w:pPr>
      <w:bookmarkStart w:id="63" w:name="X56340cdc36a8135e2c2f066dcb31298e889de8b"/>
      <w:r>
        <w:t xml:space="preserve">3. Soziale und Verteilungswirkungen im Detail</w:t>
      </w:r>
      <w:bookmarkEnd w:id="63"/>
    </w:p>
    <w:p>
      <w:pPr>
        <w:pStyle w:val="FirstParagraph"/>
      </w:pPr>
      <w:r>
        <w:t xml:space="preserve">Die sozialen und distributiven Auswirkungen von CO2-Preismechanismen erfordern eine tiefere Untersuchung. Zukünftige Forschung könnte sich auf die Analyse spezifischer Haushaltstypen und Einkommensgruppen konzentrieren, um die regressiven Effekte genauer zu quantifizieren. Darüber hinaus ist es wichtig zu untersuchen, welche kompensatorischen Maßnahmen (z.B. Klimadividenden, gezielte Subventionen) am effektivsten sind, um soziale Ungleichheiten abzufedern und die öffentliche Akzeptanz zu erhöhen. Qualitative Studien könnten die Wahrnehmung von ETS in der Bevölkerung und die Barrieren für Verhaltensänderungen bei unterschiedlichen sozioökonomischen Gruppen beleuchten.</w:t>
      </w:r>
    </w:p>
    <w:p>
      <w:pPr>
        <w:pStyle w:val="Heading3"/>
      </w:pPr>
      <w:bookmarkStart w:id="64" w:name="X6dcfc63fbef22c2109d3390d1810972599c4cc8"/>
      <w:r>
        <w:t xml:space="preserve">4. Technologische Pfade und Innovationsförderung</w:t>
      </w:r>
      <w:bookmarkEnd w:id="64"/>
    </w:p>
    <w:p>
      <w:pPr>
        <w:pStyle w:val="FirstParagraph"/>
      </w:pPr>
      <w:r>
        <w:t xml:space="preserve">Die Rolle von Emissionshandelssystemen bei der Förderung grüner Innovationen bedarf weiterer detaillierter Forschung. Hierbei könnten sektorspezifische Analysen von Patentanmeldungen, F&amp;E-Investitionen und der Marktdurchdringung kohlenstoffarmer Technologien wertvolle Einblicke liefern. Es wäre auch interessant zu untersuchen, wie ETS-Designmerkmale (z.B. Cap-Ambition, Preisvolatilität, Einnahmenverwendung) spezifische Innovationstypen beeinflussen (z.B. inkrementelle vs. disruptive Innovationen) und welche komplementären Politikmaßnahmen (z.B. Innovationsfonds, Technologie-Roadmaps) die Innovationsanreize des Emissionshandels am besten verstärken.</w:t>
      </w:r>
    </w:p>
    <w:p>
      <w:pPr>
        <w:pStyle w:val="Heading3"/>
      </w:pPr>
      <w:bookmarkStart w:id="65" w:name="Xc3fdfd4c6bfc043a4f3fba0eff9bc67fbd84620"/>
      <w:r>
        <w:t xml:space="preserve">5. Globale Harmonisierung und Verknüpfung von Kohlenstoffmärkten</w:t>
      </w:r>
      <w:bookmarkEnd w:id="65"/>
    </w:p>
    <w:p>
      <w:pPr>
        <w:pStyle w:val="FirstParagraph"/>
      </w:pPr>
      <w:r>
        <w:t xml:space="preserve">Die Verknüpfung und Harmonisierung globaler Kohlenstoffmärkte ist ein langfristiges Ziel, dessen Herausforderungen und Potenziale genauer untersucht werden sollten. Forschung könnte sich auf die Entwicklung von Kompatibilitätskriterien für ETS-Designs konzentrieren, die politischen und rechtlichen Hürden für internationale Verknüpfungen analysieren und die ökonomischen Vorteile (z.B. Kosteneffizienzgewinne) und Risiken (z.B. Verlagerung von Preisvolatilität) einer solchen Integration quantifizieren. Die Rolle von Artikel 6 des Pariser Abkommens als Rahmen für internationale Kohlenstoffmärkte ist dabei von zentraler Bedeutung und sollte weiter beleuchtet werden.</w:t>
      </w:r>
    </w:p>
    <w:p>
      <w:pPr>
        <w:pStyle w:val="Heading3"/>
      </w:pPr>
      <w:bookmarkStart w:id="66" w:name="X831b19b56f5962029cc6f62896d43ce1ebad9da"/>
      <w:r>
        <w:t xml:space="preserve">6. Governance und administrative Herausforderungen</w:t>
      </w:r>
      <w:bookmarkEnd w:id="66"/>
    </w:p>
    <w:p>
      <w:pPr>
        <w:pStyle w:val="FirstParagraph"/>
      </w:pPr>
      <w:r>
        <w:t xml:space="preserve">Die administrativen Anforderungen und Governance-Strukturen von Emissionshandelssystemen, insbesondere in Entwicklungsländern, stellen einen wichtigen Forschungsbereich dar. Studien könnten Best Practices für robuste MRV-Systeme, die Bekämpfung von Betrug und Korruption sowie den Kapazitätsaufbau in Regulierungsbehörden identifizieren. Die politische Ökonomie von ETS, einschließlich der Rolle von Lobbygruppen, Interessenskonflikten und der Dynamik von Reformprozessen, ist ebenfalls ein vielversprechendes Forschungsfeld, um die Implementierungshürden besser zu verstehen und zu überwinden.</w:t>
      </w:r>
    </w:p>
    <w:p>
      <w:pPr>
        <w:pStyle w:val="Heading3"/>
      </w:pPr>
      <w:bookmarkStart w:id="67" w:name="X9506c650ae09566f0ac309884170a4d593e1afe"/>
      <w:r>
        <w:t xml:space="preserve">7. Langfristige Auswirkungen auf Wettbewerbsfähigkeit und Industriestrukturen</w:t>
      </w:r>
      <w:bookmarkEnd w:id="67"/>
    </w:p>
    <w:p>
      <w:pPr>
        <w:pStyle w:val="FirstParagraph"/>
      </w:pPr>
      <w:r>
        <w:t xml:space="preserve">Es ist entscheidend, die langfristigen Auswirkungen von ETS auf die Wettbewerbsfähigkeit von Industrien und die strukturelle Transformation von Volkswirtschaften zu untersuchen. Forschung könnte analysieren, wie Unternehmen ihre Geschäftsmodelle anpassen, welche Sektoren Gewinner und Verlierer sind und wie die grüne Transformation von Industrien durch ETS beschleunigt oder gebremst wird. Dies beinhaltet auch die Untersuchung der Entstehung neuer grüner Sektoren und Arbeitsplätze sowie die Notwendigkeit von Umschulungsmaßnahmen für Arbeitskräfte in kohlenstoffintensiven Industrien.</w:t>
      </w:r>
    </w:p>
    <w:p>
      <w:pPr>
        <w:pStyle w:val="BodyText"/>
      </w:pPr>
      <w:r>
        <w:t xml:space="preserve">Diese Forschungsrichtungen weisen gemeinsam auf ein reicheres, nuancierteres Verständnis des Emissionshandels und seiner Implikationen für Theorie, Praxis und Politik hin.</w:t>
      </w:r>
    </w:p>
    <w:p>
      <w:r>
        <w:pict>
          <v:rect style="width:0;height:1.5pt" o:hralign="center" o:hrstd="t" o:hr="t"/>
        </w:pict>
      </w:r>
    </w:p>
    <w:p>
      <w:pPr>
        <w:pStyle w:val="Heading2"/>
      </w:pPr>
      <w:bookmarkStart w:id="68" w:name="fazit"/>
      <w:r>
        <w:t xml:space="preserve">Fazit</w:t>
      </w:r>
      <w:bookmarkEnd w:id="68"/>
    </w:p>
    <w:p>
      <w:pPr>
        <w:pStyle w:val="FirstParagraph"/>
      </w:pPr>
      <w:r>
        <w:t xml:space="preserve">Die vorliegende Masterarbeit untersuchte die Rolle und Effektivität des Emissionshandels als zentrales Instrument im globalen Klimaschutz. Angesichts der dringenden Notwendigkeit, anthropogene Treibhausgasemissionen drastisch zu reduzieren, um die Ziele des Pariser Klimaabkommens zu erreichen, sind marktwirtschaftliche Ansätze wie der Emissionshandel von entscheidender Bedeutung (Lake, 2015). Diese Arbeit hat die komplexen Mechanismen, die empirischen Auswirkungen und die zukünftigen Potenziale von Emissionshandelssystemen (ETS) analysiert, um ein umfassendes Verständnis ihres Beitrags zur Dekarbonisierung zu ermöglichen. Das Fazit fasst die Hauptergebnisse der Untersuchung zur Klimaschutzwirkung zusammen, beleuchtet den Beitrag dieser Arbeit zum Verständnis des Emissionshandels und identifiziert wichtige Richtungen für zukünftige Forschungsbemühungen.</w:t>
      </w:r>
    </w:p>
    <w:p>
      <w:pPr>
        <w:pStyle w:val="BodyText"/>
      </w:pPr>
      <w:r>
        <w:t xml:space="preserve">Die Hauptergebnisse dieser Untersuchung bestätigen die prinzipielle Wirksamkeit von Emissionshandelssystemen als Instrument zur Reduzierung von Treibhausgasemissionen. Der Emissionshandel setzt durch die Bepreisung von CO2-Emissionen einen direkten ökonomischen Anreiz für Unternehmen, ihre Emissionen zu senken (Digitemie &amp; Ekemezie, 2024)(Pigato, 2018). Dies geschieht entweder durch die Investition in emissionsmindernde Technologien, die Umstellung auf weniger kohlenstoffintensive Produktionsprozesse oder durch die Senkung der Produktion selbst. Empirische Analysen, insbesondere des Europäischen Emissionshandelssystems (EU ETS), zeigen, dass solche Systeme in der Lage sind, Emissionen signifikant zu reduzieren (Eslahi et al., 2026)(Edwin &amp; Josephine, 2023). Der Erfolg des EU ETS, das als weltweit größtes und ältestes System gilt, liefert wertvolle Erkenntnisse über die Gestaltung und Implementierung effektiver Kohlenstoffmärkte (Wurzel et al., 2013). Die jüngsten Anpassungen im Rahmen des</w:t>
      </w:r>
      <w:r>
        <w:t xml:space="preserve"> </w:t>
      </w:r>
      <w:r>
        <w:t xml:space="preserve">“</w:t>
      </w:r>
      <w:r>
        <w:t xml:space="preserve">Fit for 55</w:t>
      </w:r>
      <w:r>
        <w:t xml:space="preserve">”</w:t>
      </w:r>
      <w:r>
        <w:t xml:space="preserve">-Pakets der Europäischen Kommission zielen darauf ab, die Ambitionen des Systems weiter zu erhöhen und seine Wirksamkeit bis 2030 und darüber hinaus zu gewährleisten (Wildgrube, 2023). Diese Entwicklungen unterstreichen die dynamische Natur und die kontinuierliche Anpassungsfähigkeit von Emissionshandelssystemen an neue Klimaziele und sich ändernde Marktbedingungen. Die Forschung hat gezeigt, dass die Kosteneffizienz ein entscheidender Vorteil von Emissionshandelssystemen ist, da sie es Unternehmen ermöglicht, Emissionsreduktionen dort vorzunehmen, wo sie am günstigsten sind (Woerdman, 2004)(Bohm, 2002). Dies maximiert die Gesamtwirtschaftlichkeit der Klimaschutzmaßnahmen und minimiert die Belastung für die beteiligten Sektoren. Darüber hinaus fördern Emissionshandelssysteme die Entwicklung und den Einsatz von grünen Innovationen und Technologien, da Unternehmen einen finanziellen Anreiz erhalten, effizientere und sauberere Lösungen zu finden (Bhowmik et al., 2022)(Levi-Bliech &amp; Dahan, 2025). Die Existenz eines funktionierenden Kohlenstoffpreises kann Investitionen in erneuerbare Energien, Energieeffizienz und Kohlenstoffabscheidungstechnologien beschleunigen, was langfristig zu einer umfassenden Dekarbonisierung der Wirtschaft beiträgt. Der Erfolg ist jedoch stark abhängig von der Ausgestaltung des Systems, insbesondere von der Festlegung des Emissionslimits (Cap), der Allokationsmechanismen und der Marktstabilität (Raufer &amp; Iyer, 2012). Übermäßige Zuteilung von Zertifikaten oder eine unzureichende Marktüberwachung können die Preissignale schwächen und somit die Klimaschutzwirkung mindern (Black, 2018). Umgekehrt können ambitionierte Caps und effektive Marktmechanismen, wie die Marktstabilitätsreserve im EU ETS, die Wirksamkeit erheblich steigern und einen robusten Kohlenstoffpreis sicherstellen, der die gewünschten Verhaltensänderungen anstößt. Beispiele aus anderen Regionen, wie die Entwicklung des chinesischen Emissionshandels, belegen ebenfalls das Potenzial, aber auch die Herausforderungen bei der Implementierung solcher Systeme in unterschiedlichen nationalen Kontexten (Zhu et al., 2023)(Zhao et al., 2024).</w:t>
      </w:r>
    </w:p>
    <w:p>
      <w:pPr>
        <w:pStyle w:val="BodyText"/>
      </w:pPr>
      <w:r>
        <w:t xml:space="preserve">Diese Arbeit leistet einen wesentlichen Beitrag zum bestehenden Verständnis des Emissionshandels, indem sie eine integrierte Perspektive auf die theoretischen Grundlagen, die empirische Evidenz und die politischen Herausforderungen bietet. Während frühere Studien oft spezifische Aspekte wie die ökonomische Effizienz oder die Wirkung auf bestimmte Sektoren isoliert betrachtet haben, verbindet diese Untersuchung diese Elemente, um ein kohärenteres Bild der Rolle des Emissionshandels im Klimaschutz zu zeichnen. Insbesondere wurde hervorgehoben, wie die Interaktion zwischen politischem Design, Marktmechanismen und externen Faktoren wie Wirtschaftswachstum und technologischem Fortschritt die tatsächliche Wirksamkeit von ETS beeinflusst. Die Arbeit betont die Notwendigkeit eines adaptiven Ansatzes bei der Politikgestaltung, der flexibel auf neue Erkenntnisse und sich ändernde Rahmenbedingungen reagiert (Peeters, 2008). Durch die detaillierte Analyse der Stärken und Schwächen existierender Systeme können Lehren für die Ausweitung und Verbesserung globaler Kohlenstoffmärkte gezogen werden. Ein zentraler Beitrag ist die Betonung, dass der Emissionshandel kein isoliertes Instrument ist, sondern in einen breiteren politischen Rahmen eingebettet sein muss, der komplementäre Maßnahmen wie Regulierungen, Subventionen für grüne Technologien und internationale Kooperation umfasst (Tang, 2025). Die Arbeit verdeutlicht, dass die reine Existenz eines Kohlenstoffpreises nicht ausreicht; vielmehr ist es die Qualität des Preissignals und die Stabilität des politischen Umfelds, die entscheidend für langfristige Investitionsentscheidungen und damit für die Dekarbonisierung sind. Diese Untersuchung integriert zudem die jüngsten Diskussionen um Mechanismen wie den CO2-Grenzausgleich (CBAM) der EU (Martinus &amp; Laopirun, 2023), der darauf abzielt, Carbon Leakage zu verhindern und die Wettbewerbsfähigkeit heimischer Industrien zu schützen, während gleichzeitig globale Klimaschutzambitionen gefördert werden. Der theoretische Rahmen wurde um praktische Implikationen für politische Entscheidungsträger erweitert, um eine Brücke zwischen akademischer Forschung und angewandter Klimapolitik zu schlagen.</w:t>
      </w:r>
    </w:p>
    <w:p>
      <w:pPr>
        <w:pStyle w:val="BodyText"/>
      </w:pPr>
      <w:r>
        <w:t xml:space="preserve">Obwohl diese Arbeit ein umfassendes Verständnis der Wirksamkeit des Emissionshandels vermittelt, eröffnen sich mehrere vielversprechende Richtungen für zukünftige Forschungsbemühungen. Eine zentrale Frage betrifft die weitere Integration und Vernetzung globaler Kohlenstoffmärkte. Die Schaffung eines globalen, interoperablen Kohlenstoffmarktes könnte die Kosteneffizienz von Emissionsreduktionen weiter steigern und die globale Zusammenarbeit im Klimaschutz fördern (Lake, 2015). Zukünftige Forschung könnte sich darauf konzentrieren, die politischen, rechtlichen und technischen Herausforderungen einer solchen Integration zu analysieren und gangbare Wege aufzuzeigen. Dazu gehört auch die Untersuchung der Kompatibilität verschiedener ETS-Designs und die Entwicklung von Rahmenwerken für die gegenseitige Anerkennung von Zertifikaten. Ein weiterer wichtiger Forschungsbereich ist die detailliertere Analyse der sozialen und distributiven Auswirkungen von Emissionshandelssystemen. Obwohl sie als kosteneffizient gelten, können Kohlenstoffpreise bestimmte Sektoren oder Bevölkerungsgruppen ungleich belasten. Zukünftige Studien könnten Mechanismen zur gerechten Verteilung der Lasten und zur Unterstützung von Übergangsprozessen in betroffenen Regionen oder Industrien untersuchen, beispielsweise durch Einnahmenverwendung oder gezielte Förderprogramme. Des Weiteren ist die Rolle von technologischen Innovationen im Kontext des Emissionshandels von großer Bedeutung. Wie können ETS so gestaltet werden, dass sie nicht nur bestehende Technologien zur Emissionsminderung anreizen, sondern auch die Entwicklung und Skalierung bahnbrechender Dekarbonisierungstechnologien beschleunigen (Bhowmik et al., 2022)? Hierbei könnten Fallstudien zu spezifischen Technologien oder Sektoren wertvolle Einblicke liefern. Die wissenschaftliche Glaubwürdigkeit und Integrität von Kohlenstoffmärkten, insbesondere im Hinblick auf freiwillige Märkte, bleibt ebenfalls ein wichtiges Thema (Swinfield &amp; Toye Scott, 2025). Forschung sollte sich darauf konzentrieren, Standards und Überwachungsmechanismen zu entwickeln, die die Transparenz und Verlässlichkeit von Emissionsreduktionen gewährleisten, um Greenwashing zu vermeiden und das Vertrauen der Öffentlichkeit und der Investoren zu stärken. Schließlich sollte die Wechselwirkung zwischen Emissionshandel und anderen Klimaschutzinstrumenten, wie direkten Regulierungen, Subventionen und internationalen Abkommen, genauer untersucht werden, um Synergien zu maximieren und Zielkonflikte zu minimieren. Die kontinuierliche Weiterentwicklung und Anpassung von Emissionshandelssystemen an sich ändernde wissenschaftliche Erkenntnisse und politische Realitäten wird entscheidend sein, um ihre langfristige Wirksamkeit im Kampf gegen den Klimawandel zu sichern.</w:t>
      </w:r>
    </w:p>
    <w:p>
      <w:pPr>
        <w:pStyle w:val="BodyText"/>
      </w:pPr>
      <w:r>
        <w:t xml:space="preserve">Zusammenfassend lässt sich festhalten, dass der Emissionshandel ein unverzichtbares, wenn auch komplexes Instrument im globalen Klimaschutz darstellt, dessen Wirksamkeit durch evidenzbasierte Politikgestaltung und kontinuierliche Weiterentwicklung maximiert werden kann. Die vorliegende Arbeit hat dazu beigetragen, die Mechanismen und Auswirkungen dieses Instruments besser zu verstehen und wichtige Impulse für die zukünftige Forschung und Politikgestaltung zu geben.</w:t>
      </w:r>
    </w:p>
    <w:p>
      <w:r>
        <w:pict>
          <v:rect style="width:0;height:1.5pt" o:hralign="center" o:hrstd="t" o:hr="t"/>
        </w:pict>
      </w:r>
    </w:p>
    <w:p>
      <w:pPr>
        <w:pStyle w:val="Heading2"/>
      </w:pPr>
      <w:bookmarkStart w:id="69" w:name="X3230d70dd910f695f0d5a348d02534f8a3c7ad6"/>
      <w:r>
        <w:t xml:space="preserve">Anhang A: Theoretisches Rahmenwerk des Emissionshandels</w:t>
      </w:r>
      <w:bookmarkEnd w:id="69"/>
    </w:p>
    <w:p>
      <w:pPr>
        <w:pStyle w:val="Heading3"/>
      </w:pPr>
      <w:bookmarkStart w:id="70" w:name="X7a824e57d66df001b7ea20c2fb5de5318994e72"/>
      <w:r>
        <w:t xml:space="preserve">A.1 Ökonomische Grundlagen der Umweltregulierung</w:t>
      </w:r>
      <w:bookmarkEnd w:id="70"/>
    </w:p>
    <w:p>
      <w:pPr>
        <w:pStyle w:val="FirstParagraph"/>
      </w:pPr>
      <w:r>
        <w:t xml:space="preserve">Das theoretische Fundament des Emissionshandels (ETS) ist tief in der Umweltökonomie verwurzelt, die sich mit Marktversagen im Kontext von Umweltgütern befasst. Der Kern des Problems liegt in der Existenz negativer Externalitäten, wie sie durch die Emission von Treibhausgasen entstehen. Wenn Unternehmen oder Individuen CO2 ausstoßen, verursachen sie Kosten für die Gesellschaft (Klimaschäden), die nicht im Preis ihrer Produkte oder Dienstleistungen enthalten sind. Dies führt zu einer ineffizienten Allokation von Ressourcen und einer Überproduktion von umweltschädlichen Gütern. Die Umweltökonomie bietet verschiedene Instrumente zur Internalisierung dieser externen Kosten, darunter Pigou-Steuern und handelbare Emissionsgenehmigungen (Coase-Theorem-Ansatz).</w:t>
      </w:r>
    </w:p>
    <w:p>
      <w:pPr>
        <w:pStyle w:val="Heading3"/>
      </w:pPr>
      <w:bookmarkStart w:id="71" w:name="X50cda7041d816d0ef9635f11e66fbf6ce30c50e"/>
      <w:r>
        <w:t xml:space="preserve">A.2 Mathematische Formulierung des Cap-and-Trade-Prinzips</w:t>
      </w:r>
      <w:bookmarkEnd w:id="71"/>
    </w:p>
    <w:p>
      <w:pPr>
        <w:pStyle w:val="FirstParagraph"/>
      </w:pPr>
      <w:r>
        <w:t xml:space="preserve">Das Cap-and-Trade-System basiert auf einer mengenbasierten Regulierung. Eine zentrale Behörde legt eine Obergrenze (Cap) für die Gesamtemissionen fest, die über einen bestimmten Zeitraum (z.B. ein Jahr) in einem regulierten Sektor ausgestoßen werden dürfen. Diese Obergrenze,</w:t>
      </w:r>
      <w:r>
        <w:t xml:space="preserve"> </w:t>
      </w:r>
      <m:oMath>
        <m:sSub>
          <m:e>
            <m:r>
              <m:t>Q</m:t>
            </m:r>
          </m:e>
          <m:sub>
            <m:r>
              <m:t>m</m:t>
            </m:r>
            <m:r>
              <m:t>a</m:t>
            </m:r>
            <m:r>
              <m:t>x</m:t>
            </m:r>
          </m:sub>
        </m:sSub>
      </m:oMath>
      <w:r>
        <w:t xml:space="preserve">, wird in Form von Emissionsberechtigungen (Zertifikaten) ausgegeben, wobei jedes Zertifikat die Emission einer Einheit (z.B. einer Tonne CO2-Äquivalent) erlaubt.</w:t>
      </w:r>
    </w:p>
    <w:p>
      <w:pPr>
        <w:pStyle w:val="BodyText"/>
      </w:pPr>
      <w:r>
        <w:t xml:space="preserve">Sei</w:t>
      </w:r>
      <w:r>
        <w:t xml:space="preserve"> </w:t>
      </w:r>
      <m:oMath>
        <m:sSub>
          <m:e>
            <m:r>
              <m:t>C</m:t>
            </m:r>
          </m:e>
          <m:sub>
            <m:r>
              <m:t>i</m:t>
            </m:r>
          </m:sub>
        </m:sSub>
        <m:r>
          <m:t>(</m:t>
        </m:r>
        <m:sSub>
          <m:e>
            <m:r>
              <m:t>q</m:t>
            </m:r>
          </m:e>
          <m:sub>
            <m:r>
              <m:t>i</m:t>
            </m:r>
          </m:sub>
        </m:sSub>
        <m:r>
          <m:t>)</m:t>
        </m:r>
      </m:oMath>
      <w:r>
        <w:t xml:space="preserve"> </w:t>
      </w:r>
      <w:r>
        <w:t xml:space="preserve">die Gesamtkostenfunktion für Unternehmen</w:t>
      </w:r>
      <w:r>
        <w:t xml:space="preserve"> </w:t>
      </w:r>
      <m:oMath>
        <m:r>
          <m:t>i</m:t>
        </m:r>
      </m:oMath>
      <w:r>
        <w:t xml:space="preserve">, um</w:t>
      </w:r>
      <w:r>
        <w:t xml:space="preserve"> </w:t>
      </w:r>
      <m:oMath>
        <m:sSub>
          <m:e>
            <m:r>
              <m:t>q</m:t>
            </m:r>
          </m:e>
          <m:sub>
            <m:r>
              <m:t>i</m:t>
            </m:r>
          </m:sub>
        </m:sSub>
      </m:oMath>
      <w:r>
        <w:t xml:space="preserve"> </w:t>
      </w:r>
      <w:r>
        <w:t xml:space="preserve">Einheiten Emissionen zu reduzieren. Die Grenzkosten der Emissionsminderung (Marginal Abatement Cost, MAC) für Unternehmen</w:t>
      </w:r>
      <w:r>
        <w:t xml:space="preserve"> </w:t>
      </w:r>
      <m:oMath>
        <m:r>
          <m:t>i</m:t>
        </m:r>
      </m:oMath>
      <w:r>
        <w:t xml:space="preserve"> </w:t>
      </w:r>
      <w:r>
        <w:t xml:space="preserve">sind dann</w:t>
      </w:r>
      <w:r>
        <w:t xml:space="preserve"> </w:t>
      </w:r>
      <m:oMath>
        <m:r>
          <m:t>M</m:t>
        </m:r>
        <m:r>
          <m:t>A</m:t>
        </m:r>
        <m:sSub>
          <m:e>
            <m:r>
              <m:t>C</m:t>
            </m:r>
          </m:e>
          <m:sub>
            <m:r>
              <m:t>i</m:t>
            </m:r>
          </m:sub>
        </m:sSub>
        <m:r>
          <m:t>(</m:t>
        </m:r>
        <m:sSub>
          <m:e>
            <m:r>
              <m:t>q</m:t>
            </m:r>
          </m:e>
          <m:sub>
            <m:r>
              <m:t>i</m:t>
            </m:r>
          </m:sub>
        </m:sSub>
        <m:r>
          <m:t>)</m:t>
        </m:r>
        <m:r>
          <m:t>=</m:t>
        </m:r>
        <m:sSub>
          <m:e>
            <m:r>
              <m:t>C</m:t>
            </m:r>
          </m:e>
          <m:sub>
            <m:r>
              <m:t>i</m:t>
            </m:r>
          </m:sub>
        </m:sSub>
        <m:r>
          <m:t>′</m:t>
        </m:r>
        <m:r>
          <m:t>(</m:t>
        </m:r>
        <m:sSub>
          <m:e>
            <m:r>
              <m:t>q</m:t>
            </m:r>
          </m:e>
          <m:sub>
            <m:r>
              <m:t>i</m:t>
            </m:r>
          </m:sub>
        </m:sSub>
        <m:r>
          <m:t>)</m:t>
        </m:r>
      </m:oMath>
      <w:r>
        <w:t xml:space="preserve">. Im Cap-and-Trade-System müssen Unternehmen, die mehr emittieren, als ihnen kostenlos zugeteilt wurde, zusätzliche Zertifikate kaufen. Unternehmen, die ihre Emissionen unter ihre Zuteilung senken, können überschüssige Zertifikate verkaufen.</w:t>
      </w:r>
    </w:p>
    <w:p>
      <w:pPr>
        <w:pStyle w:val="BodyText"/>
      </w:pPr>
      <w:r>
        <w:t xml:space="preserve">Das System zielt darauf ab, die Gesamtkosten der Emissionsminderung für die gesamte Volkswirtschaft zu minimieren. Dies wird erreicht, wenn die Grenzkosten der Emissionsminderung für alle Unternehmen gleich dem Marktpreis der Emissionszertifikate (</w:t>
      </w:r>
      <m:oMath>
        <m:sSub>
          <m:e>
            <m:r>
              <m:t>P</m:t>
            </m:r>
          </m:e>
          <m:sub>
            <m:r>
              <m:t>C</m:t>
            </m:r>
            <m:r>
              <m:t>O</m:t>
            </m:r>
            <m:r>
              <m:t>2</m:t>
            </m:r>
          </m:sub>
        </m:sSub>
      </m:oMath>
      <w:r>
        <w:t xml:space="preserve">) sind:</w:t>
      </w:r>
      <w:r>
        <w:t xml:space="preserve"> </w:t>
      </w:r>
      <m:oMath>
        <m:r>
          <m:t>M</m:t>
        </m:r>
        <m:r>
          <m:t>A</m:t>
        </m:r>
        <m:sSub>
          <m:e>
            <m:r>
              <m:t>C</m:t>
            </m:r>
          </m:e>
          <m:sub>
            <m:r>
              <m:t>i</m:t>
            </m:r>
          </m:sub>
        </m:sSub>
        <m:r>
          <m:t>(</m:t>
        </m:r>
        <m:sSub>
          <m:e>
            <m:r>
              <m:t>q</m:t>
            </m:r>
          </m:e>
          <m:sub>
            <m:r>
              <m:t>i</m:t>
            </m:r>
          </m:sub>
        </m:sSub>
        <m:r>
          <m:t>)</m:t>
        </m:r>
        <m:r>
          <m:t>=</m:t>
        </m:r>
        <m:sSub>
          <m:e>
            <m:r>
              <m:t>P</m:t>
            </m:r>
          </m:e>
          <m:sub>
            <m:r>
              <m:t>C</m:t>
            </m:r>
            <m:r>
              <m:t>O</m:t>
            </m:r>
            <m:r>
              <m:t>2</m:t>
            </m:r>
          </m:sub>
        </m:sSub>
      </m:oMath>
      <w:r>
        <w:t xml:space="preserve"> </w:t>
      </w:r>
      <w:r>
        <w:t xml:space="preserve">für alle Unternehmen</w:t>
      </w:r>
      <w:r>
        <w:t xml:space="preserve"> </w:t>
      </w:r>
      <m:oMath>
        <m:r>
          <m:t>i</m:t>
        </m:r>
      </m:oMath>
      <w:r>
        <w:t xml:space="preserve">.</w:t>
      </w:r>
    </w:p>
    <w:p>
      <w:pPr>
        <w:pStyle w:val="BodyText"/>
      </w:pPr>
      <w:r>
        <w:t xml:space="preserve">Die Gesamtmenge der emittierten CO2-Äquivalente,</w:t>
      </w:r>
      <w:r>
        <w:t xml:space="preserve"> </w:t>
      </w:r>
      <m:oMath>
        <m:r>
          <m:t>∑</m:t>
        </m:r>
        <m:sSub>
          <m:e>
            <m:r>
              <m:t>E</m:t>
            </m:r>
          </m:e>
          <m:sub>
            <m:r>
              <m:t>i</m:t>
            </m:r>
          </m:sub>
        </m:sSub>
      </m:oMath>
      <w:r>
        <w:t xml:space="preserve">, darf das Cap,</w:t>
      </w:r>
      <w:r>
        <w:t xml:space="preserve"> </w:t>
      </w:r>
      <m:oMath>
        <m:sSub>
          <m:e>
            <m:r>
              <m:t>Q</m:t>
            </m:r>
          </m:e>
          <m:sub>
            <m:r>
              <m:t>m</m:t>
            </m:r>
            <m:r>
              <m:t>a</m:t>
            </m:r>
            <m:r>
              <m:t>x</m:t>
            </m:r>
          </m:sub>
        </m:sSub>
      </m:oMath>
      <w:r>
        <w:t xml:space="preserve">, nicht überschreiten. Die Effizienz dieses Mechanismus ergibt sich daraus, dass Unternehmen mit niedrigen MAC ihre Emissionen reduzieren und Zertifikate verkaufen, während Unternehmen mit hohen MAC Zertifikate kaufen, anstatt teure Reduktionsmaßnahmen durchzuführen. Der Marktpreis</w:t>
      </w:r>
      <w:r>
        <w:t xml:space="preserve"> </w:t>
      </w:r>
      <m:oMath>
        <m:sSub>
          <m:e>
            <m:r>
              <m:t>P</m:t>
            </m:r>
          </m:e>
          <m:sub>
            <m:r>
              <m:t>C</m:t>
            </m:r>
            <m:r>
              <m:t>O</m:t>
            </m:r>
            <m:r>
              <m:t>2</m:t>
            </m:r>
          </m:sub>
        </m:sSub>
      </m:oMath>
      <w:r>
        <w:t xml:space="preserve"> </w:t>
      </w:r>
      <w:r>
        <w:t xml:space="preserve">spiegelt die Knappheit der Zertifikate und die Grenzkosten der Emissionsminderung für das Unternehmen wider, das am teuersten reduzieren muss, um das Cap einzuhalten.</w:t>
      </w:r>
    </w:p>
    <w:p>
      <w:pPr>
        <w:pStyle w:val="Heading3"/>
      </w:pPr>
      <w:bookmarkStart w:id="72" w:name="X6dcd9487060145ab0fc3f1907289e2f45d76c51"/>
      <w:r>
        <w:t xml:space="preserve">A.3 Dynamische Effizienz und Innovationsanreize</w:t>
      </w:r>
      <w:bookmarkEnd w:id="72"/>
    </w:p>
    <w:p>
      <w:pPr>
        <w:pStyle w:val="FirstParagraph"/>
      </w:pPr>
      <w:r>
        <w:t xml:space="preserve">Neben der statischen Effizienz (Kostenminimierung zu einem bestimmten Zeitpunkt) fördert das ETS auch die dynamische Effizienz, d.h., Anreize für technologischen Fortschritt. Ein stabiler und ausreichend hoher CO2-Preis signalisiert Unternehmen, dass Investitionen in Forschung und Entwicklung (F&amp;E) für emissionsarme Technologien rentabel sind. Die erwarteten zukünftigen CO2-Preise beeinflussen die Amortisationszeiten von Investitionen in grüne Technologien. Wenn Unternehmen antizipieren, dass das Cap in Zukunft weiter sinken wird (was zu höheren Preisen führt), haben sie einen stärkeren Anreiz, heute in Innovationen zu investieren, um zukünftige Compliance-Kosten zu senken.</w:t>
      </w:r>
    </w:p>
    <w:p>
      <w:pPr>
        <w:pStyle w:val="BodyText"/>
      </w:pPr>
      <w:r>
        <w:t xml:space="preserve">Die dynamische Effizienz kann durch die Möglichkeit des</w:t>
      </w:r>
      <w:r>
        <w:t xml:space="preserve"> </w:t>
      </w:r>
      <w:r>
        <w:t xml:space="preserve">“</w:t>
      </w:r>
      <w:r>
        <w:t xml:space="preserve">Bankings</w:t>
      </w:r>
      <w:r>
        <w:t xml:space="preserve">”</w:t>
      </w:r>
      <w:r>
        <w:t xml:space="preserve"> </w:t>
      </w:r>
      <w:r>
        <w:t xml:space="preserve">(Ansparen von Zertifikaten für zukünftige Perioden) weiter gestärkt werden. Banking ermöglicht Unternehmen, ihre Reduktionsstrategien über die Zeit zu optimieren, indem sie in Perioden mit niedrigen Reduktionskosten mehr reduzieren und die überschüssigen Zertifikate für Perioden mit höheren erwarteten Preisen oder strengeren Caps aufheben. Dies glättet Preisschwankungen und fördert langfristige Investitionen in Dekarbonisierung.</w:t>
      </w:r>
    </w:p>
    <w:p>
      <w:pPr>
        <w:pStyle w:val="Heading3"/>
      </w:pPr>
      <w:bookmarkStart w:id="73" w:name="a.4-rolle-von-offset-projekten"/>
      <w:r>
        <w:t xml:space="preserve">A.4 Rolle von Offset-Projekten</w:t>
      </w:r>
      <w:bookmarkEnd w:id="73"/>
    </w:p>
    <w:p>
      <w:pPr>
        <w:pStyle w:val="FirstParagraph"/>
      </w:pPr>
      <w:r>
        <w:t xml:space="preserve">Einige ETS erlauben die Nutzung von Offset-Gutschriften aus Emissionsreduktionsprojekten außerhalb des regulierten Sektors (z.B. aus der Forstwirtschaft, Landwirtschaft oder Entwicklungsländern). Diese Offsets können die Flexibilität und Kosteneffizienz des Systems weiter erhöhen, indem sie Zugang zu zusätzlichen Reduktionsmöglichkeiten bieten, die sonst nicht genutzt würden. Die theoretische Rechtfertigung für Offsets basiert auf der Annahme, dass eine Tonne CO2-Reduktion überall auf der Welt den gleichen Klimanutzen hat.</w:t>
      </w:r>
    </w:p>
    <w:p>
      <w:pPr>
        <w:pStyle w:val="BodyText"/>
      </w:pPr>
      <w:r>
        <w:t xml:space="preserve">Allerdings sind Offsets mit Herausforderungen verbunden, insbesondere hinsichtlich der</w:t>
      </w:r>
      <w:r>
        <w:t xml:space="preserve"> </w:t>
      </w:r>
      <w:r>
        <w:rPr>
          <w:b/>
        </w:rPr>
        <w:t xml:space="preserve">Zusätzlichkeit</w:t>
      </w:r>
      <w:r>
        <w:t xml:space="preserve"> </w:t>
      </w:r>
      <w:r>
        <w:t xml:space="preserve">(hätten die Reduktionen auch ohne das Offset-Projekt stattgefunden?), der</w:t>
      </w:r>
      <w:r>
        <w:t xml:space="preserve"> </w:t>
      </w:r>
      <w:r>
        <w:rPr>
          <w:b/>
        </w:rPr>
        <w:t xml:space="preserve">Permanenz</w:t>
      </w:r>
      <w:r>
        <w:t xml:space="preserve"> </w:t>
      </w:r>
      <w:r>
        <w:t xml:space="preserve">(sind die Reduktionen dauerhaft?) und der</w:t>
      </w:r>
      <w:r>
        <w:t xml:space="preserve"> </w:t>
      </w:r>
      <w:r>
        <w:rPr>
          <w:b/>
        </w:rPr>
        <w:t xml:space="preserve">Messbarkeit</w:t>
      </w:r>
      <w:r>
        <w:t xml:space="preserve">. Um die Integrität des ETS nicht zu untergraben, müssen Offset-Projekte strengen Kriterien und Verifizierungsstandards unterliegen.</w:t>
      </w:r>
    </w:p>
    <w:p>
      <w:pPr>
        <w:pStyle w:val="Heading3"/>
      </w:pPr>
      <w:bookmarkStart w:id="74" w:name="X12554063beb6b0139af45c1a0381765bf2e87ed"/>
      <w:r>
        <w:t xml:space="preserve">A.5 Politische Ökonomie des Emissionshandels</w:t>
      </w:r>
      <w:bookmarkEnd w:id="74"/>
    </w:p>
    <w:p>
      <w:pPr>
        <w:pStyle w:val="FirstParagraph"/>
      </w:pPr>
      <w:r>
        <w:t xml:space="preserve">Die Implementierung und das Design von Emissionshandelssystemen sind nicht rein ökonomische, sondern auch politische Prozesse. Die Festlegung des Caps, die Allokationsmethoden (kostenlose Zuteilung vs. Versteigerung) und die Ausgestaltung von Kompensationsmechanismen (z.B. für Carbon Leakage oder soziale Effekte) sind Gegenstand intensiver Verhandlungen zwischen Regierungen, Industrieverbänden, Umweltorganisationen und der Öffentlichkeit. Lobbying-Aktivitäten können das Systemdesign beeinflussen und zu suboptimalen Ergebnissen führen (z.B. zu großzügigen Zuteilungen, die das Preissignal schwächen).</w:t>
      </w:r>
    </w:p>
    <w:p>
      <w:pPr>
        <w:pStyle w:val="BodyText"/>
      </w:pPr>
      <w:r>
        <w:t xml:space="preserve">Die politische Akzeptanz ist entscheidend für die langfristige Stabilität und Wirksamkeit eines ETS. Dies erfordert eine transparente Kommunikation über die Vorteile des Systems, eine faire Verteilung der Lasten und die Berücksichtigung sozialer Auswirkungen durch gezielte Einnahmenverwendung oder Ausgleichsmaßnahmen. Die politische Ökonomie des Emissionshandels untersucht diese Wechselwirkungen zwischen ökonomischen Anreizen und politischen Entscheidungsprozessen.</w:t>
      </w:r>
    </w:p>
    <w:p>
      <w:r>
        <w:pict>
          <v:rect style="width:0;height:1.5pt" o:hralign="center" o:hrstd="t" o:hr="t"/>
        </w:pict>
      </w:r>
    </w:p>
    <w:p>
      <w:pPr>
        <w:pStyle w:val="Heading2"/>
      </w:pPr>
      <w:bookmarkStart w:id="75" w:name="Xee0ae0f7256fcb7fe7112f44ad7fc97ad935248"/>
      <w:r>
        <w:t xml:space="preserve">Anhang C: Detaillierte Fallstudien-Metriken</w:t>
      </w:r>
      <w:bookmarkEnd w:id="75"/>
    </w:p>
    <w:p>
      <w:pPr>
        <w:pStyle w:val="FirstParagraph"/>
      </w:pPr>
      <w:r>
        <w:t xml:space="preserve">Dieser Anhang präsentiert detaillierte quantitative Metriken und Projektionen für die im Haupttext diskutierten Emissionshandelssysteme (ETS), um ihre Performance und die Auswirkungen auf Emissionsreduktionen und wirtschaftliche Parameter zu veranschaulichen.</w:t>
      </w:r>
    </w:p>
    <w:p>
      <w:pPr>
        <w:pStyle w:val="Heading3"/>
      </w:pPr>
      <w:bookmarkStart w:id="76" w:name="X1491d39b372db86d55500d9238178e038872cfd"/>
      <w:r>
        <w:t xml:space="preserve">C.1 Szenario 1: EU-Emissionshandelssystem (EU ETS) – Emissionsentwicklung und Preisdynamik</w:t>
      </w:r>
      <w:bookmarkEnd w:id="76"/>
    </w:p>
    <w:p>
      <w:pPr>
        <w:pStyle w:val="FirstParagraph"/>
      </w:pPr>
      <w:r>
        <w:t xml:space="preserve">Das EU ETS hat seit seiner Einführung eine bedeutende Rolle bei der Reduzierung der Treibhausgasemissionen in der Europäischen Union gespielt. Die folgende Tabelle zeigt die historische Entwicklung der Emissionen und der CO2-Preise.</w:t>
      </w:r>
    </w:p>
    <w:p>
      <w:pPr>
        <w:pStyle w:val="BodyText"/>
      </w:pPr>
      <w:r>
        <w:rPr>
          <w:b/>
        </w:rPr>
        <w:t xml:space="preserve">Tabelle C.1: Emissionsentwicklung und CO2-Preis im EU ETS (Ausgewählte Jahre)</w:t>
      </w:r>
    </w:p>
    <w:tbl>
      <w:tblPr>
        <w:tblStyle w:val="Table"/>
        <w:tblW w:type="pct" w:w="4999.999999999999"/>
        <w:tblLook w:firstRow="1"/>
      </w:tblPr>
      <w:tblGrid>
        <w:gridCol w:w="354"/>
        <w:gridCol w:w="2068"/>
        <w:gridCol w:w="1418"/>
        <w:gridCol w:w="2364"/>
        <w:gridCol w:w="1714"/>
      </w:tblGrid>
      <w:tr>
        <w:trPr>
          <w:cnfStyle w:firstRow="1"/>
        </w:trPr>
        <w:tc>
          <w:tcPr>
            <w:tcBorders>
              <w:bottom w:val="single"/>
            </w:tcBorders>
            <w:vAlign w:val="bottom"/>
          </w:tcPr>
          <w:p>
            <w:pPr>
              <w:pStyle w:val="Compact"/>
              <w:jc w:val="left"/>
            </w:pPr>
            <w:r>
              <w:t xml:space="preserve">Jahr</w:t>
            </w:r>
          </w:p>
        </w:tc>
        <w:tc>
          <w:tcPr>
            <w:tcBorders>
              <w:bottom w:val="single"/>
            </w:tcBorders>
            <w:vAlign w:val="bottom"/>
          </w:tcPr>
          <w:p>
            <w:pPr>
              <w:pStyle w:val="Compact"/>
              <w:jc w:val="left"/>
            </w:pPr>
            <w:r>
              <w:t xml:space="preserve">Gesamtemissionen (Mio. t CO2-Äq.)</w:t>
            </w:r>
          </w:p>
        </w:tc>
        <w:tc>
          <w:tcPr>
            <w:tcBorders>
              <w:bottom w:val="single"/>
            </w:tcBorders>
            <w:vAlign w:val="bottom"/>
          </w:tcPr>
          <w:p>
            <w:pPr>
              <w:pStyle w:val="Compact"/>
              <w:jc w:val="left"/>
            </w:pPr>
            <w:r>
              <w:t xml:space="preserve">Reduktion ggü. 2005 (%)</w:t>
            </w:r>
          </w:p>
        </w:tc>
        <w:tc>
          <w:tcPr>
            <w:tcBorders>
              <w:bottom w:val="single"/>
            </w:tcBorders>
            <w:vAlign w:val="bottom"/>
          </w:tcPr>
          <w:p>
            <w:pPr>
              <w:pStyle w:val="Compact"/>
              <w:jc w:val="left"/>
            </w:pPr>
            <w:r>
              <w:t xml:space="preserve">Durchschnittlicher EUA-Preis (€/t CO2)</w:t>
            </w:r>
          </w:p>
        </w:tc>
        <w:tc>
          <w:tcPr>
            <w:tcBorders>
              <w:bottom w:val="single"/>
            </w:tcBorders>
            <w:vAlign w:val="bottom"/>
          </w:tcPr>
          <w:p>
            <w:pPr>
              <w:pStyle w:val="Compact"/>
              <w:jc w:val="left"/>
            </w:pPr>
            <w:r>
              <w:t xml:space="preserve">Jährlicher Preisänderung (%)</w:t>
            </w:r>
          </w:p>
        </w:tc>
      </w:tr>
      <w:tr>
        <w:tc>
          <w:p>
            <w:pPr>
              <w:pStyle w:val="Compact"/>
              <w:jc w:val="left"/>
            </w:pPr>
            <w:r>
              <w:t xml:space="preserve">2005</w:t>
            </w:r>
          </w:p>
        </w:tc>
        <w:tc>
          <w:p>
            <w:pPr>
              <w:pStyle w:val="Compact"/>
              <w:jc w:val="left"/>
            </w:pPr>
            <w:r>
              <w:t xml:space="preserve">2240</w:t>
            </w:r>
          </w:p>
        </w:tc>
        <w:tc>
          <w:p>
            <w:pPr>
              <w:pStyle w:val="Compact"/>
              <w:jc w:val="left"/>
            </w:pPr>
            <w:r>
              <w:t xml:space="preserve">0</w:t>
            </w:r>
          </w:p>
        </w:tc>
        <w:tc>
          <w:p>
            <w:pPr>
              <w:pStyle w:val="Compact"/>
              <w:jc w:val="left"/>
            </w:pPr>
            <w:r>
              <w:t xml:space="preserve">17.50</w:t>
            </w:r>
          </w:p>
        </w:tc>
        <w:tc>
          <w:p>
            <w:pPr>
              <w:pStyle w:val="Compact"/>
              <w:jc w:val="left"/>
            </w:pPr>
            <w:r>
              <w:t xml:space="preserve">-</w:t>
            </w:r>
          </w:p>
        </w:tc>
      </w:tr>
      <w:tr>
        <w:tc>
          <w:p>
            <w:pPr>
              <w:pStyle w:val="Compact"/>
              <w:jc w:val="left"/>
            </w:pPr>
            <w:r>
              <w:t xml:space="preserve">2010</w:t>
            </w:r>
          </w:p>
        </w:tc>
        <w:tc>
          <w:p>
            <w:pPr>
              <w:pStyle w:val="Compact"/>
              <w:jc w:val="left"/>
            </w:pPr>
            <w:r>
              <w:t xml:space="preserve">2000</w:t>
            </w:r>
          </w:p>
        </w:tc>
        <w:tc>
          <w:p>
            <w:pPr>
              <w:pStyle w:val="Compact"/>
              <w:jc w:val="left"/>
            </w:pPr>
            <w:r>
              <w:t xml:space="preserve">10.7</w:t>
            </w:r>
          </w:p>
        </w:tc>
        <w:tc>
          <w:p>
            <w:pPr>
              <w:pStyle w:val="Compact"/>
              <w:jc w:val="left"/>
            </w:pPr>
            <w:r>
              <w:t xml:space="preserve">14.10</w:t>
            </w:r>
          </w:p>
        </w:tc>
        <w:tc>
          <w:p>
            <w:pPr>
              <w:pStyle w:val="Compact"/>
              <w:jc w:val="left"/>
            </w:pPr>
            <w:r>
              <w:t xml:space="preserve">-19.4</w:t>
            </w:r>
          </w:p>
        </w:tc>
      </w:tr>
      <w:tr>
        <w:tc>
          <w:p>
            <w:pPr>
              <w:pStyle w:val="Compact"/>
              <w:jc w:val="left"/>
            </w:pPr>
            <w:r>
              <w:t xml:space="preserve">2015</w:t>
            </w:r>
          </w:p>
        </w:tc>
        <w:tc>
          <w:p>
            <w:pPr>
              <w:pStyle w:val="Compact"/>
              <w:jc w:val="left"/>
            </w:pPr>
            <w:r>
              <w:t xml:space="preserve">1810</w:t>
            </w:r>
          </w:p>
        </w:tc>
        <w:tc>
          <w:p>
            <w:pPr>
              <w:pStyle w:val="Compact"/>
              <w:jc w:val="left"/>
            </w:pPr>
            <w:r>
              <w:t xml:space="preserve">19.2</w:t>
            </w:r>
          </w:p>
        </w:tc>
        <w:tc>
          <w:p>
            <w:pPr>
              <w:pStyle w:val="Compact"/>
              <w:jc w:val="left"/>
            </w:pPr>
            <w:r>
              <w:t xml:space="preserve">7.80</w:t>
            </w:r>
          </w:p>
        </w:tc>
        <w:tc>
          <w:p>
            <w:pPr>
              <w:pStyle w:val="Compact"/>
              <w:jc w:val="left"/>
            </w:pPr>
            <w:r>
              <w:t xml:space="preserve">-44.7</w:t>
            </w:r>
          </w:p>
        </w:tc>
      </w:tr>
      <w:tr>
        <w:tc>
          <w:p>
            <w:pPr>
              <w:pStyle w:val="Compact"/>
              <w:jc w:val="left"/>
            </w:pPr>
            <w:r>
              <w:t xml:space="preserve">2020</w:t>
            </w:r>
          </w:p>
        </w:tc>
        <w:tc>
          <w:p>
            <w:pPr>
              <w:pStyle w:val="Compact"/>
              <w:jc w:val="left"/>
            </w:pPr>
            <w:r>
              <w:t xml:space="preserve">1500</w:t>
            </w:r>
          </w:p>
        </w:tc>
        <w:tc>
          <w:p>
            <w:pPr>
              <w:pStyle w:val="Compact"/>
              <w:jc w:val="left"/>
            </w:pPr>
            <w:r>
              <w:t xml:space="preserve">33.0</w:t>
            </w:r>
          </w:p>
        </w:tc>
        <w:tc>
          <w:p>
            <w:pPr>
              <w:pStyle w:val="Compact"/>
              <w:jc w:val="left"/>
            </w:pPr>
            <w:r>
              <w:t xml:space="preserve">24.70</w:t>
            </w:r>
          </w:p>
        </w:tc>
        <w:tc>
          <w:p>
            <w:pPr>
              <w:pStyle w:val="Compact"/>
              <w:jc w:val="left"/>
            </w:pPr>
            <w:r>
              <w:t xml:space="preserve">216.7</w:t>
            </w:r>
          </w:p>
        </w:tc>
      </w:tr>
      <w:tr>
        <w:tc>
          <w:p>
            <w:pPr>
              <w:pStyle w:val="Compact"/>
              <w:jc w:val="left"/>
            </w:pPr>
            <w:r>
              <w:t xml:space="preserve">2023</w:t>
            </w:r>
          </w:p>
        </w:tc>
        <w:tc>
          <w:p>
            <w:pPr>
              <w:pStyle w:val="Compact"/>
              <w:jc w:val="left"/>
            </w:pPr>
            <w:r>
              <w:t xml:space="preserve">1350</w:t>
            </w:r>
          </w:p>
        </w:tc>
        <w:tc>
          <w:p>
            <w:pPr>
              <w:pStyle w:val="Compact"/>
              <w:jc w:val="left"/>
            </w:pPr>
            <w:r>
              <w:t xml:space="preserve">39.7</w:t>
            </w:r>
          </w:p>
        </w:tc>
        <w:tc>
          <w:p>
            <w:pPr>
              <w:pStyle w:val="Compact"/>
              <w:jc w:val="left"/>
            </w:pPr>
            <w:r>
              <w:t xml:space="preserve">85.00</w:t>
            </w:r>
          </w:p>
        </w:tc>
        <w:tc>
          <w:p>
            <w:pPr>
              <w:pStyle w:val="Compact"/>
              <w:jc w:val="left"/>
            </w:pPr>
            <w:r>
              <w:t xml:space="preserve">244.1</w:t>
            </w:r>
          </w:p>
        </w:tc>
      </w:tr>
      <w:tr>
        <w:tc>
          <w:p>
            <w:pPr>
              <w:pStyle w:val="Compact"/>
              <w:jc w:val="left"/>
            </w:pPr>
            <w:r>
              <w:t xml:space="preserve">2025*</w:t>
            </w:r>
          </w:p>
        </w:tc>
        <w:tc>
          <w:p>
            <w:pPr>
              <w:pStyle w:val="Compact"/>
              <w:jc w:val="left"/>
            </w:pPr>
            <w:r>
              <w:t xml:space="preserve">1200</w:t>
            </w:r>
          </w:p>
        </w:tc>
        <w:tc>
          <w:p>
            <w:pPr>
              <w:pStyle w:val="Compact"/>
              <w:jc w:val="left"/>
            </w:pPr>
            <w:r>
              <w:t xml:space="preserve">46.4</w:t>
            </w:r>
          </w:p>
        </w:tc>
        <w:tc>
          <w:p>
            <w:pPr>
              <w:pStyle w:val="Compact"/>
              <w:jc w:val="left"/>
            </w:pPr>
            <w:r>
              <w:t xml:space="preserve">100.00</w:t>
            </w:r>
          </w:p>
        </w:tc>
        <w:tc>
          <w:p>
            <w:pPr>
              <w:pStyle w:val="Compact"/>
              <w:jc w:val="left"/>
            </w:pPr>
            <w:r>
              <w:t xml:space="preserve">17.6</w:t>
            </w:r>
          </w:p>
        </w:tc>
      </w:tr>
    </w:tbl>
    <w:p>
      <w:pPr>
        <w:pStyle w:val="BodyText"/>
      </w:pPr>
      <w:r>
        <w:rPr>
          <w:i/>
        </w:rPr>
        <w:t xml:space="preserve">Anmerkung: Emissionsdaten umfassen stationäre Anlagen und Luftfahrt. Preise sind Jahresdurchschnitte.</w:t>
      </w:r>
      <w:r>
        <w:rPr>
          <w:i/>
        </w:rPr>
        <w:t xml:space="preserve"> </w:t>
      </w:r>
      <w:r>
        <w:t xml:space="preserve">2025 sind Projektionen basierend auf aktuellen Trends und politischen Zielen. Daten basieren auf EEA und EEX-Berichten.</w:t>
      </w:r>
    </w:p>
    <w:p>
      <w:pPr>
        <w:numPr>
          <w:ilvl w:val="0"/>
          <w:numId w:val="1013"/>
        </w:numPr>
        <w:pStyle w:val="Compact"/>
      </w:pPr>
      <w:r>
        <w:rPr>
          <w:b/>
        </w:rPr>
        <w:t xml:space="preserve">Interpretation:</w:t>
      </w:r>
      <w:r>
        <w:t xml:space="preserve"> </w:t>
      </w:r>
      <w:r>
        <w:t xml:space="preserve">Die Tabelle zeigt eine deutliche Reduktion der Gesamtemissionen im EU ETS seit 2005, insbesondere nach 2015, als die Reformen des Systems (v.a. MSR) zu einer signifikanten Preissteigerung führten. Die Preisvolatilität war hoch, aber der Trend zeigt eine klare Aufwärtsbewegung, die die Anreize zur Dekarbonisierung verstärkt.</w:t>
      </w:r>
    </w:p>
    <w:p>
      <w:pPr>
        <w:pStyle w:val="Heading3"/>
      </w:pPr>
      <w:bookmarkStart w:id="77" w:name="Xe837b0be17b57f4fb081c93b427279e7b95cca3"/>
      <w:r>
        <w:t xml:space="preserve">C.2 Szenario 2: Kalifornisches Cap-and-Trade-Programm – Wirtschaftliche und ökologische Indikatoren</w:t>
      </w:r>
      <w:bookmarkEnd w:id="77"/>
    </w:p>
    <w:p>
      <w:pPr>
        <w:pStyle w:val="FirstParagraph"/>
      </w:pPr>
      <w:r>
        <w:t xml:space="preserve">Das kalifornische System hat erfolgreich Emissionen reduziert, während die Wirtschaft weiter gewachsen ist.</w:t>
      </w:r>
    </w:p>
    <w:p>
      <w:pPr>
        <w:pStyle w:val="BodyText"/>
      </w:pPr>
      <w:r>
        <w:rPr>
          <w:b/>
        </w:rPr>
        <w:t xml:space="preserve">Tabelle C.2: Kalifornien: Emissions- und Wirtschaftsindikatoren (Ausgewählte Jahre)</w:t>
      </w:r>
    </w:p>
    <w:tbl>
      <w:tblPr>
        <w:tblStyle w:val="Table"/>
        <w:tblW w:type="pct" w:w="5000.0"/>
        <w:tblLook w:firstRow="1"/>
      </w:tblPr>
      <w:tblGrid>
        <w:gridCol w:w="380"/>
        <w:gridCol w:w="2090"/>
        <w:gridCol w:w="1520"/>
        <w:gridCol w:w="1013"/>
        <w:gridCol w:w="2914"/>
      </w:tblGrid>
      <w:tr>
        <w:trPr>
          <w:cnfStyle w:firstRow="1"/>
        </w:trPr>
        <w:tc>
          <w:tcPr>
            <w:tcBorders>
              <w:bottom w:val="single"/>
            </w:tcBorders>
            <w:vAlign w:val="bottom"/>
          </w:tcPr>
          <w:p>
            <w:pPr>
              <w:pStyle w:val="Compact"/>
              <w:jc w:val="left"/>
            </w:pPr>
            <w:r>
              <w:t xml:space="preserve">Jahr</w:t>
            </w:r>
          </w:p>
        </w:tc>
        <w:tc>
          <w:tcPr>
            <w:tcBorders>
              <w:bottom w:val="single"/>
            </w:tcBorders>
            <w:vAlign w:val="bottom"/>
          </w:tcPr>
          <w:p>
            <w:pPr>
              <w:pStyle w:val="Compact"/>
              <w:jc w:val="left"/>
            </w:pPr>
            <w:r>
              <w:t xml:space="preserve">THG-Emissionen (Mio. t CO2-Äq.)</w:t>
            </w:r>
          </w:p>
        </w:tc>
        <w:tc>
          <w:tcPr>
            <w:tcBorders>
              <w:bottom w:val="single"/>
            </w:tcBorders>
            <w:vAlign w:val="bottom"/>
          </w:tcPr>
          <w:p>
            <w:pPr>
              <w:pStyle w:val="Compact"/>
              <w:jc w:val="left"/>
            </w:pPr>
            <w:r>
              <w:t xml:space="preserve">Reduktion ggü. 2012 (%)</w:t>
            </w:r>
          </w:p>
        </w:tc>
        <w:tc>
          <w:tcPr>
            <w:tcBorders>
              <w:bottom w:val="single"/>
            </w:tcBorders>
            <w:vAlign w:val="bottom"/>
          </w:tcPr>
          <w:p>
            <w:pPr>
              <w:pStyle w:val="Compact"/>
              <w:jc w:val="left"/>
            </w:pPr>
            <w:r>
              <w:t xml:space="preserve">BIP (Mrd. USD)</w:t>
            </w:r>
          </w:p>
        </w:tc>
        <w:tc>
          <w:tcPr>
            <w:tcBorders>
              <w:bottom w:val="single"/>
            </w:tcBorders>
            <w:vAlign w:val="bottom"/>
          </w:tcPr>
          <w:p>
            <w:pPr>
              <w:pStyle w:val="Compact"/>
              <w:jc w:val="left"/>
            </w:pPr>
            <w:r>
              <w:t xml:space="preserve">Emissionsintensität (t CO2-Äq./Mio. USD BIP)</w:t>
            </w:r>
          </w:p>
        </w:tc>
      </w:tr>
      <w:tr>
        <w:tc>
          <w:p>
            <w:pPr>
              <w:pStyle w:val="Compact"/>
              <w:jc w:val="left"/>
            </w:pPr>
            <w:r>
              <w:t xml:space="preserve">2012</w:t>
            </w:r>
          </w:p>
        </w:tc>
        <w:tc>
          <w:p>
            <w:pPr>
              <w:pStyle w:val="Compact"/>
              <w:jc w:val="left"/>
            </w:pPr>
            <w:r>
              <w:t xml:space="preserve">459</w:t>
            </w:r>
          </w:p>
        </w:tc>
        <w:tc>
          <w:p>
            <w:pPr>
              <w:pStyle w:val="Compact"/>
              <w:jc w:val="left"/>
            </w:pPr>
            <w:r>
              <w:t xml:space="preserve">0</w:t>
            </w:r>
          </w:p>
        </w:tc>
        <w:tc>
          <w:p>
            <w:pPr>
              <w:pStyle w:val="Compact"/>
              <w:jc w:val="left"/>
            </w:pPr>
            <w:r>
              <w:t xml:space="preserve">2100</w:t>
            </w:r>
          </w:p>
        </w:tc>
        <w:tc>
          <w:p>
            <w:pPr>
              <w:pStyle w:val="Compact"/>
              <w:jc w:val="left"/>
            </w:pPr>
            <w:r>
              <w:t xml:space="preserve">218.6</w:t>
            </w:r>
          </w:p>
        </w:tc>
      </w:tr>
      <w:tr>
        <w:tc>
          <w:p>
            <w:pPr>
              <w:pStyle w:val="Compact"/>
              <w:jc w:val="left"/>
            </w:pPr>
            <w:r>
              <w:t xml:space="preserve">2015</w:t>
            </w:r>
          </w:p>
        </w:tc>
        <w:tc>
          <w:p>
            <w:pPr>
              <w:pStyle w:val="Compact"/>
              <w:jc w:val="left"/>
            </w:pPr>
            <w:r>
              <w:t xml:space="preserve">440</w:t>
            </w:r>
          </w:p>
        </w:tc>
        <w:tc>
          <w:p>
            <w:pPr>
              <w:pStyle w:val="Compact"/>
              <w:jc w:val="left"/>
            </w:pPr>
            <w:r>
              <w:t xml:space="preserve">4.1</w:t>
            </w:r>
          </w:p>
        </w:tc>
        <w:tc>
          <w:p>
            <w:pPr>
              <w:pStyle w:val="Compact"/>
              <w:jc w:val="left"/>
            </w:pPr>
            <w:r>
              <w:t xml:space="preserve">2400</w:t>
            </w:r>
          </w:p>
        </w:tc>
        <w:tc>
          <w:p>
            <w:pPr>
              <w:pStyle w:val="Compact"/>
              <w:jc w:val="left"/>
            </w:pPr>
            <w:r>
              <w:t xml:space="preserve">183.3</w:t>
            </w:r>
          </w:p>
        </w:tc>
      </w:tr>
      <w:tr>
        <w:tc>
          <w:p>
            <w:pPr>
              <w:pStyle w:val="Compact"/>
              <w:jc w:val="left"/>
            </w:pPr>
            <w:r>
              <w:t xml:space="preserve">2018</w:t>
            </w:r>
          </w:p>
        </w:tc>
        <w:tc>
          <w:p>
            <w:pPr>
              <w:pStyle w:val="Compact"/>
              <w:jc w:val="left"/>
            </w:pPr>
            <w:r>
              <w:t xml:space="preserve">425</w:t>
            </w:r>
          </w:p>
        </w:tc>
        <w:tc>
          <w:p>
            <w:pPr>
              <w:pStyle w:val="Compact"/>
              <w:jc w:val="left"/>
            </w:pPr>
            <w:r>
              <w:t xml:space="preserve">7.4</w:t>
            </w:r>
          </w:p>
        </w:tc>
        <w:tc>
          <w:p>
            <w:pPr>
              <w:pStyle w:val="Compact"/>
              <w:jc w:val="left"/>
            </w:pPr>
            <w:r>
              <w:t xml:space="preserve">2800</w:t>
            </w:r>
          </w:p>
        </w:tc>
        <w:tc>
          <w:p>
            <w:pPr>
              <w:pStyle w:val="Compact"/>
              <w:jc w:val="left"/>
            </w:pPr>
            <w:r>
              <w:t xml:space="preserve">151.8</w:t>
            </w:r>
          </w:p>
        </w:tc>
      </w:tr>
      <w:tr>
        <w:tc>
          <w:p>
            <w:pPr>
              <w:pStyle w:val="Compact"/>
              <w:jc w:val="left"/>
            </w:pPr>
            <w:r>
              <w:t xml:space="preserve">2021</w:t>
            </w:r>
          </w:p>
        </w:tc>
        <w:tc>
          <w:p>
            <w:pPr>
              <w:pStyle w:val="Compact"/>
              <w:jc w:val="left"/>
            </w:pPr>
            <w:r>
              <w:t xml:space="preserve">410</w:t>
            </w:r>
          </w:p>
        </w:tc>
        <w:tc>
          <w:p>
            <w:pPr>
              <w:pStyle w:val="Compact"/>
              <w:jc w:val="left"/>
            </w:pPr>
            <w:r>
              <w:t xml:space="preserve">10.6</w:t>
            </w:r>
          </w:p>
        </w:tc>
        <w:tc>
          <w:p>
            <w:pPr>
              <w:pStyle w:val="Compact"/>
              <w:jc w:val="left"/>
            </w:pPr>
            <w:r>
              <w:t xml:space="preserve">3200</w:t>
            </w:r>
          </w:p>
        </w:tc>
        <w:tc>
          <w:p>
            <w:pPr>
              <w:pStyle w:val="Compact"/>
              <w:jc w:val="left"/>
            </w:pPr>
            <w:r>
              <w:t xml:space="preserve">128.1</w:t>
            </w:r>
          </w:p>
        </w:tc>
      </w:tr>
      <w:tr>
        <w:tc>
          <w:p>
            <w:pPr>
              <w:pStyle w:val="Compact"/>
              <w:jc w:val="left"/>
            </w:pPr>
            <w:r>
              <w:t xml:space="preserve">2025*</w:t>
            </w:r>
          </w:p>
        </w:tc>
        <w:tc>
          <w:p>
            <w:pPr>
              <w:pStyle w:val="Compact"/>
              <w:jc w:val="left"/>
            </w:pPr>
            <w:r>
              <w:t xml:space="preserve">380</w:t>
            </w:r>
          </w:p>
        </w:tc>
        <w:tc>
          <w:p>
            <w:pPr>
              <w:pStyle w:val="Compact"/>
              <w:jc w:val="left"/>
            </w:pPr>
            <w:r>
              <w:t xml:space="preserve">17.2</w:t>
            </w:r>
          </w:p>
        </w:tc>
        <w:tc>
          <w:p>
            <w:pPr>
              <w:pStyle w:val="Compact"/>
              <w:jc w:val="left"/>
            </w:pPr>
            <w:r>
              <w:t xml:space="preserve">3600</w:t>
            </w:r>
          </w:p>
        </w:tc>
        <w:tc>
          <w:p>
            <w:pPr>
              <w:pStyle w:val="Compact"/>
              <w:jc w:val="left"/>
            </w:pPr>
            <w:r>
              <w:t xml:space="preserve">105.6</w:t>
            </w:r>
          </w:p>
        </w:tc>
      </w:tr>
    </w:tbl>
    <w:p>
      <w:pPr>
        <w:pStyle w:val="BodyText"/>
      </w:pPr>
      <w:r>
        <w:rPr>
          <w:i/>
        </w:rPr>
        <w:t xml:space="preserve">Anmerkung: THG-Emissionen umfassen alle Sektoren des Cap-and-Trade-Programms. BIP in konstanten Preisen.</w:t>
      </w:r>
      <w:r>
        <w:rPr>
          <w:i/>
        </w:rPr>
        <w:t xml:space="preserve"> </w:t>
      </w:r>
      <w:r>
        <w:t xml:space="preserve">2025 sind Projektionen. Daten basieren auf CARB-Berichten und US Bureau of Economic Analysis.</w:t>
      </w:r>
    </w:p>
    <w:p>
      <w:pPr>
        <w:numPr>
          <w:ilvl w:val="0"/>
          <w:numId w:val="1014"/>
        </w:numPr>
        <w:pStyle w:val="Compact"/>
      </w:pPr>
      <w:r>
        <w:rPr>
          <w:b/>
        </w:rPr>
        <w:t xml:space="preserve">Interpretation:</w:t>
      </w:r>
      <w:r>
        <w:t xml:space="preserve"> </w:t>
      </w:r>
      <w:r>
        <w:t xml:space="preserve">Kalifornien konnte seine THG-Emissionen kontinuierlich senken, während das BIP signifikant wuchs. Dies deutet auf eine Entkopplung von Wirtschaftswachstum und Emissionen hin, was die ökonomische Effizienz des Systems unterstreicht. Die Emissionsintensität pro BIP-Einheit ist deutlich gesunken.</w:t>
      </w:r>
    </w:p>
    <w:p>
      <w:pPr>
        <w:pStyle w:val="Heading3"/>
      </w:pPr>
      <w:bookmarkStart w:id="78" w:name="Xbba5ad3cd95525f8078f50267e7d3c82f7b6884"/>
      <w:r>
        <w:t xml:space="preserve">C.3 Szenario 3: Auswirkungen auf Sektoren und Innovationsmetriken</w:t>
      </w:r>
      <w:bookmarkEnd w:id="78"/>
    </w:p>
    <w:p>
      <w:pPr>
        <w:pStyle w:val="FirstParagraph"/>
      </w:pPr>
      <w:r>
        <w:t xml:space="preserve">Die CO2-Bepreisung wirkt sich unterschiedlich auf verschiedene Sektoren aus und fördert grüne Innovationen.</w:t>
      </w:r>
    </w:p>
    <w:p>
      <w:pPr>
        <w:pStyle w:val="BodyText"/>
      </w:pPr>
      <w:r>
        <w:rPr>
          <w:b/>
        </w:rPr>
        <w:t xml:space="preserve">Tabelle C.3: Sektorale Emissionsreduktionen und Innovationsmetriken (EU ETS, 2010-2020)</w:t>
      </w:r>
    </w:p>
    <w:tbl>
      <w:tblPr>
        <w:tblStyle w:val="Table"/>
        <w:tblW w:type="pct" w:w="5000.0"/>
        <w:tblLook w:firstRow="1"/>
      </w:tblPr>
      <w:tblGrid>
        <w:gridCol w:w="995"/>
        <w:gridCol w:w="1659"/>
        <w:gridCol w:w="1707"/>
        <w:gridCol w:w="1849"/>
        <w:gridCol w:w="1707"/>
      </w:tblGrid>
      <w:tr>
        <w:trPr>
          <w:cnfStyle w:firstRow="1"/>
        </w:trPr>
        <w:tc>
          <w:tcPr>
            <w:tcBorders>
              <w:bottom w:val="single"/>
            </w:tcBorders>
            <w:vAlign w:val="bottom"/>
          </w:tcPr>
          <w:p>
            <w:pPr>
              <w:pStyle w:val="Compact"/>
              <w:jc w:val="left"/>
            </w:pPr>
            <w:r>
              <w:t xml:space="preserve">Sektor</w:t>
            </w:r>
          </w:p>
        </w:tc>
        <w:tc>
          <w:tcPr>
            <w:tcBorders>
              <w:bottom w:val="single"/>
            </w:tcBorders>
            <w:vAlign w:val="bottom"/>
          </w:tcPr>
          <w:p>
            <w:pPr>
              <w:pStyle w:val="Compact"/>
              <w:jc w:val="left"/>
            </w:pPr>
            <w:r>
              <w:t xml:space="preserve">Emissionsreduktion (2010-2020, %)</w:t>
            </w:r>
          </w:p>
        </w:tc>
        <w:tc>
          <w:tcPr>
            <w:tcBorders>
              <w:bottom w:val="single"/>
            </w:tcBorders>
            <w:vAlign w:val="bottom"/>
          </w:tcPr>
          <w:p>
            <w:pPr>
              <w:pStyle w:val="Compact"/>
              <w:jc w:val="left"/>
            </w:pPr>
            <w:r>
              <w:t xml:space="preserve">EUA-Preiselastizität der Emissionen</w:t>
            </w:r>
          </w:p>
        </w:tc>
        <w:tc>
          <w:tcPr>
            <w:tcBorders>
              <w:bottom w:val="single"/>
            </w:tcBorders>
            <w:vAlign w:val="bottom"/>
          </w:tcPr>
          <w:p>
            <w:pPr>
              <w:pStyle w:val="Compact"/>
              <w:jc w:val="left"/>
            </w:pPr>
            <w:r>
              <w:t xml:space="preserve">Grüne Patente (Index, Basis 2010=100)</w:t>
            </w:r>
          </w:p>
        </w:tc>
        <w:tc>
          <w:tcPr>
            <w:tcBorders>
              <w:bottom w:val="single"/>
            </w:tcBorders>
            <w:vAlign w:val="bottom"/>
          </w:tcPr>
          <w:p>
            <w:pPr>
              <w:pStyle w:val="Compact"/>
              <w:jc w:val="left"/>
            </w:pPr>
            <w:r>
              <w:t xml:space="preserve">F&amp;E-Investitionen (Veränderung, %)</w:t>
            </w:r>
          </w:p>
        </w:tc>
      </w:tr>
      <w:tr>
        <w:tc>
          <w:p>
            <w:pPr>
              <w:pStyle w:val="Compact"/>
              <w:jc w:val="left"/>
            </w:pPr>
            <w:r>
              <w:rPr>
                <w:b/>
              </w:rPr>
              <w:t xml:space="preserve">Energiewirtschaft</w:t>
            </w:r>
          </w:p>
        </w:tc>
        <w:tc>
          <w:p>
            <w:pPr>
              <w:pStyle w:val="Compact"/>
              <w:jc w:val="left"/>
            </w:pPr>
            <w:r>
              <w:t xml:space="preserve">45.0</w:t>
            </w:r>
          </w:p>
        </w:tc>
        <w:tc>
          <w:p>
            <w:pPr>
              <w:pStyle w:val="Compact"/>
              <w:jc w:val="left"/>
            </w:pPr>
            <w:r>
              <w:t xml:space="preserve">-0.65</w:t>
            </w:r>
          </w:p>
        </w:tc>
        <w:tc>
          <w:p>
            <w:pPr>
              <w:pStyle w:val="Compact"/>
              <w:jc w:val="left"/>
            </w:pPr>
            <w:r>
              <w:t xml:space="preserve">185</w:t>
            </w:r>
          </w:p>
        </w:tc>
        <w:tc>
          <w:p>
            <w:pPr>
              <w:pStyle w:val="Compact"/>
              <w:jc w:val="left"/>
            </w:pPr>
            <w:r>
              <w:t xml:space="preserve">+25</w:t>
            </w:r>
          </w:p>
        </w:tc>
      </w:tr>
      <w:tr>
        <w:tc>
          <w:p>
            <w:pPr>
              <w:pStyle w:val="Compact"/>
              <w:jc w:val="left"/>
            </w:pPr>
            <w:r>
              <w:rPr>
                <w:b/>
              </w:rPr>
              <w:t xml:space="preserve">Zement</w:t>
            </w:r>
          </w:p>
        </w:tc>
        <w:tc>
          <w:p>
            <w:pPr>
              <w:pStyle w:val="Compact"/>
              <w:jc w:val="left"/>
            </w:pPr>
            <w:r>
              <w:t xml:space="preserve">15.0</w:t>
            </w:r>
          </w:p>
        </w:tc>
        <w:tc>
          <w:p>
            <w:pPr>
              <w:pStyle w:val="Compact"/>
              <w:jc w:val="left"/>
            </w:pPr>
            <w:r>
              <w:t xml:space="preserve">-0.20</w:t>
            </w:r>
          </w:p>
        </w:tc>
        <w:tc>
          <w:p>
            <w:pPr>
              <w:pStyle w:val="Compact"/>
              <w:jc w:val="left"/>
            </w:pPr>
            <w:r>
              <w:t xml:space="preserve">110</w:t>
            </w:r>
          </w:p>
        </w:tc>
        <w:tc>
          <w:p>
            <w:pPr>
              <w:pStyle w:val="Compact"/>
              <w:jc w:val="left"/>
            </w:pPr>
            <w:r>
              <w:t xml:space="preserve">+5</w:t>
            </w:r>
          </w:p>
        </w:tc>
      </w:tr>
      <w:tr>
        <w:tc>
          <w:p>
            <w:pPr>
              <w:pStyle w:val="Compact"/>
              <w:jc w:val="left"/>
            </w:pPr>
            <w:r>
              <w:rPr>
                <w:b/>
              </w:rPr>
              <w:t xml:space="preserve">Stahl</w:t>
            </w:r>
          </w:p>
        </w:tc>
        <w:tc>
          <w:p>
            <w:pPr>
              <w:pStyle w:val="Compact"/>
              <w:jc w:val="left"/>
            </w:pPr>
            <w:r>
              <w:t xml:space="preserve">18.0</w:t>
            </w:r>
          </w:p>
        </w:tc>
        <w:tc>
          <w:p>
            <w:pPr>
              <w:pStyle w:val="Compact"/>
              <w:jc w:val="left"/>
            </w:pPr>
            <w:r>
              <w:t xml:space="preserve">-0.25</w:t>
            </w:r>
          </w:p>
        </w:tc>
        <w:tc>
          <w:p>
            <w:pPr>
              <w:pStyle w:val="Compact"/>
              <w:jc w:val="left"/>
            </w:pPr>
            <w:r>
              <w:t xml:space="preserve">120</w:t>
            </w:r>
          </w:p>
        </w:tc>
        <w:tc>
          <w:p>
            <w:pPr>
              <w:pStyle w:val="Compact"/>
              <w:jc w:val="left"/>
            </w:pPr>
            <w:r>
              <w:t xml:space="preserve">+8</w:t>
            </w:r>
          </w:p>
        </w:tc>
      </w:tr>
      <w:tr>
        <w:tc>
          <w:p>
            <w:pPr>
              <w:pStyle w:val="Compact"/>
              <w:jc w:val="left"/>
            </w:pPr>
            <w:r>
              <w:rPr>
                <w:b/>
              </w:rPr>
              <w:t xml:space="preserve">Chemie</w:t>
            </w:r>
          </w:p>
        </w:tc>
        <w:tc>
          <w:p>
            <w:pPr>
              <w:pStyle w:val="Compact"/>
              <w:jc w:val="left"/>
            </w:pPr>
            <w:r>
              <w:t xml:space="preserve">12.0</w:t>
            </w:r>
          </w:p>
        </w:tc>
        <w:tc>
          <w:p>
            <w:pPr>
              <w:pStyle w:val="Compact"/>
              <w:jc w:val="left"/>
            </w:pPr>
            <w:r>
              <w:t xml:space="preserve">-0.18</w:t>
            </w:r>
          </w:p>
        </w:tc>
        <w:tc>
          <w:p>
            <w:pPr>
              <w:pStyle w:val="Compact"/>
              <w:jc w:val="left"/>
            </w:pPr>
            <w:r>
              <w:t xml:space="preserve">105</w:t>
            </w:r>
          </w:p>
        </w:tc>
        <w:tc>
          <w:p>
            <w:pPr>
              <w:pStyle w:val="Compact"/>
              <w:jc w:val="left"/>
            </w:pPr>
            <w:r>
              <w:t xml:space="preserve">+3</w:t>
            </w:r>
          </w:p>
        </w:tc>
      </w:tr>
      <w:tr>
        <w:tc>
          <w:p>
            <w:pPr>
              <w:pStyle w:val="Compact"/>
              <w:jc w:val="left"/>
            </w:pPr>
            <w:r>
              <w:rPr>
                <w:b/>
              </w:rPr>
              <w:t xml:space="preserve">Gesamt (ETS)</w:t>
            </w:r>
          </w:p>
        </w:tc>
        <w:tc>
          <w:p>
            <w:pPr>
              <w:pStyle w:val="Compact"/>
              <w:jc w:val="left"/>
            </w:pPr>
            <w:r>
              <w:t xml:space="preserve">33.0</w:t>
            </w:r>
          </w:p>
        </w:tc>
        <w:tc>
          <w:p>
            <w:pPr>
              <w:pStyle w:val="Compact"/>
              <w:jc w:val="left"/>
            </w:pPr>
            <w:r>
              <w:t xml:space="preserve">-0.40</w:t>
            </w:r>
          </w:p>
        </w:tc>
        <w:tc>
          <w:p>
            <w:pPr>
              <w:pStyle w:val="Compact"/>
              <w:jc w:val="left"/>
            </w:pPr>
            <w:r>
              <w:t xml:space="preserve">145</w:t>
            </w:r>
          </w:p>
        </w:tc>
        <w:tc>
          <w:p>
            <w:pPr>
              <w:pStyle w:val="Compact"/>
              <w:jc w:val="left"/>
            </w:pPr>
            <w:r>
              <w:t xml:space="preserve">+15</w:t>
            </w:r>
          </w:p>
        </w:tc>
      </w:tr>
    </w:tbl>
    <w:p>
      <w:pPr>
        <w:pStyle w:val="BodyText"/>
      </w:pPr>
      <w:r>
        <w:t xml:space="preserve">*Anmerkung: Preiselastizität gibt an, um wie viel Prozent sich Emissionen bei einer 1%-igen Preisänderung ändern. Grüne Patente beziehen sich auf relevante IPC-Klassen. F&amp;E-Investitionen sind sektorspezifische Veränderungen. Daten sind aggregierte Schätzungen aus verschiedenen Quellen.</w:t>
      </w:r>
    </w:p>
    <w:p>
      <w:pPr>
        <w:numPr>
          <w:ilvl w:val="0"/>
          <w:numId w:val="1015"/>
        </w:numPr>
        <w:pStyle w:val="Compact"/>
      </w:pPr>
      <w:r>
        <w:rPr>
          <w:b/>
        </w:rPr>
        <w:t xml:space="preserve">Interpretation:</w:t>
      </w:r>
      <w:r>
        <w:t xml:space="preserve"> </w:t>
      </w:r>
      <w:r>
        <w:t xml:space="preserve">Die Energiewirtschaft zeigt die stärksten Emissionsreduktionen und die höchste Preiselastizität, was auf eine hohe Sensibilität gegenüber dem CO2-Preis hindeutet. Auch die Innovationsmetriken sind in diesem Sektor am höchsten. Energieintensive Industrien wie Zement und Stahl zeigen geringere, aber dennoch signifikante Reduktionen und Innovationsaktivitäten, was auf die Notwendigkeit ergänzender Politikmaßnahmen hinweist.</w:t>
      </w:r>
    </w:p>
    <w:p>
      <w:pPr>
        <w:pStyle w:val="Heading3"/>
      </w:pPr>
      <w:bookmarkStart w:id="79" w:name="X8602edcf1f547a8261468b0ad0b4d2f4f3f6b9c"/>
      <w:r>
        <w:t xml:space="preserve">C.4 Cross-Scenario Vergleich und Prognosen</w:t>
      </w:r>
      <w:bookmarkEnd w:id="79"/>
    </w:p>
    <w:p>
      <w:pPr>
        <w:pStyle w:val="FirstParagraph"/>
      </w:pPr>
      <w:r>
        <w:t xml:space="preserve">Die Erfahrungen der verschiedenen ETS zeigen, dass ein ambitioniertes Cap und effektive Marktmechanismen entscheidend für den Erfolg sind.</w:t>
      </w:r>
    </w:p>
    <w:p>
      <w:pPr>
        <w:pStyle w:val="BodyText"/>
      </w:pPr>
      <w:r>
        <w:t xml:space="preserve">**Tabelle C.4: Prognose der THG-Reduktionen durch ETS (bis 2030)*</w:t>
      </w:r>
    </w:p>
    <w:tbl>
      <w:tblPr>
        <w:tblStyle w:val="Table"/>
        <w:tblW w:type="pct" w:w="5000.0"/>
        <w:tblLook w:firstRow="1"/>
      </w:tblPr>
      <w:tblGrid>
        <w:gridCol w:w="1311"/>
        <w:gridCol w:w="1214"/>
        <w:gridCol w:w="485"/>
        <w:gridCol w:w="1166"/>
        <w:gridCol w:w="1700"/>
        <w:gridCol w:w="204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Basisjahr der Reduktion</w:t>
            </w:r>
          </w:p>
        </w:tc>
        <w:tc>
          <w:tcPr>
            <w:tcBorders>
              <w:bottom w:val="single"/>
            </w:tcBorders>
            <w:vAlign w:val="bottom"/>
          </w:tcPr>
          <w:p>
            <w:pPr>
              <w:pStyle w:val="Compact"/>
              <w:jc w:val="left"/>
            </w:pPr>
            <w:r>
              <w:t xml:space="preserve">Zieljahr</w:t>
            </w:r>
          </w:p>
        </w:tc>
        <w:tc>
          <w:tcPr>
            <w:tcBorders>
              <w:bottom w:val="single"/>
            </w:tcBorders>
            <w:vAlign w:val="bottom"/>
          </w:tcPr>
          <w:p>
            <w:pPr>
              <w:pStyle w:val="Compact"/>
              <w:jc w:val="left"/>
            </w:pPr>
            <w:r>
              <w:t xml:space="preserve">THG-Reduktionsziel (%)</w:t>
            </w:r>
          </w:p>
        </w:tc>
        <w:tc>
          <w:tcPr>
            <w:tcBorders>
              <w:bottom w:val="single"/>
            </w:tcBorders>
            <w:vAlign w:val="bottom"/>
          </w:tcPr>
          <w:p>
            <w:pPr>
              <w:pStyle w:val="Compact"/>
              <w:jc w:val="left"/>
            </w:pPr>
            <w:r>
              <w:t xml:space="preserve">Erwartete Reduktion durch ETS (%)</w:t>
            </w:r>
          </w:p>
        </w:tc>
        <w:tc>
          <w:tcPr>
            <w:tcBorders>
              <w:bottom w:val="single"/>
            </w:tcBorders>
            <w:vAlign w:val="bottom"/>
          </w:tcPr>
          <w:p>
            <w:pPr>
              <w:pStyle w:val="Compact"/>
              <w:jc w:val="left"/>
            </w:pPr>
            <w:r>
              <w:t xml:space="preserve">Zusätzliche Reduktion durch CBAM/MSR (%)</w:t>
            </w:r>
          </w:p>
        </w:tc>
      </w:tr>
      <w:tr>
        <w:tc>
          <w:p>
            <w:pPr>
              <w:pStyle w:val="Compact"/>
              <w:jc w:val="left"/>
            </w:pPr>
            <w:r>
              <w:rPr>
                <w:b/>
              </w:rPr>
              <w:t xml:space="preserve">EU ETS</w:t>
            </w:r>
          </w:p>
        </w:tc>
        <w:tc>
          <w:p>
            <w:pPr>
              <w:pStyle w:val="Compact"/>
              <w:jc w:val="left"/>
            </w:pPr>
            <w:r>
              <w:t xml:space="preserve">1990</w:t>
            </w:r>
          </w:p>
        </w:tc>
        <w:tc>
          <w:p>
            <w:pPr>
              <w:pStyle w:val="Compact"/>
              <w:jc w:val="left"/>
            </w:pPr>
            <w:r>
              <w:t xml:space="preserve">2030</w:t>
            </w:r>
          </w:p>
        </w:tc>
        <w:tc>
          <w:p>
            <w:pPr>
              <w:pStyle w:val="Compact"/>
              <w:jc w:val="left"/>
            </w:pPr>
            <w:r>
              <w:t xml:space="preserve">&gt;55</w:t>
            </w:r>
          </w:p>
        </w:tc>
        <w:tc>
          <w:p>
            <w:pPr>
              <w:pStyle w:val="Compact"/>
              <w:jc w:val="left"/>
            </w:pPr>
            <w:r>
              <w:t xml:space="preserve">40-45</w:t>
            </w:r>
          </w:p>
        </w:tc>
        <w:tc>
          <w:p>
            <w:pPr>
              <w:pStyle w:val="Compact"/>
              <w:jc w:val="left"/>
            </w:pPr>
            <w:r>
              <w:t xml:space="preserve">10-15</w:t>
            </w:r>
          </w:p>
        </w:tc>
      </w:tr>
      <w:tr>
        <w:tc>
          <w:p>
            <w:pPr>
              <w:pStyle w:val="Compact"/>
              <w:jc w:val="left"/>
            </w:pPr>
            <w:r>
              <w:rPr>
                <w:b/>
              </w:rPr>
              <w:t xml:space="preserve">Kalifornien Cap-Trade</w:t>
            </w:r>
          </w:p>
        </w:tc>
        <w:tc>
          <w:p>
            <w:pPr>
              <w:pStyle w:val="Compact"/>
              <w:jc w:val="left"/>
            </w:pPr>
            <w:r>
              <w:t xml:space="preserve">1990</w:t>
            </w:r>
          </w:p>
        </w:tc>
        <w:tc>
          <w:p>
            <w:pPr>
              <w:pStyle w:val="Compact"/>
              <w:jc w:val="left"/>
            </w:pPr>
            <w:r>
              <w:t xml:space="preserve">2030</w:t>
            </w:r>
          </w:p>
        </w:tc>
        <w:tc>
          <w:p>
            <w:pPr>
              <w:pStyle w:val="Compact"/>
              <w:jc w:val="left"/>
            </w:pPr>
            <w:r>
              <w:t xml:space="preserve">40</w:t>
            </w:r>
          </w:p>
        </w:tc>
        <w:tc>
          <w:p>
            <w:pPr>
              <w:pStyle w:val="Compact"/>
              <w:jc w:val="left"/>
            </w:pPr>
            <w:r>
              <w:t xml:space="preserve">30-35</w:t>
            </w:r>
          </w:p>
        </w:tc>
        <w:tc>
          <w:p>
            <w:pPr>
              <w:pStyle w:val="Compact"/>
              <w:jc w:val="left"/>
            </w:pPr>
            <w:r>
              <w:t xml:space="preserve">5-10 (durch Linking)</w:t>
            </w:r>
          </w:p>
        </w:tc>
      </w:tr>
      <w:tr>
        <w:tc>
          <w:p>
            <w:pPr>
              <w:pStyle w:val="Compact"/>
              <w:jc w:val="left"/>
            </w:pPr>
            <w:r>
              <w:rPr>
                <w:b/>
              </w:rPr>
              <w:t xml:space="preserve">C-ETS (national)</w:t>
            </w:r>
          </w:p>
        </w:tc>
        <w:tc>
          <w:p>
            <w:pPr>
              <w:pStyle w:val="Compact"/>
              <w:jc w:val="left"/>
            </w:pPr>
            <w:r>
              <w:t xml:space="preserve">2020</w:t>
            </w:r>
          </w:p>
        </w:tc>
        <w:tc>
          <w:p>
            <w:pPr>
              <w:pStyle w:val="Compact"/>
              <w:jc w:val="left"/>
            </w:pPr>
            <w:r>
              <w:t xml:space="preserve">2030</w:t>
            </w:r>
          </w:p>
        </w:tc>
        <w:tc>
          <w:p>
            <w:pPr>
              <w:pStyle w:val="Compact"/>
              <w:jc w:val="left"/>
            </w:pPr>
            <w:r>
              <w:t xml:space="preserve">n.a. (Peak 2030)</w:t>
            </w:r>
          </w:p>
        </w:tc>
        <w:tc>
          <w:p>
            <w:pPr>
              <w:pStyle w:val="Compact"/>
              <w:jc w:val="left"/>
            </w:pPr>
            <w:r>
              <w:t xml:space="preserve">10-15</w:t>
            </w:r>
          </w:p>
        </w:tc>
        <w:tc>
          <w:p>
            <w:pPr>
              <w:pStyle w:val="Compact"/>
              <w:jc w:val="left"/>
            </w:pPr>
            <w:r>
              <w:t xml:space="preserve">0-5 (durch Ausweitung)</w:t>
            </w:r>
          </w:p>
        </w:tc>
      </w:tr>
    </w:tbl>
    <w:p>
      <w:pPr>
        <w:pStyle w:val="BodyText"/>
      </w:pPr>
      <w:r>
        <w:t xml:space="preserve">*Anmerkung: Reduktionsziele sind gesetzlich oder politisch festgelegt. Erwartete Reduktion durch ETS ist der geschätzte direkte Beitrag des Systems. Zusätzliche Reduktion durch ergänzende Mechanismen wie CBAM oder verbesserte Marktstabilität. Werte sind Schätzungen.</w:t>
      </w:r>
    </w:p>
    <w:p>
      <w:pPr>
        <w:numPr>
          <w:ilvl w:val="0"/>
          <w:numId w:val="1016"/>
        </w:numPr>
        <w:pStyle w:val="Compact"/>
      </w:pPr>
      <w:r>
        <w:rPr>
          <w:b/>
        </w:rPr>
        <w:t xml:space="preserve">Interpretation:</w:t>
      </w:r>
      <w:r>
        <w:t xml:space="preserve"> </w:t>
      </w:r>
      <w:r>
        <w:t xml:space="preserve">Alle drei Systeme tragen erheblich zur Erreichung der Klimaziele bei. Das EU ETS hat das ambitionierteste Reduktionsziel, unterstützt durch Mechanismen wie MSR und CBAM. Kalifornien zeigt eine starke Leistung in einem subnationalen Kontext, während das C-ETS als jüngstes System noch Entwicklungspotenzial hat. Die Daten unterstreichen die Notwendigkeit, ETS kontinuierlich anzupassen und durch komplementäre Politiken zu stärken, um maximale Klimaschutzwirkung zu erzielen.</w:t>
      </w:r>
    </w:p>
    <w:p>
      <w:r>
        <w:pict>
          <v:rect style="width:0;height:1.5pt" o:hralign="center" o:hrstd="t" o:hr="t"/>
        </w:pict>
      </w:r>
    </w:p>
    <w:p>
      <w:pPr>
        <w:pStyle w:val="Heading2"/>
      </w:pPr>
      <w:bookmarkStart w:id="80" w:name="Xf67fd76722802994dba5d5050508229aefffe93"/>
      <w:r>
        <w:t xml:space="preserve">Anhang D: Zusätzliche Referenzen und Ressourcen</w:t>
      </w:r>
      <w:bookmarkEnd w:id="80"/>
    </w:p>
    <w:p>
      <w:pPr>
        <w:pStyle w:val="FirstParagraph"/>
      </w:pPr>
      <w:r>
        <w:t xml:space="preserve">Dieser Anhang listet weiterführende Literatur, wichtige Berichte, Online-Ressourcen und relevante Organisationen auf, die für ein vertieftes Verständnis des Emissionshandels und des Klimaschutzes nützlich sind.</w:t>
      </w:r>
    </w:p>
    <w:p>
      <w:pPr>
        <w:pStyle w:val="Heading3"/>
      </w:pPr>
      <w:bookmarkStart w:id="81" w:name="d.1-grundlagenwerke-und-fachbücher"/>
      <w:r>
        <w:t xml:space="preserve">D.1 Grundlagenwerke und Fachbücher</w:t>
      </w:r>
      <w:bookmarkEnd w:id="81"/>
    </w:p>
    <w:p>
      <w:pPr>
        <w:numPr>
          <w:ilvl w:val="0"/>
          <w:numId w:val="1017"/>
        </w:numPr>
        <w:pStyle w:val="Compact"/>
      </w:pPr>
      <w:r>
        <w:rPr>
          <w:b/>
        </w:rPr>
        <w:t xml:space="preserve">Tietenberg, T. H., &amp; Lewis, L. (2018).</w:t>
      </w:r>
      <w:r>
        <w:rPr>
          <w:b/>
        </w:rPr>
        <w:t xml:space="preserve"> </w:t>
      </w:r>
      <w:r>
        <w:rPr>
          <w:i/>
          <w:b/>
        </w:rPr>
        <w:t xml:space="preserve">Environmental and Natural Resource Economics</w:t>
      </w:r>
      <w:r>
        <w:rPr>
          <w:b/>
        </w:rPr>
        <w:t xml:space="preserve"> </w:t>
      </w:r>
      <w:r>
        <w:rPr>
          <w:b/>
        </w:rPr>
        <w:t xml:space="preserve">(11th ed.). Routledge.</w:t>
      </w:r>
    </w:p>
    <w:p>
      <w:pPr>
        <w:numPr>
          <w:ilvl w:val="0"/>
          <w:numId w:val="1018"/>
        </w:numPr>
        <w:pStyle w:val="Compact"/>
      </w:pPr>
      <w:r>
        <w:rPr>
          <w:b/>
        </w:rPr>
        <w:t xml:space="preserve">Relevanz:</w:t>
      </w:r>
      <w:r>
        <w:t xml:space="preserve"> </w:t>
      </w:r>
      <w:r>
        <w:t xml:space="preserve">Ein klassisches Lehrbuch der Umweltökonomie, das die theoretischen Grundlagen von Externalitäten, Pigou-Steuern und handelbaren Genehmigungen detailliert behandelt. Essentiell für das Verständnis der ökonomischen Rationalität von Emissionshandelssystemen.</w:t>
      </w:r>
    </w:p>
    <w:p>
      <w:pPr>
        <w:numPr>
          <w:ilvl w:val="0"/>
          <w:numId w:val="1019"/>
        </w:numPr>
        <w:pStyle w:val="Compact"/>
      </w:pPr>
      <w:r>
        <w:rPr>
          <w:b/>
        </w:rPr>
        <w:t xml:space="preserve">Stavins, R. N. (2003).</w:t>
      </w:r>
      <w:r>
        <w:rPr>
          <w:b/>
        </w:rPr>
        <w:t xml:space="preserve"> </w:t>
      </w:r>
      <w:r>
        <w:rPr>
          <w:i/>
          <w:b/>
        </w:rPr>
        <w:t xml:space="preserve">Economics of the Environment: Selected Readings</w:t>
      </w:r>
      <w:r>
        <w:rPr>
          <w:b/>
        </w:rPr>
        <w:t xml:space="preserve"> </w:t>
      </w:r>
      <w:r>
        <w:rPr>
          <w:b/>
        </w:rPr>
        <w:t xml:space="preserve">(5th ed.). W. W. Norton &amp; Company.</w:t>
      </w:r>
    </w:p>
    <w:p>
      <w:pPr>
        <w:numPr>
          <w:ilvl w:val="0"/>
          <w:numId w:val="1020"/>
        </w:numPr>
        <w:pStyle w:val="Compact"/>
      </w:pPr>
      <w:r>
        <w:rPr>
          <w:b/>
        </w:rPr>
        <w:t xml:space="preserve">Relevanz:</w:t>
      </w:r>
      <w:r>
        <w:t xml:space="preserve"> </w:t>
      </w:r>
      <w:r>
        <w:t xml:space="preserve">Eine Sammlung einflussreicher Artikel zur Umweltökonomie, die wichtige Beiträge zur Konzeption und Analyse marktbasierter Umweltinstrumente enthält.</w:t>
      </w:r>
    </w:p>
    <w:p>
      <w:pPr>
        <w:numPr>
          <w:ilvl w:val="0"/>
          <w:numId w:val="1021"/>
        </w:numPr>
        <w:pStyle w:val="Compact"/>
      </w:pPr>
      <w:r>
        <w:rPr>
          <w:b/>
        </w:rPr>
        <w:t xml:space="preserve">Ellerman, A. D., Convery, F. J., &amp; de Zegher, C. (2010).</w:t>
      </w:r>
      <w:r>
        <w:rPr>
          <w:b/>
        </w:rPr>
        <w:t xml:space="preserve"> </w:t>
      </w:r>
      <w:r>
        <w:rPr>
          <w:i/>
          <w:b/>
        </w:rPr>
        <w:t xml:space="preserve">Pricing Carbon: The European Union Emissions Trading Scheme</w:t>
      </w:r>
      <w:r>
        <w:rPr>
          <w:b/>
        </w:rPr>
        <w:t xml:space="preserve">. Cambridge University Press.</w:t>
      </w:r>
    </w:p>
    <w:p>
      <w:pPr>
        <w:numPr>
          <w:ilvl w:val="0"/>
          <w:numId w:val="1022"/>
        </w:numPr>
        <w:pStyle w:val="Compact"/>
      </w:pPr>
      <w:r>
        <w:rPr>
          <w:b/>
        </w:rPr>
        <w:t xml:space="preserve">Relevanz:</w:t>
      </w:r>
      <w:r>
        <w:t xml:space="preserve"> </w:t>
      </w:r>
      <w:r>
        <w:t xml:space="preserve">Eine umfassende Analyse der ersten Phasen des EU ETS, die Einblicke in die frühen Designentscheidungen, Herausforderungen und die anfängliche Performance des Systems bietet.</w:t>
      </w:r>
    </w:p>
    <w:p>
      <w:pPr>
        <w:pStyle w:val="Heading3"/>
      </w:pPr>
      <w:bookmarkStart w:id="82" w:name="d.2-schlüsselberichte-und-policy-briefs"/>
      <w:r>
        <w:t xml:space="preserve">D.2 Schlüsselberichte und Policy Briefs</w:t>
      </w:r>
      <w:bookmarkEnd w:id="82"/>
    </w:p>
    <w:p>
      <w:pPr>
        <w:numPr>
          <w:ilvl w:val="0"/>
          <w:numId w:val="1023"/>
        </w:numPr>
        <w:pStyle w:val="Compact"/>
      </w:pPr>
      <w:r>
        <w:rPr>
          <w:b/>
        </w:rPr>
        <w:t xml:space="preserve">Intergovernmental Panel on Climate Change (IPCC). (Regelmäßig aktualisiert).</w:t>
      </w:r>
      <w:r>
        <w:rPr>
          <w:b/>
        </w:rPr>
        <w:t xml:space="preserve"> </w:t>
      </w:r>
      <w:r>
        <w:rPr>
          <w:i/>
          <w:b/>
        </w:rPr>
        <w:t xml:space="preserve">Assessment Reports</w:t>
      </w:r>
      <w:r>
        <w:rPr>
          <w:b/>
        </w:rPr>
        <w:t xml:space="preserve">.</w:t>
      </w:r>
    </w:p>
    <w:p>
      <w:pPr>
        <w:numPr>
          <w:ilvl w:val="0"/>
          <w:numId w:val="1024"/>
        </w:numPr>
        <w:pStyle w:val="Compact"/>
      </w:pPr>
      <w:r>
        <w:rPr>
          <w:b/>
        </w:rPr>
        <w:t xml:space="preserve">Relevanz:</w:t>
      </w:r>
      <w:r>
        <w:t xml:space="preserve"> </w:t>
      </w:r>
      <w:r>
        <w:t xml:space="preserve">Die wissenschaftliche Grundlage für das Verständnis des Klimawandels und seiner Auswirkungen. Die Berichte des IPCC enthalten auch Analysen von Minderungspfaden und politischen Instrumenten, einschließlich der CO2-Bepreisung.</w:t>
      </w:r>
    </w:p>
    <w:p>
      <w:pPr>
        <w:numPr>
          <w:ilvl w:val="0"/>
          <w:numId w:val="1025"/>
        </w:numPr>
        <w:pStyle w:val="Compact"/>
      </w:pPr>
      <w:r>
        <w:rPr>
          <w:b/>
        </w:rPr>
        <w:t xml:space="preserve">World Bank. (Jährlich).</w:t>
      </w:r>
      <w:r>
        <w:rPr>
          <w:b/>
        </w:rPr>
        <w:t xml:space="preserve"> </w:t>
      </w:r>
      <w:r>
        <w:rPr>
          <w:i/>
          <w:b/>
        </w:rPr>
        <w:t xml:space="preserve">State and Trends of Carbon Pricing</w:t>
      </w:r>
      <w:r>
        <w:rPr>
          <w:b/>
        </w:rPr>
        <w:t xml:space="preserve">.</w:t>
      </w:r>
    </w:p>
    <w:p>
      <w:pPr>
        <w:numPr>
          <w:ilvl w:val="0"/>
          <w:numId w:val="1026"/>
        </w:numPr>
        <w:pStyle w:val="Compact"/>
      </w:pPr>
      <w:r>
        <w:rPr>
          <w:b/>
        </w:rPr>
        <w:t xml:space="preserve">Relevanz:</w:t>
      </w:r>
      <w:r>
        <w:t xml:space="preserve"> </w:t>
      </w:r>
      <w:r>
        <w:t xml:space="preserve">Ein jährlich erscheinender Bericht, der einen Überblick über den globalen Status von CO2-Preismechanismen (ETS und CO2-Steuern) bietet, einschließlich Implementierungsdetails, Preisen, Einnahmen und zukünftigen Entwicklungen.</w:t>
      </w:r>
    </w:p>
    <w:p>
      <w:pPr>
        <w:numPr>
          <w:ilvl w:val="0"/>
          <w:numId w:val="1027"/>
        </w:numPr>
        <w:pStyle w:val="Compact"/>
      </w:pPr>
      <w:r>
        <w:rPr>
          <w:b/>
        </w:rPr>
        <w:t xml:space="preserve">European Environment Agency (EEA). (Regelmäßig).</w:t>
      </w:r>
      <w:r>
        <w:rPr>
          <w:b/>
        </w:rPr>
        <w:t xml:space="preserve"> </w:t>
      </w:r>
      <w:r>
        <w:rPr>
          <w:i/>
          <w:b/>
        </w:rPr>
        <w:t xml:space="preserve">EU ETS data viewer</w:t>
      </w:r>
      <w:r>
        <w:rPr>
          <w:b/>
        </w:rPr>
        <w:t xml:space="preserve"> </w:t>
      </w:r>
      <w:r>
        <w:rPr>
          <w:b/>
        </w:rPr>
        <w:t xml:space="preserve">und</w:t>
      </w:r>
      <w:r>
        <w:rPr>
          <w:b/>
        </w:rPr>
        <w:t xml:space="preserve"> </w:t>
      </w:r>
      <w:r>
        <w:rPr>
          <w:i/>
          <w:b/>
        </w:rPr>
        <w:t xml:space="preserve">Trend and Projections in Europe</w:t>
      </w:r>
      <w:r>
        <w:rPr>
          <w:b/>
        </w:rPr>
        <w:t xml:space="preserve">.</w:t>
      </w:r>
    </w:p>
    <w:p>
      <w:pPr>
        <w:numPr>
          <w:ilvl w:val="0"/>
          <w:numId w:val="1028"/>
        </w:numPr>
        <w:pStyle w:val="Compact"/>
      </w:pPr>
      <w:r>
        <w:rPr>
          <w:b/>
        </w:rPr>
        <w:t xml:space="preserve">Relevanz:</w:t>
      </w:r>
      <w:r>
        <w:t xml:space="preserve"> </w:t>
      </w:r>
      <w:r>
        <w:t xml:space="preserve">Bietet detaillierte Emissionsdaten, Allokationsinformationen und Analysen zur Wirksamkeit des EU ETS. Die Daten sind entscheidend für empirische Studien zur europäischen Klimapolitik.</w:t>
      </w:r>
    </w:p>
    <w:p>
      <w:pPr>
        <w:numPr>
          <w:ilvl w:val="0"/>
          <w:numId w:val="1029"/>
        </w:numPr>
        <w:pStyle w:val="Compact"/>
      </w:pPr>
      <w:r>
        <w:rPr>
          <w:b/>
        </w:rPr>
        <w:t xml:space="preserve">California Air Resources Board (CARB). (Regelmäßig).</w:t>
      </w:r>
      <w:r>
        <w:rPr>
          <w:b/>
        </w:rPr>
        <w:t xml:space="preserve"> </w:t>
      </w:r>
      <w:r>
        <w:rPr>
          <w:i/>
          <w:b/>
        </w:rPr>
        <w:t xml:space="preserve">Cap-and-Trade Program Summary Reports</w:t>
      </w:r>
      <w:r>
        <w:rPr>
          <w:b/>
        </w:rPr>
        <w:t xml:space="preserve">.</w:t>
      </w:r>
    </w:p>
    <w:p>
      <w:pPr>
        <w:numPr>
          <w:ilvl w:val="0"/>
          <w:numId w:val="1030"/>
        </w:numPr>
        <w:pStyle w:val="Compact"/>
      </w:pPr>
      <w:r>
        <w:rPr>
          <w:b/>
        </w:rPr>
        <w:t xml:space="preserve">Relevanz:</w:t>
      </w:r>
      <w:r>
        <w:t xml:space="preserve"> </w:t>
      </w:r>
      <w:r>
        <w:t xml:space="preserve">Offizielle Berichte und Daten zum kalifornischen Cap-and-Trade-Programm, einschließlich Auktionsergebnissen, Emissionsdaten und Programmaktualisierungen.</w:t>
      </w:r>
    </w:p>
    <w:p>
      <w:pPr>
        <w:pStyle w:val="Heading3"/>
      </w:pPr>
      <w:bookmarkStart w:id="83" w:name="d.3-online-ressourcen-und-datenbanken"/>
      <w:r>
        <w:t xml:space="preserve">D.3 Online-Ressourcen und Datenbanken</w:t>
      </w:r>
      <w:bookmarkEnd w:id="83"/>
    </w:p>
    <w:p>
      <w:pPr>
        <w:numPr>
          <w:ilvl w:val="0"/>
          <w:numId w:val="1031"/>
        </w:numPr>
        <w:pStyle w:val="Compact"/>
      </w:pPr>
      <w:r>
        <w:rPr>
          <w:b/>
        </w:rPr>
        <w:t xml:space="preserve">International Carbon Action Partnership (ICAP)</w:t>
      </w:r>
      <w:r>
        <w:t xml:space="preserve">:</w:t>
      </w:r>
      <w:r>
        <w:t xml:space="preserve"> </w:t>
      </w:r>
      <w:hyperlink r:id="rId84">
        <w:r>
          <w:rPr>
            <w:rStyle w:val="Hyperlink"/>
          </w:rPr>
          <w:t xml:space="preserve">https://icapcarbonaction.com/</w:t>
        </w:r>
      </w:hyperlink>
    </w:p>
    <w:p>
      <w:pPr>
        <w:numPr>
          <w:ilvl w:val="0"/>
          <w:numId w:val="1031"/>
        </w:numPr>
        <w:pStyle w:val="Compact"/>
      </w:pPr>
      <w:r>
        <w:rPr>
          <w:b/>
        </w:rPr>
        <w:t xml:space="preserve">Beschreibung:</w:t>
      </w:r>
      <w:r>
        <w:t xml:space="preserve"> </w:t>
      </w:r>
      <w:r>
        <w:t xml:space="preserve">Eine internationale Plattform, die Regierungen und Behörden zusammenbringt, die Emissionshandelssysteme betreiben oder planen. Bietet umfassende Informationen zu ETS weltweit, einschließlich Karten, Berichten und Datenbanken.</w:t>
      </w:r>
    </w:p>
    <w:p>
      <w:pPr>
        <w:numPr>
          <w:ilvl w:val="0"/>
          <w:numId w:val="1031"/>
        </w:numPr>
        <w:pStyle w:val="Compact"/>
      </w:pPr>
      <w:r>
        <w:rPr>
          <w:b/>
        </w:rPr>
        <w:t xml:space="preserve">European Energy Exchange (EEX)</w:t>
      </w:r>
      <w:r>
        <w:t xml:space="preserve">:</w:t>
      </w:r>
      <w:r>
        <w:t xml:space="preserve"> </w:t>
      </w:r>
      <w:hyperlink r:id="rId85">
        <w:r>
          <w:rPr>
            <w:rStyle w:val="Hyperlink"/>
          </w:rPr>
          <w:t xml:space="preserve">https://www.eex.com/</w:t>
        </w:r>
      </w:hyperlink>
    </w:p>
    <w:p>
      <w:pPr>
        <w:numPr>
          <w:ilvl w:val="0"/>
          <w:numId w:val="1031"/>
        </w:numPr>
        <w:pStyle w:val="Compact"/>
      </w:pPr>
      <w:r>
        <w:rPr>
          <w:b/>
        </w:rPr>
        <w:t xml:space="preserve">Beschreibung:</w:t>
      </w:r>
      <w:r>
        <w:t xml:space="preserve"> </w:t>
      </w:r>
      <w:r>
        <w:t xml:space="preserve">Die führende europäische Börse für Energieprodukte, einschließlich Emissionszertifikaten (EUAs). Bietet aktuelle und historische Preisdaten, Handelsvolumina und Marktanalysen für das EU ETS.</w:t>
      </w:r>
    </w:p>
    <w:p>
      <w:pPr>
        <w:numPr>
          <w:ilvl w:val="0"/>
          <w:numId w:val="1031"/>
        </w:numPr>
        <w:pStyle w:val="Compact"/>
      </w:pPr>
      <w:r>
        <w:rPr>
          <w:b/>
        </w:rPr>
        <w:t xml:space="preserve">IEA (International Energy Agency)</w:t>
      </w:r>
      <w:r>
        <w:t xml:space="preserve">:</w:t>
      </w:r>
      <w:r>
        <w:t xml:space="preserve"> </w:t>
      </w:r>
      <w:hyperlink r:id="rId86">
        <w:r>
          <w:rPr>
            <w:rStyle w:val="Hyperlink"/>
          </w:rPr>
          <w:t xml:space="preserve">https://www.iea.org/</w:t>
        </w:r>
      </w:hyperlink>
    </w:p>
    <w:p>
      <w:pPr>
        <w:numPr>
          <w:ilvl w:val="0"/>
          <w:numId w:val="1031"/>
        </w:numPr>
        <w:pStyle w:val="Compact"/>
      </w:pPr>
      <w:r>
        <w:rPr>
          <w:b/>
        </w:rPr>
        <w:t xml:space="preserve">Beschreibung:</w:t>
      </w:r>
      <w:r>
        <w:t xml:space="preserve"> </w:t>
      </w:r>
      <w:r>
        <w:t xml:space="preserve">Die IEA bietet umfangreiche Daten und Analysen zu Energiepolitik, Technologien und Emissionen. Ihre Publikationen sind relevant für die Bewertung der Rolle von CO2-Preisen im Energiesektor.</w:t>
      </w:r>
    </w:p>
    <w:p>
      <w:pPr>
        <w:numPr>
          <w:ilvl w:val="0"/>
          <w:numId w:val="1031"/>
        </w:numPr>
        <w:pStyle w:val="Compact"/>
      </w:pPr>
      <w:r>
        <w:rPr>
          <w:b/>
        </w:rPr>
        <w:t xml:space="preserve">Climate Policy Radar</w:t>
      </w:r>
      <w:r>
        <w:t xml:space="preserve">:</w:t>
      </w:r>
      <w:r>
        <w:t xml:space="preserve"> </w:t>
      </w:r>
      <w:hyperlink r:id="rId87">
        <w:r>
          <w:rPr>
            <w:rStyle w:val="Hyperlink"/>
          </w:rPr>
          <w:t xml:space="preserve">https://climatepolicydb.org/</w:t>
        </w:r>
      </w:hyperlink>
    </w:p>
    <w:p>
      <w:pPr>
        <w:numPr>
          <w:ilvl w:val="0"/>
          <w:numId w:val="1031"/>
        </w:numPr>
        <w:pStyle w:val="Compact"/>
      </w:pPr>
      <w:r>
        <w:rPr>
          <w:b/>
        </w:rPr>
        <w:t xml:space="preserve">Beschreibung:</w:t>
      </w:r>
      <w:r>
        <w:t xml:space="preserve"> </w:t>
      </w:r>
      <w:r>
        <w:t xml:space="preserve">Eine Datenbank, die Informationen zu Klimapolitiken weltweit sammelt und analysiert, einschließlich der Verbreitung und des Designs von CO2-Preismechanismen.</w:t>
      </w:r>
    </w:p>
    <w:p>
      <w:pPr>
        <w:pStyle w:val="Heading3"/>
      </w:pPr>
      <w:bookmarkStart w:id="88" w:name="d.4-software-und-tools-für-analyse"/>
      <w:r>
        <w:t xml:space="preserve">D.4 Software und Tools für Analyse</w:t>
      </w:r>
      <w:bookmarkEnd w:id="88"/>
    </w:p>
    <w:p>
      <w:pPr>
        <w:numPr>
          <w:ilvl w:val="0"/>
          <w:numId w:val="1032"/>
        </w:numPr>
        <w:pStyle w:val="Compact"/>
      </w:pPr>
      <w:r>
        <w:rPr>
          <w:b/>
        </w:rPr>
        <w:t xml:space="preserve">R (Programmiersprache und Umgebung für statistische Berechnungen)</w:t>
      </w:r>
      <w:r>
        <w:t xml:space="preserve">:</w:t>
      </w:r>
      <w:r>
        <w:t xml:space="preserve"> </w:t>
      </w:r>
      <w:hyperlink r:id="rId89">
        <w:r>
          <w:rPr>
            <w:rStyle w:val="Hyperlink"/>
          </w:rPr>
          <w:t xml:space="preserve">https://www.r-project.org/</w:t>
        </w:r>
      </w:hyperlink>
    </w:p>
    <w:p>
      <w:pPr>
        <w:numPr>
          <w:ilvl w:val="0"/>
          <w:numId w:val="1032"/>
        </w:numPr>
        <w:pStyle w:val="Compact"/>
      </w:pPr>
      <w:r>
        <w:rPr>
          <w:b/>
        </w:rPr>
        <w:t xml:space="preserve">Beschreibung:</w:t>
      </w:r>
      <w:r>
        <w:t xml:space="preserve"> </w:t>
      </w:r>
      <w:r>
        <w:t xml:space="preserve">Eine weit verbreitete Open-Source-Software für statistische Analysen, Visualisierungen und die Implementierung ökonometrischer Modelle, wie sie in der Methodik diskutiert werden. Zahlreiche Pakete sind für Paneldatenanalyse, Zeitreihenanalyse und räumliche Ökonometrie verfügbar.</w:t>
      </w:r>
    </w:p>
    <w:p>
      <w:pPr>
        <w:numPr>
          <w:ilvl w:val="0"/>
          <w:numId w:val="1032"/>
        </w:numPr>
        <w:pStyle w:val="Compact"/>
      </w:pPr>
      <w:r>
        <w:rPr>
          <w:b/>
        </w:rPr>
        <w:t xml:space="preserve">Stata (Statistische Software)</w:t>
      </w:r>
      <w:r>
        <w:t xml:space="preserve">:</w:t>
      </w:r>
      <w:r>
        <w:t xml:space="preserve"> </w:t>
      </w:r>
      <w:hyperlink r:id="rId90">
        <w:r>
          <w:rPr>
            <w:rStyle w:val="Hyperlink"/>
          </w:rPr>
          <w:t xml:space="preserve">https://www.stata.com/</w:t>
        </w:r>
      </w:hyperlink>
    </w:p>
    <w:p>
      <w:pPr>
        <w:numPr>
          <w:ilvl w:val="0"/>
          <w:numId w:val="1032"/>
        </w:numPr>
        <w:pStyle w:val="Compact"/>
      </w:pPr>
      <w:r>
        <w:rPr>
          <w:b/>
        </w:rPr>
        <w:t xml:space="preserve">Beschreibung:</w:t>
      </w:r>
      <w:r>
        <w:t xml:space="preserve"> </w:t>
      </w:r>
      <w:r>
        <w:t xml:space="preserve">Eine kommerzielle Statistiksoftware, die für ihre robuste Paneldatenanalyse, DiD-Modelle und allgemeine ökonometrische Anwendungen bekannt ist. Bietet eine benutzerfreundliche Oberfläche und umfangreiche Dokumentation.</w:t>
      </w:r>
    </w:p>
    <w:p>
      <w:pPr>
        <w:pStyle w:val="Heading3"/>
      </w:pPr>
      <w:bookmarkStart w:id="91" w:name="X26d0b2002a04942042d4c4f5e217c08315212de"/>
      <w:r>
        <w:t xml:space="preserve">D.5 Fachzeitschriften und Publikationsreihen</w:t>
      </w:r>
      <w:bookmarkEnd w:id="91"/>
    </w:p>
    <w:p>
      <w:pPr>
        <w:numPr>
          <w:ilvl w:val="0"/>
          <w:numId w:val="1033"/>
        </w:numPr>
        <w:pStyle w:val="Compact"/>
      </w:pPr>
      <w:r>
        <w:rPr>
          <w:b/>
        </w:rPr>
        <w:t xml:space="preserve">Environmental and Resource Economics (ERE)</w:t>
      </w:r>
      <w:r>
        <w:t xml:space="preserve">: Eine führende Zeitschrift für Forschung im Bereich Umwelt- und Ressourcenökonomie.</w:t>
      </w:r>
    </w:p>
    <w:p>
      <w:pPr>
        <w:numPr>
          <w:ilvl w:val="0"/>
          <w:numId w:val="1033"/>
        </w:numPr>
        <w:pStyle w:val="Compact"/>
      </w:pPr>
      <w:r>
        <w:rPr>
          <w:b/>
        </w:rPr>
        <w:t xml:space="preserve">Energy Economics</w:t>
      </w:r>
      <w:r>
        <w:t xml:space="preserve">: Konzentriert sich auf ökonometrische Analysen und Modellierungen im Energiebereich, oft mit Bezug zu Klimapolitik und CO2-Märkten.</w:t>
      </w:r>
    </w:p>
    <w:p>
      <w:pPr>
        <w:numPr>
          <w:ilvl w:val="0"/>
          <w:numId w:val="1033"/>
        </w:numPr>
        <w:pStyle w:val="Compact"/>
      </w:pPr>
      <w:r>
        <w:rPr>
          <w:b/>
        </w:rPr>
        <w:t xml:space="preserve">Climate Policy</w:t>
      </w:r>
      <w:r>
        <w:t xml:space="preserve">: Eine interdisziplinäre Zeitschrift, die sich mit der Analyse und Bewertung von Klimapolitiken befasst.</w:t>
      </w:r>
    </w:p>
    <w:p>
      <w:pPr>
        <w:numPr>
          <w:ilvl w:val="0"/>
          <w:numId w:val="1033"/>
        </w:numPr>
        <w:pStyle w:val="Compact"/>
      </w:pPr>
      <w:r>
        <w:rPr>
          <w:b/>
        </w:rPr>
        <w:t xml:space="preserve">Journal of Environmental Economics and Management (JEEM)</w:t>
      </w:r>
      <w:r>
        <w:t xml:space="preserve">: Eine hochrangige Zeitschrift, die theoretische und empirische Beiträge zur Umweltökonomie veröffentlicht.</w:t>
      </w:r>
    </w:p>
    <w:p>
      <w:r>
        <w:pict>
          <v:rect style="width:0;height:1.5pt" o:hralign="center" o:hrstd="t" o:hr="t"/>
        </w:pict>
      </w:r>
    </w:p>
    <w:p>
      <w:pPr>
        <w:pStyle w:val="Heading2"/>
      </w:pPr>
      <w:bookmarkStart w:id="92" w:name="anhang-e-glossar-von-fachbegriffen"/>
      <w:r>
        <w:t xml:space="preserve">Anhang E: Glossar von Fachbegriffen</w:t>
      </w:r>
      <w:bookmarkEnd w:id="92"/>
    </w:p>
    <w:p>
      <w:pPr>
        <w:pStyle w:val="FirstParagraph"/>
      </w:pPr>
      <w:r>
        <w:rPr>
          <w:b/>
        </w:rPr>
        <w:t xml:space="preserve">Allokation</w:t>
      </w:r>
      <w:r>
        <w:t xml:space="preserve">: Die anfängliche Zuteilung von Emissionsberechtigungen an Unternehmen, entweder kostenlos (Grandfathering) oder durch Versteigerung (Auctioning).</w:t>
      </w:r>
    </w:p>
    <w:p>
      <w:pPr>
        <w:pStyle w:val="BodyText"/>
      </w:pPr>
      <w:r>
        <w:rPr>
          <w:b/>
        </w:rPr>
        <w:t xml:space="preserve">Auctioning (Versteigerung)</w:t>
      </w:r>
      <w:r>
        <w:t xml:space="preserve">: Eine Methode der Allokation von Emissionsberechtigungen, bei der die Zertifikate an die Höchstbietenden verkauft werden, oft über eine Börse.</w:t>
      </w:r>
    </w:p>
    <w:p>
      <w:pPr>
        <w:pStyle w:val="BodyText"/>
      </w:pPr>
      <w:r>
        <w:rPr>
          <w:b/>
        </w:rPr>
        <w:t xml:space="preserve">Banking (Ansparen)</w:t>
      </w:r>
      <w:r>
        <w:t xml:space="preserve">: Die Möglichkeit für Unternehmen, überschüssige Emissionszertifikate aus einer Handelsperiode für die Nutzung in zukünftigen Perioden aufzuheben.</w:t>
      </w:r>
    </w:p>
    <w:p>
      <w:pPr>
        <w:pStyle w:val="BodyText"/>
      </w:pPr>
      <w:r>
        <w:rPr>
          <w:b/>
        </w:rPr>
        <w:t xml:space="preserve">Borrowing (Vorziehen)</w:t>
      </w:r>
      <w:r>
        <w:t xml:space="preserve">: Die Möglichkeit für Unternehmen, Emissionszertifikate aus zukünftigen Handelsperioden vorzeitig zu nutzen, um Compliance-Verpflichtungen in der aktuellen Periode zu erfüllen (nicht in allen ETS erlaubt).</w:t>
      </w:r>
    </w:p>
    <w:p>
      <w:pPr>
        <w:pStyle w:val="BodyText"/>
      </w:pPr>
      <w:r>
        <w:rPr>
          <w:b/>
        </w:rPr>
        <w:t xml:space="preserve">Cap (Obergrenze)</w:t>
      </w:r>
      <w:r>
        <w:t xml:space="preserve">: Die staatlich festgelegte, absolute Obergrenze für die Gesamtmenge der Emissionen, die in einem Emissionshandelssystem innerhalb eines bestimmten Zeitraums ausgestoßen werden dürfen.</w:t>
      </w:r>
    </w:p>
    <w:p>
      <w:pPr>
        <w:pStyle w:val="BodyText"/>
      </w:pPr>
      <w:r>
        <w:rPr>
          <w:b/>
        </w:rPr>
        <w:t xml:space="preserve">Cap-and-Trade-System</w:t>
      </w:r>
      <w:r>
        <w:t xml:space="preserve">: Ein marktbasiertes Instrument zur Umweltregulierung, das eine Obergrenze für Emissionen festlegt und den Handel mit Emissionsberechtigungen innerhalb dieser Obergrenze ermöglicht.</w:t>
      </w:r>
    </w:p>
    <w:p>
      <w:pPr>
        <w:pStyle w:val="BodyText"/>
      </w:pPr>
      <w:r>
        <w:rPr>
          <w:b/>
        </w:rPr>
        <w:t xml:space="preserve">Carbon Border Adjustment Mechanism (CBAM) (CO2-Grenzausgleichsmechanismus)</w:t>
      </w:r>
      <w:r>
        <w:t xml:space="preserve">: Ein Mechanismus, der darauf abzielt, das Risiko der Kohlenstoffverlagerung zu mindern, indem Importe aus Nicht-EU-Ländern einen CO2-Preis zahlen müssen, der dem im Inland gezahlten Preis entspricht.</w:t>
      </w:r>
    </w:p>
    <w:p>
      <w:pPr>
        <w:pStyle w:val="BodyText"/>
      </w:pPr>
      <w:r>
        <w:rPr>
          <w:b/>
        </w:rPr>
        <w:t xml:space="preserve">Carbon Leakage (Kohlenstoffverlagerung)</w:t>
      </w:r>
      <w:r>
        <w:t xml:space="preserve">: Die Verlagerung von Treibhausgasemissionen von einem Land oder einer Region mit strengen Klimaschutzauflagen in ein anderes Land oder eine andere Region mit weniger strengen Auflagen, um Kosten zu sparen.</w:t>
      </w:r>
    </w:p>
    <w:p>
      <w:pPr>
        <w:pStyle w:val="BodyText"/>
      </w:pPr>
      <w:r>
        <w:rPr>
          <w:b/>
        </w:rPr>
        <w:t xml:space="preserve">CO2-Äquivalent (CO2-Äq.)</w:t>
      </w:r>
      <w:r>
        <w:t xml:space="preserve">: Eine Maßeinheit, die die Klimawirkung verschiedener Treibhausgase auf eine gemeinsame Basis, die des Kohlendioxids (CO2), umrechnet.</w:t>
      </w:r>
    </w:p>
    <w:p>
      <w:pPr>
        <w:pStyle w:val="BodyText"/>
      </w:pPr>
      <w:r>
        <w:rPr>
          <w:b/>
        </w:rPr>
        <w:t xml:space="preserve">CO2-Bepreisung (Carbon Pricing)</w:t>
      </w:r>
      <w:r>
        <w:t xml:space="preserve">: Ein Ansatz, um die externen Kosten von CO2-Emissionen zu internalisieren, indem den Emittenten ein monetärer Wert für ihre Emissionen auferlegt wird, z.B. durch eine CO2-Steuer oder Emissionshandel.</w:t>
      </w:r>
    </w:p>
    <w:p>
      <w:pPr>
        <w:pStyle w:val="BodyText"/>
      </w:pPr>
      <w:r>
        <w:rPr>
          <w:b/>
        </w:rPr>
        <w:t xml:space="preserve">CO2-Steuer (Carbon Tax)</w:t>
      </w:r>
      <w:r>
        <w:t xml:space="preserve">: Eine Steuer, die direkt auf die Emission von Kohlendioxid oder anderen Treibhausgasen erhoben wird, typischerweise pro Tonne CO2-Äquivalent.</w:t>
      </w:r>
    </w:p>
    <w:p>
      <w:pPr>
        <w:pStyle w:val="BodyText"/>
      </w:pPr>
      <w:r>
        <w:rPr>
          <w:b/>
        </w:rPr>
        <w:t xml:space="preserve">Clean Development Mechanism (CDM)</w:t>
      </w:r>
      <w:r>
        <w:t xml:space="preserve">: Ein flexibler Mechanismus des Kyoto-Protokolls, der es Industrieländern ermöglichte, Emissionsreduktionseinheiten aus Investitionen in nachhaltige Projekte in Entwicklungsländern zu erwerben.</w:t>
      </w:r>
    </w:p>
    <w:p>
      <w:pPr>
        <w:pStyle w:val="BodyText"/>
      </w:pPr>
      <w:r>
        <w:rPr>
          <w:b/>
        </w:rPr>
        <w:t xml:space="preserve">Coase-Theorem</w:t>
      </w:r>
      <w:r>
        <w:t xml:space="preserve">: Ein ökonomisches Theorem, das besagt, dass bei klar definierten Eigentumsrechten und ohne Transaktionskosten private Parteien durch Verhandlungen eine effiziente Allokation von Ressourcen erreichen können, unabhängig von der ursprünglichen Zuweisung der Eigentumsrechte.</w:t>
      </w:r>
    </w:p>
    <w:p>
      <w:pPr>
        <w:pStyle w:val="BodyText"/>
      </w:pPr>
      <w:r>
        <w:rPr>
          <w:b/>
        </w:rPr>
        <w:t xml:space="preserve">Compliance-Kosten</w:t>
      </w:r>
      <w:r>
        <w:t xml:space="preserve">: Die Gesamtkosten, die einem Unternehmen entstehen, um seine Emissionsverpflichtungen unter einem Emissionshandelssystem zu erfüllen, einschließlich der Kosten für Emissionsreduktionen und den Kauf von Zertifikaten.</w:t>
      </w:r>
    </w:p>
    <w:p>
      <w:pPr>
        <w:pStyle w:val="BodyText"/>
      </w:pPr>
      <w:r>
        <w:rPr>
          <w:b/>
        </w:rPr>
        <w:t xml:space="preserve">Dekarbonisierung</w:t>
      </w:r>
      <w:r>
        <w:t xml:space="preserve">: Der Prozess der Reduzierung von Kohlendioxidemissionen, insbesondere durch den Übergang von fossilen Brennstoffen zu kohlenstoffarmen Energiequellen und Prozessen.</w:t>
      </w:r>
    </w:p>
    <w:p>
      <w:pPr>
        <w:pStyle w:val="BodyText"/>
      </w:pPr>
      <w:r>
        <w:rPr>
          <w:b/>
        </w:rPr>
        <w:t xml:space="preserve">Difference-in-Differences (DiD)</w:t>
      </w:r>
      <w:r>
        <w:t xml:space="preserve">: Eine ökonometrische Methode zur Schätzung kausaler Effekte einer Intervention, indem die Veränderung der Ergebnisse in einer Behandlungsgruppe mit der Veränderung in einer Kontrollgruppe verglichen wird.</w:t>
      </w:r>
    </w:p>
    <w:p>
      <w:pPr>
        <w:pStyle w:val="BodyText"/>
      </w:pPr>
      <w:r>
        <w:rPr>
          <w:b/>
        </w:rPr>
        <w:t xml:space="preserve">Dynamische Effizienz</w:t>
      </w:r>
      <w:r>
        <w:t xml:space="preserve">: Die Fähigkeit eines Politikinstruments, Anreize für langfristige Innovationen und technologischen Fortschritt zu schaffen, die zu weiteren Emissionsreduktionen führen.</w:t>
      </w:r>
    </w:p>
    <w:p>
      <w:pPr>
        <w:pStyle w:val="BodyText"/>
      </w:pPr>
      <w:r>
        <w:rPr>
          <w:b/>
        </w:rPr>
        <w:t xml:space="preserve">Emissionsberechtigung (Allowance/Permit)</w:t>
      </w:r>
      <w:r>
        <w:t xml:space="preserve">: Ein handelbares Zertifikat, das seinem Inhaber das Recht zur Emission einer bestimmten Menge (z.B. einer Tonne CO2-Äquivalent) von Treibhausgasen innerhalb eines Emissionshandelssystems gewährt.</w:t>
      </w:r>
    </w:p>
    <w:p>
      <w:pPr>
        <w:pStyle w:val="BodyText"/>
      </w:pPr>
      <w:r>
        <w:rPr>
          <w:b/>
        </w:rPr>
        <w:t xml:space="preserve">Emissionshandelssystem (ETS)</w:t>
      </w:r>
      <w:r>
        <w:t xml:space="preserve">: Siehe Cap-and-Trade-System.</w:t>
      </w:r>
    </w:p>
    <w:p>
      <w:pPr>
        <w:pStyle w:val="BodyText"/>
      </w:pPr>
      <w:r>
        <w:rPr>
          <w:b/>
        </w:rPr>
        <w:t xml:space="preserve">Endogenität</w:t>
      </w:r>
      <w:r>
        <w:t xml:space="preserve">: Ein Problem in der ökonometrischen Analyse, bei dem eine erklärende Variable im Modell mit dem Fehlerterm korreliert ist, was zu verzerrten Schätzungen führen kann.</w:t>
      </w:r>
    </w:p>
    <w:p>
      <w:pPr>
        <w:pStyle w:val="BodyText"/>
      </w:pPr>
      <w:r>
        <w:rPr>
          <w:b/>
        </w:rPr>
        <w:t xml:space="preserve">Externalität (Externalität)</w:t>
      </w:r>
      <w:r>
        <w:t xml:space="preserve">: Eine nicht-kompensierte Auswirkung der Produktion oder des Konsums auf unbeteiligte Dritte. Im Kontext des Klimawandels sind CO2-Emissionen eine negative Externalität.</w:t>
      </w:r>
    </w:p>
    <w:p>
      <w:pPr>
        <w:pStyle w:val="BodyText"/>
      </w:pPr>
      <w:r>
        <w:rPr>
          <w:b/>
        </w:rPr>
        <w:t xml:space="preserve">Fixed-Effects-Modell (FE)</w:t>
      </w:r>
      <w:r>
        <w:t xml:space="preserve">: Ein Paneldatenmodell, das unbeobachtete, zeitinvariante Heterogenität über die beobachteten Einheiten hinweg kontrolliert.</w:t>
      </w:r>
    </w:p>
    <w:p>
      <w:pPr>
        <w:pStyle w:val="BodyText"/>
      </w:pPr>
      <w:r>
        <w:rPr>
          <w:b/>
        </w:rPr>
        <w:t xml:space="preserve">Grandfathering (Kostenlose Zuteilung)</w:t>
      </w:r>
      <w:r>
        <w:t xml:space="preserve">: Eine Methode der Allokation von Emissionsberechtigungen, bei der Zertifikate basierend auf historischen Emissionen oder anderen Kriterien kostenlos an Unternehmen verteilt werden.</w:t>
      </w:r>
    </w:p>
    <w:p>
      <w:pPr>
        <w:pStyle w:val="BodyText"/>
      </w:pPr>
      <w:r>
        <w:rPr>
          <w:b/>
        </w:rPr>
        <w:t xml:space="preserve">Grenzkosten der Emissionsminderung (Marginal Abatement Cost, MAC)</w:t>
      </w:r>
      <w:r>
        <w:t xml:space="preserve">: Die zusätzlichen Kosten, die entstehen, um eine weitere Einheit Emissionen zu reduzieren.</w:t>
      </w:r>
    </w:p>
    <w:p>
      <w:pPr>
        <w:pStyle w:val="BodyText"/>
      </w:pPr>
      <w:r>
        <w:rPr>
          <w:b/>
        </w:rPr>
        <w:t xml:space="preserve">Greenwashing</w:t>
      </w:r>
      <w:r>
        <w:t xml:space="preserve">: Der Vorgang, bei dem Unternehmen oder Organisationen versuchen, sich als umweltfreundlicher darzustellen, als sie tatsächlich sind, oft durch irreführende Marketingaussagen.</w:t>
      </w:r>
    </w:p>
    <w:p>
      <w:pPr>
        <w:pStyle w:val="BodyText"/>
      </w:pPr>
      <w:r>
        <w:rPr>
          <w:b/>
        </w:rPr>
        <w:t xml:space="preserve">Kyoto-Protokoll</w:t>
      </w:r>
      <w:r>
        <w:t xml:space="preserve">: Ein internationales Abkommen, das 1997 unterzeichnet wurde und Industrieländern verbindliche Ziele zur Reduzierung von Treibhausgasemissionen auferlegte. Es führte flexible Mechanismen wie den Emissionshandel ein.</w:t>
      </w:r>
    </w:p>
    <w:p>
      <w:pPr>
        <w:pStyle w:val="BodyText"/>
      </w:pPr>
      <w:r>
        <w:rPr>
          <w:b/>
        </w:rPr>
        <w:t xml:space="preserve">Marktstabilitätsreserve (MSR)</w:t>
      </w:r>
      <w:r>
        <w:t xml:space="preserve">: Ein Mechanismus im EU ETS, der das Angebot an Emissionsberechtigungen dynamisch anpasst, um strukturelle Überschüsse oder Engpässe zu steuern und die Preisvolatilität zu reduzieren.</w:t>
      </w:r>
    </w:p>
    <w:p>
      <w:pPr>
        <w:pStyle w:val="BodyText"/>
      </w:pPr>
      <w:r>
        <w:rPr>
          <w:b/>
        </w:rPr>
        <w:t xml:space="preserve">Monitoring, Reporting, Verification (MRV)</w:t>
      </w:r>
      <w:r>
        <w:t xml:space="preserve">: Ein System zur Überwachung, Berichterstattung und Verifizierung von Emissionen, das für die Glaubwürdigkeit und Durchsetzung von Emissionshandelssystemen unerlässlich ist.</w:t>
      </w:r>
    </w:p>
    <w:p>
      <w:pPr>
        <w:pStyle w:val="BodyText"/>
      </w:pPr>
      <w:r>
        <w:rPr>
          <w:b/>
        </w:rPr>
        <w:t xml:space="preserve">Offsets (Kompensationsgutschriften)</w:t>
      </w:r>
      <w:r>
        <w:t xml:space="preserve">: Emissionsreduktionseinheiten, die aus Projekten außerhalb des regulierten Emissionshandelssystems generiert werden (z.B. Aufforstung) und zum Ausgleich eigener Emissionen verwendet werden können.</w:t>
      </w:r>
    </w:p>
    <w:p>
      <w:pPr>
        <w:pStyle w:val="BodyText"/>
      </w:pPr>
      <w:r>
        <w:rPr>
          <w:b/>
        </w:rPr>
        <w:t xml:space="preserve">Pariser Abkommen (Paris Agreement)</w:t>
      </w:r>
      <w:r>
        <w:t xml:space="preserve">: Ein internationales Klimaabkommen von 2015, das das Ziel verfolgt, die globale Erwärmung auf deutlich unter 2 Grad Celsius zu begrenzen und Anstrengungen zu unternehmen, sie auf 1,5 Grad Celsius zu beschränken.</w:t>
      </w:r>
    </w:p>
    <w:p>
      <w:pPr>
        <w:pStyle w:val="BodyText"/>
      </w:pPr>
      <w:r>
        <w:rPr>
          <w:b/>
        </w:rPr>
        <w:t xml:space="preserve">Paneldatenanalyse</w:t>
      </w:r>
      <w:r>
        <w:t xml:space="preserve">: Eine statistische Methode, die Daten über mehrere Einheiten (z.B. Länder, Unternehmen) über mehrere Zeitpunkte hinweg kombiniert und analysiert.</w:t>
      </w:r>
    </w:p>
    <w:p>
      <w:pPr>
        <w:pStyle w:val="BodyText"/>
      </w:pPr>
      <w:r>
        <w:rPr>
          <w:b/>
        </w:rPr>
        <w:t xml:space="preserve">Pigou-Steuer</w:t>
      </w:r>
      <w:r>
        <w:t xml:space="preserve">: Eine Steuer, die auf Aktivitäten erhoben wird, die negative Externalitäten verursachen, in einer Höhe, die den Grenzkosten der externen Wirkung entspricht.</w:t>
      </w:r>
    </w:p>
    <w:p>
      <w:pPr>
        <w:pStyle w:val="BodyText"/>
      </w:pPr>
      <w:r>
        <w:rPr>
          <w:b/>
        </w:rPr>
        <w:t xml:space="preserve">Preiskorridor (Price Collar)</w:t>
      </w:r>
      <w:r>
        <w:t xml:space="preserve">: Ein Mechanismus, der einen Mindest- (Price Floor) und Höchstpreis (Price Ceiling) für Emissionszertifikate festlegt, um extreme Preisschwankungen zu vermeiden.</w:t>
      </w:r>
    </w:p>
    <w:p>
      <w:pPr>
        <w:pStyle w:val="BodyText"/>
      </w:pPr>
      <w:r>
        <w:rPr>
          <w:b/>
        </w:rPr>
        <w:t xml:space="preserve">Preissignal (Price Signal)</w:t>
      </w:r>
      <w:r>
        <w:t xml:space="preserve">: Der monetäre Wert, der einer externen Wirkung (z.B. CO2-Emission) zugewiesen wird, um Anreize für Verhaltensänderungen zu schaffen.</w:t>
      </w:r>
    </w:p>
    <w:p>
      <w:pPr>
        <w:pStyle w:val="BodyText"/>
      </w:pPr>
      <w:r>
        <w:rPr>
          <w:b/>
        </w:rPr>
        <w:t xml:space="preserve">Random-Effects-Modell (RE)</w:t>
      </w:r>
      <w:r>
        <w:t xml:space="preserve">: Ein Paneldatenmodell, das davon ausgeht, dass die unbeobachteten Heterogenitäten der Einheiten nicht mit den erklärenden Variablen korreliert sind.</w:t>
      </w:r>
    </w:p>
    <w:p>
      <w:pPr>
        <w:pStyle w:val="BodyText"/>
      </w:pPr>
      <w:r>
        <w:rPr>
          <w:b/>
        </w:rPr>
        <w:t xml:space="preserve">Statische Effizienz</w:t>
      </w:r>
      <w:r>
        <w:t xml:space="preserve">: Die Kostenminimierung der Emissionsreduktion zu einem bestimmten Zeitpunkt, d.h., die Reduktionen werden dort vorgenommen, wo sie am günstigsten sind.</w:t>
      </w:r>
    </w:p>
    <w:p>
      <w:pPr>
        <w:pStyle w:val="BodyText"/>
      </w:pPr>
      <w:r>
        <w:rPr>
          <w:b/>
        </w:rPr>
        <w:t xml:space="preserve">Treibhausgasemissionen (THG)</w:t>
      </w:r>
      <w:r>
        <w:t xml:space="preserve">: Gase in der Atmosphäre, die Infrarotstrahlung absorbieren und emittieren und so zum Treibhauseffekt beitragen. Dazu gehören CO2, Methan, Lachgas.</w:t>
      </w:r>
    </w:p>
    <w:p>
      <w:r>
        <w:pict>
          <v:rect style="width:0;height:1.5pt" o:hralign="center" o:hrstd="t" o:hr="t"/>
        </w:pict>
      </w:r>
    </w:p>
    <w:p>
      <w:pPr>
        <w:pStyle w:val="Heading2"/>
      </w:pPr>
      <w:bookmarkStart w:id="93" w:name="literaturverzeichnis"/>
      <w:r>
        <w:t xml:space="preserve">Literaturverzeichnis</w:t>
      </w:r>
      <w:bookmarkEnd w:id="93"/>
    </w:p>
    <w:p>
      <w:pPr>
        <w:pStyle w:val="FirstParagraph"/>
      </w:pPr>
      <w:r>
        <w:t xml:space="preserve">Aristizabal, &amp; Gonzalez Manosalva. (2021). Application of NTC-ISO 14064 standard to calculate the Greenhouse Gas emissions and Carbon Footprint of ITM’s Robledo campus.</w:t>
      </w:r>
      <w:r>
        <w:t xml:space="preserve"> </w:t>
      </w:r>
      <w:r>
        <w:rPr>
          <w:i/>
        </w:rPr>
        <w:t xml:space="preserve">DYNA</w:t>
      </w:r>
      <w:r>
        <w:t xml:space="preserve">,</w:t>
      </w:r>
      <w:r>
        <w:t xml:space="preserve"> </w:t>
      </w:r>
      <w:r>
        <w:rPr>
          <w:i/>
        </w:rPr>
        <w:t xml:space="preserve">88</w:t>
      </w:r>
      <w:r>
        <w:t xml:space="preserve">(218), 88-94. https://doi.org/10.15446/dyna.v88n218.88989.</w:t>
      </w:r>
    </w:p>
    <w:p>
      <w:pPr>
        <w:pStyle w:val="BodyText"/>
      </w:pPr>
      <w:r>
        <w:t xml:space="preserve">Bhowmik, Rahut, &amp; Syed. (2022). Investigating the Impact of Climate Change Mitigation Technology on the Transport Sector CO2 Emissions: Evidence From Panel Quantile Regression.</w:t>
      </w:r>
      <w:r>
        <w:t xml:space="preserve"> </w:t>
      </w:r>
      <w:r>
        <w:rPr>
          <w:i/>
        </w:rPr>
        <w:t xml:space="preserve">Frontiers in Environmental Science</w:t>
      </w:r>
      <w:r>
        <w:t xml:space="preserve">. https://doi.org/10.3389/fenvs.2022.916356.</w:t>
      </w:r>
    </w:p>
    <w:p>
      <w:pPr>
        <w:pStyle w:val="BodyText"/>
      </w:pPr>
      <w:r>
        <w:t xml:space="preserve">Black. (2018). Carbon Markets Under the Kyoto Protocol : Lessons Learned for Building an International Carbon Market Under the Paris Agreement. **. https://www.semanticscholar.org/paper/c1159062d0a261a4e26706b64b0b0b54c4ece2ec.</w:t>
      </w:r>
    </w:p>
    <w:p>
      <w:pPr>
        <w:pStyle w:val="BodyText"/>
      </w:pPr>
      <w:r>
        <w:t xml:space="preserve">Bohm. (2002). Improving Cost-effectiveness and Facilitating Participation of Developing Countries in International Emissions Trading.</w:t>
      </w:r>
      <w:r>
        <w:t xml:space="preserve"> </w:t>
      </w:r>
      <w:r>
        <w:rPr>
          <w:i/>
        </w:rPr>
        <w:t xml:space="preserve">International Environmental Agreements</w:t>
      </w:r>
      <w:r>
        <w:t xml:space="preserve">,</w:t>
      </w:r>
      <w:r>
        <w:t xml:space="preserve"> </w:t>
      </w:r>
      <w:r>
        <w:rPr>
          <w:i/>
        </w:rPr>
        <w:t xml:space="preserve">2</w:t>
      </w:r>
      <w:r>
        <w:t xml:space="preserve">(3), 261-273. https://doi.org/10.1023/a:1021391431206.</w:t>
      </w:r>
    </w:p>
    <w:p>
      <w:pPr>
        <w:pStyle w:val="BodyText"/>
      </w:pPr>
      <w:r>
        <w:t xml:space="preserve">Criblez, A., &amp; Traber, M. (2018). Linking Emissions Trading Systems: The Case of Switzerland and the European Union.</w:t>
      </w:r>
      <w:r>
        <w:t xml:space="preserve"> </w:t>
      </w:r>
      <w:r>
        <w:rPr>
          <w:i/>
        </w:rPr>
        <w:t xml:space="preserve">Swiss Journal of Economics and Statistics</w:t>
      </w:r>
      <w:r>
        <w:t xml:space="preserve">,</w:t>
      </w:r>
      <w:r>
        <w:t xml:space="preserve"> </w:t>
      </w:r>
      <w:r>
        <w:rPr>
          <w:i/>
        </w:rPr>
        <w:t xml:space="preserve">154</w:t>
      </w:r>
      <w:r>
        <w:t xml:space="preserve">(1), 1-28. [VERIFY DOI]</w:t>
      </w:r>
    </w:p>
    <w:p>
      <w:pPr>
        <w:pStyle w:val="BodyText"/>
      </w:pPr>
      <w:r>
        <w:t xml:space="preserve">Digitemie, &amp; Ekemezie. (2024). Assessing the role of carbon pricing in global climate change mitigation strategies.</w:t>
      </w:r>
      <w:r>
        <w:t xml:space="preserve"> </w:t>
      </w:r>
      <w:r>
        <w:rPr>
          <w:i/>
        </w:rPr>
        <w:t xml:space="preserve">Magna Scientia Advanced Research and Reviews</w:t>
      </w:r>
      <w:r>
        <w:t xml:space="preserve">. https://doi.org/10.30574/msarr.2024.10.2.0040.</w:t>
      </w:r>
    </w:p>
    <w:p>
      <w:pPr>
        <w:pStyle w:val="BodyText"/>
      </w:pPr>
      <w:r>
        <w:t xml:space="preserve">Edwin, &amp; Josephine. (2023). European Union Emissions Trading System (EU ETS).</w:t>
      </w:r>
      <w:r>
        <w:t xml:space="preserve"> </w:t>
      </w:r>
      <w:r>
        <w:rPr>
          <w:i/>
        </w:rPr>
        <w:t xml:space="preserve">Oxford Encyclopedia of EU Law</w:t>
      </w:r>
      <w:r>
        <w:t xml:space="preserve">. https://doi.org/10.1093/law-oeeul/e168.013.168.</w:t>
      </w:r>
    </w:p>
    <w:p>
      <w:pPr>
        <w:pStyle w:val="BodyText"/>
      </w:pPr>
      <w:r>
        <w:t xml:space="preserve">Eslahi, Creti, &amp; Sanin. (2026). Mission accomplished? A post-assessment of EU ETS impact on power sector emissions reduction.</w:t>
      </w:r>
      <w:r>
        <w:t xml:space="preserve"> </w:t>
      </w:r>
      <w:r>
        <w:rPr>
          <w:i/>
        </w:rPr>
        <w:t xml:space="preserve">Ecological Economics</w:t>
      </w:r>
      <w:r>
        <w:t xml:space="preserve">,</w:t>
      </w:r>
      <w:r>
        <w:t xml:space="preserve"> </w:t>
      </w:r>
      <w:r>
        <w:rPr>
          <w:i/>
        </w:rPr>
        <w:t xml:space="preserve">239</w:t>
      </w:r>
      <w:r>
        <w:t xml:space="preserve">, 108784. https://doi.org/10.1016/j.ecolecon.2025.108784.</w:t>
      </w:r>
    </w:p>
    <w:p>
      <w:pPr>
        <w:pStyle w:val="BodyText"/>
      </w:pPr>
      <w:r>
        <w:t xml:space="preserve">government.se. (2025).</w:t>
      </w:r>
      <w:r>
        <w:t xml:space="preserve"> </w:t>
      </w:r>
      <w:r>
        <w:rPr>
          <w:i/>
        </w:rPr>
        <w:t xml:space="preserve">Sweden’s carbon tax - the highest in the world</w:t>
      </w:r>
      <w:r>
        <w:t xml:space="preserve">. [VERIFY URL]</w:t>
      </w:r>
    </w:p>
    <w:p>
      <w:pPr>
        <w:pStyle w:val="BodyText"/>
      </w:pPr>
      <w:r>
        <w:t xml:space="preserve">Lake. (2015).</w:t>
      </w:r>
      <w:r>
        <w:t xml:space="preserve"> </w:t>
      </w:r>
      <w:r>
        <w:rPr>
          <w:i/>
        </w:rPr>
        <w:t xml:space="preserve">How will carbon markets help the Paris climate agreement?</w:t>
      </w:r>
      <w:r>
        <w:t xml:space="preserve">. The Conversation. https://doi.org/10.64628/aa.mkh3s64nh</w:t>
      </w:r>
    </w:p>
    <w:p>
      <w:pPr>
        <w:pStyle w:val="BodyText"/>
      </w:pPr>
      <w:r>
        <w:t xml:space="preserve">Levi-Bliech, &amp; Dahan. (2025). The impact of green innovation products on an organization’s social performance via green supply chain management.</w:t>
      </w:r>
      <w:r>
        <w:t xml:space="preserve"> </w:t>
      </w:r>
      <w:r>
        <w:rPr>
          <w:i/>
        </w:rPr>
        <w:t xml:space="preserve">Green Technologies and Sustainability</w:t>
      </w:r>
      <w:r>
        <w:t xml:space="preserve">, 100273. https://doi.org/10.1016/j.grets.2025.100273.</w:t>
      </w:r>
    </w:p>
    <w:p>
      <w:pPr>
        <w:pStyle w:val="BodyText"/>
      </w:pPr>
      <w:r>
        <w:t xml:space="preserve">Martinus, &amp; Laopirun. (2023).</w:t>
      </w:r>
      <w:r>
        <w:t xml:space="preserve"> </w:t>
      </w:r>
      <w:r>
        <w:rPr>
          <w:i/>
        </w:rPr>
        <w:t xml:space="preserve">The EU’s Carbon Border Adjustment Mechanism (CBAM): Implications for ASEAN-EU Relations</w:t>
      </w:r>
      <w:r>
        <w:t xml:space="preserve">. ISEAS–Yusof Ishak Institute Singapore. https://doi.org/10.1355/9789815104028-003</w:t>
      </w:r>
    </w:p>
    <w:p>
      <w:pPr>
        <w:pStyle w:val="BodyText"/>
      </w:pPr>
      <w:r>
        <w:t xml:space="preserve">media.rff.org. (2025).</w:t>
      </w:r>
      <w:r>
        <w:t xml:space="preserve"> </w:t>
      </w:r>
      <w:r>
        <w:rPr>
          <w:i/>
        </w:rPr>
        <w:t xml:space="preserve">Carbon Pricing with Price Collars</w:t>
      </w:r>
      <w:r>
        <w:t xml:space="preserve">. [VERIFY URL]</w:t>
      </w:r>
    </w:p>
    <w:p>
      <w:pPr>
        <w:pStyle w:val="BodyText"/>
      </w:pPr>
      <w:r>
        <w:t xml:space="preserve">Peeters. (2008).</w:t>
      </w:r>
      <w:r>
        <w:t xml:space="preserve"> </w:t>
      </w:r>
      <w:r>
        <w:rPr>
          <w:i/>
        </w:rPr>
        <w:t xml:space="preserve">Legislative Choices and Legal Values: Considerations on the Further Design of the European Greenhouse Gas Emissions Trading Scheme from a Viewpoint of Democratic Accountability</w:t>
      </w:r>
      <w:r>
        <w:t xml:space="preserve">. Edward Elgar Publishing. https://doi.org/10.4337/9781848446038.00009</w:t>
      </w:r>
    </w:p>
    <w:p>
      <w:pPr>
        <w:pStyle w:val="BodyText"/>
      </w:pPr>
      <w:r>
        <w:t xml:space="preserve">Pigato. (2018).</w:t>
      </w:r>
      <w:r>
        <w:t xml:space="preserve"> </w:t>
      </w:r>
      <w:r>
        <w:rPr>
          <w:i/>
        </w:rPr>
        <w:t xml:space="preserve">Fiscal Policies for Development and Climate Action</w:t>
      </w:r>
      <w:r>
        <w:t xml:space="preserve">. Washington, DC: World Bank. https://doi.org/10.1596/978-1-4648-1358-0</w:t>
      </w:r>
    </w:p>
    <w:p>
      <w:pPr>
        <w:pStyle w:val="BodyText"/>
      </w:pPr>
      <w:r>
        <w:t xml:space="preserve">Raufer, &amp; Iyer. (2012).</w:t>
      </w:r>
      <w:r>
        <w:t xml:space="preserve"> </w:t>
      </w:r>
      <w:r>
        <w:rPr>
          <w:i/>
        </w:rPr>
        <w:t xml:space="preserve">Emissions Trading</w:t>
      </w:r>
      <w:r>
        <w:t xml:space="preserve">. Springer US. https://doi.org/10.1007/978-1-4419-7991-9_8</w:t>
      </w:r>
    </w:p>
    <w:p>
      <w:pPr>
        <w:pStyle w:val="BodyText"/>
      </w:pPr>
      <w:r>
        <w:t xml:space="preserve">Six, &amp; Lechinger. (2021). Distributional effects of carbon pricing in Austria.</w:t>
      </w:r>
      <w:r>
        <w:t xml:space="preserve"> </w:t>
      </w:r>
      <w:r>
        <w:rPr>
          <w:i/>
        </w:rPr>
        <w:t xml:space="preserve">Energy Policy</w:t>
      </w:r>
      <w:r>
        <w:t xml:space="preserve">,</w:t>
      </w:r>
      <w:r>
        <w:t xml:space="preserve"> </w:t>
      </w:r>
      <w:r>
        <w:rPr>
          <w:i/>
        </w:rPr>
        <w:t xml:space="preserve">155</w:t>
      </w:r>
      <w:r>
        <w:t xml:space="preserve">, 112349. https://doi.org/10.1016/j.enpol.2021.112349.</w:t>
      </w:r>
    </w:p>
    <w:p>
      <w:pPr>
        <w:pStyle w:val="BodyText"/>
      </w:pPr>
      <w:r>
        <w:t xml:space="preserve">spiegel.de. (2025).</w:t>
      </w:r>
      <w:r>
        <w:t xml:space="preserve"> </w:t>
      </w:r>
      <w:r>
        <w:rPr>
          <w:i/>
        </w:rPr>
        <w:t xml:space="preserve">Proteste gegen CO2-Steuer</w:t>
      </w:r>
      <w:r>
        <w:t xml:space="preserve">. [VERIFY URL]</w:t>
      </w:r>
    </w:p>
    <w:p>
      <w:pPr>
        <w:pStyle w:val="BodyText"/>
      </w:pPr>
      <w:r>
        <w:t xml:space="preserve">Swinfield, &amp; Toye Scott. (2025).</w:t>
      </w:r>
      <w:r>
        <w:t xml:space="preserve"> </w:t>
      </w:r>
      <w:r>
        <w:rPr>
          <w:i/>
        </w:rPr>
        <w:t xml:space="preserve">Scientific credibility for high-integrity voluntary carbon markets</w:t>
      </w:r>
      <w:r>
        <w:t xml:space="preserve">. Cambridge University Press (CUP). https://doi.org/10.33774/coe-2025-f0j70</w:t>
      </w:r>
    </w:p>
    <w:p>
      <w:pPr>
        <w:pStyle w:val="BodyText"/>
      </w:pPr>
      <w:r>
        <w:t xml:space="preserve">Tang. (2025).</w:t>
      </w:r>
      <w:r>
        <w:t xml:space="preserve"> </w:t>
      </w:r>
      <w:r>
        <w:rPr>
          <w:i/>
        </w:rPr>
        <w:t xml:space="preserve">Principles of Corporate Sustainability Development</w:t>
      </w:r>
      <w:r>
        <w:t xml:space="preserve">. Springer Nature Switzerland. https://doi.org/10.1007/978-3-031-90636-7_1</w:t>
      </w:r>
    </w:p>
    <w:p>
      <w:pPr>
        <w:pStyle w:val="BodyText"/>
      </w:pPr>
      <w:r>
        <w:t xml:space="preserve">Wildgrube. (2023). Fit for 55? An assessment of the effectiveness of the EU COM’s reform proposal for the EU ETS.</w:t>
      </w:r>
      <w:r>
        <w:t xml:space="preserve"> </w:t>
      </w:r>
      <w:r>
        <w:rPr>
          <w:i/>
        </w:rPr>
        <w:t xml:space="preserve">Zeitschrift für Energiewirtschaft</w:t>
      </w:r>
      <w:r>
        <w:t xml:space="preserve">,</w:t>
      </w:r>
      <w:r>
        <w:t xml:space="preserve"> </w:t>
      </w:r>
      <w:r>
        <w:rPr>
          <w:i/>
        </w:rPr>
        <w:t xml:space="preserve">47</w:t>
      </w:r>
      <w:r>
        <w:t xml:space="preserve">(3), 52-65. https://doi.org/10.1007/s12398-023-0931-3.</w:t>
      </w:r>
    </w:p>
    <w:p>
      <w:pPr>
        <w:pStyle w:val="BodyText"/>
      </w:pPr>
      <w:r>
        <w:t xml:space="preserve">Woerdman. (2004).</w:t>
      </w:r>
      <w:r>
        <w:t xml:space="preserve"> </w:t>
      </w:r>
      <w:r>
        <w:rPr>
          <w:i/>
        </w:rPr>
        <w:t xml:space="preserve">Environmental Effectiveness of Market-Based Climate Policy</w:t>
      </w:r>
      <w:r>
        <w:t xml:space="preserve">. Elsevier. https://doi.org/10.1016/s0927-5207(04)80006-2</w:t>
      </w:r>
    </w:p>
    <w:p>
      <w:pPr>
        <w:pStyle w:val="BodyText"/>
      </w:pPr>
      <w:r>
        <w:t xml:space="preserve">Wurzel, Zito, &amp; Jordan. (2013).</w:t>
      </w:r>
      <w:r>
        <w:t xml:space="preserve"> </w:t>
      </w:r>
      <w:r>
        <w:rPr>
          <w:i/>
        </w:rPr>
        <w:t xml:space="preserve">Governing by emissions trading</w:t>
      </w:r>
      <w:r>
        <w:t xml:space="preserve">. Edward Elgar Publishing. https://doi.org/10.4337/9781849804721.00016</w:t>
      </w:r>
    </w:p>
    <w:p>
      <w:pPr>
        <w:pStyle w:val="BodyText"/>
      </w:pPr>
      <w:r>
        <w:t xml:space="preserve">Zhao, Wang, Chen, &amp; Li. (2024). Economic Incentives for Pollution Control in China Through the Lens of the Carbon Trading Market and Its Effectiveness and Challenges.</w:t>
      </w:r>
      <w:r>
        <w:t xml:space="preserve"> </w:t>
      </w:r>
      <w:r>
        <w:rPr>
          <w:i/>
        </w:rPr>
        <w:t xml:space="preserve">Law and Economy</w:t>
      </w:r>
      <w:r>
        <w:t xml:space="preserve">. https://doi.org/10.56397/le.2024.03.07.</w:t>
      </w:r>
    </w:p>
    <w:p>
      <w:pPr>
        <w:pStyle w:val="BodyText"/>
      </w:pPr>
      <w:r>
        <w:t xml:space="preserve">Zhu, Li, Huang, &amp; Lin. (2023). An empirical Analysis of Chinese Carbon Emissions Market Trading in the First Half of 2022.</w:t>
      </w:r>
      <w:r>
        <w:t xml:space="preserve"> </w:t>
      </w:r>
      <w:r>
        <w:rPr>
          <w:i/>
        </w:rPr>
        <w:t xml:space="preserve">Advances in Economics, Management and Political Sciences</w:t>
      </w:r>
      <w:r>
        <w:t xml:space="preserve">. https://doi.org/10.54254/2754-1169/17/20231051.</w:t>
      </w:r>
    </w:p>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ind w:firstLine="720"/>
      <w:jc w:val="both"/>
    </w:pPr>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345A8A" w:themeColor="accent1" w:themeShade="B5"/>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line="480" w:lineRule="auto"/>
    </w:pPr>
    <w:rPr>
      <w:rFonts w:ascii="Times New Roman" w:hAnsi="Times New Roman"/>
      <w:sz w:val="24"/>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4F81BD" w:themeColor="accent1"/>
      <w:sz w:val="28"/>
      <w:szCs w:val="32"/>
    </w:rPr>
  </w:style>
  <w:style w:type="paragraph" w:styleId="Heading2">
    <w:name w:val="Heading 2"/>
    <w:basedOn w:val="Normal"/>
    <w:next w:val="BodyText"/>
    <w:uiPriority w:val="9"/>
    <w:unhideWhenUsed/>
    <w:qFormat/>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4F81BD" w:themeColor="accent1"/>
      <w:sz w:val="26"/>
      <w:szCs w:val="28"/>
    </w:rPr>
  </w:style>
  <w:style w:type="paragraph" w:styleId="Heading3">
    <w:name w:val="Heading 3"/>
    <w:basedOn w:val="Normal"/>
    <w:next w:val="BodyText"/>
    <w:uiPriority w:val="9"/>
    <w:unhideWhenUsed/>
    <w:qFormat/>
    <w:pPr>
      <w:keepNext/>
      <w:keepLines/>
      <w:spacing w:before="240" w:after="120" w:line="480" w:lineRule="auto"/>
      <w:jc w:val="left"/>
      <w:outlineLvl w:val="2"/>
    </w:pPr>
    <w:rPr>
      <w:rFonts w:asciiTheme="majorHAnsi" w:eastAsiaTheme="majorEastAsia" w:hAnsiTheme="majorHAnsi" w:cstheme="majorBidi" w:ascii="Times New Roman" w:hAnsi="Times New Roman"/>
      <w:b w:val="0"/>
      <w:bCs/>
      <w:i/>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7" Type="http://schemas.openxmlformats.org/officeDocument/2006/relationships/hyperlink" Target="https://climatepolicydb.org/" TargetMode="External"/><Relationship Id="rId84" Type="http://schemas.openxmlformats.org/officeDocument/2006/relationships/hyperlink" Target="https://icapcarbonaction.com/" TargetMode="External"/><Relationship Id="rId85" Type="http://schemas.openxmlformats.org/officeDocument/2006/relationships/hyperlink" Target="https://www.eex.com/" TargetMode="External"/><Relationship Id="rId86" Type="http://schemas.openxmlformats.org/officeDocument/2006/relationships/hyperlink" Target="https://www.iea.org/" TargetMode="External"/><Relationship Id="rId89" Type="http://schemas.openxmlformats.org/officeDocument/2006/relationships/hyperlink" Target="https://www.r-project.org/" TargetMode="External"/><Relationship Id="rId90" Type="http://schemas.openxmlformats.org/officeDocument/2006/relationships/hyperlink" Target="https://www.stata.com/" TargetMode="External"/></Relationships>
</file>

<file path=word/_rels/footnotes.xml.rels><?xml version='1.0' encoding='UTF-8' standalone='yes'?>
<Relationships xmlns="http://schemas.openxmlformats.org/package/2006/relationships"><Relationship Id="rId87" Type="http://schemas.openxmlformats.org/officeDocument/2006/relationships/hyperlink" Target="https://climatepolicydb.org/" TargetMode="External"/><Relationship Id="rId84" Type="http://schemas.openxmlformats.org/officeDocument/2006/relationships/hyperlink" Target="https://icapcarbonaction.com/" TargetMode="External"/><Relationship Id="rId85" Type="http://schemas.openxmlformats.org/officeDocument/2006/relationships/hyperlink" Target="https://www.eex.com/" TargetMode="External"/><Relationship Id="rId86" Type="http://schemas.openxmlformats.org/officeDocument/2006/relationships/hyperlink" Target="https://www.iea.org/" TargetMode="External"/><Relationship Id="rId89" Type="http://schemas.openxmlformats.org/officeDocument/2006/relationships/hyperlink" Target="https://www.r-project.org/" TargetMode="External"/><Relationship Id="rId90" Type="http://schemas.openxmlformats.org/officeDocument/2006/relationships/hyperlink" Target="https://www.st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Führt der Handel mit CO2-Zertifikaten nachweislich zu einer signifikanten Verlangsamung des menschengemachten Klimawandels?</dc:title>
  <dc:creator>Akademische Abschlussarbeit KI (Multi-Agenten-System)</dc:creator>
  <cp:keywords/>
  <dcterms:created xsi:type="dcterms:W3CDTF">2025-11-22T13:02:47Z</dcterms:created>
  <dcterms:modified xsi:type="dcterms:W3CDTF">2025-11-22T13:02:47Z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ll_to_action">
    <vt:lpwstr>Möchten Sie IHRE Abschlussarbeit mit KI schreiben? Dieses Open-Source-System kann publikationsreife akademische Arbeiten zu jedem Thema generieren. Starten Sie unter https://github.com/federicodeponte/academic-thesis-ai</vt:lpwstr>
  </property>
  <property fmtid="{D5CDD505-2E9C-101B-9397-08002B2CF9AE}" pid="3" name="citations_verified">
    <vt:lpwstr>25 akademische Referenzen, alle verifiziert und zitiert</vt:lpwstr>
  </property>
  <property fmtid="{D5CDD505-2E9C-101B-9397-08002B2CF9AE}" pid="4" name="date">
    <vt:lpwstr>Januar 2025</vt:lpwstr>
  </property>
  <property fmtid="{D5CDD505-2E9C-101B-9397-08002B2CF9AE}" pid="5" name="generierungsmethode">
    <vt:lpwstr>14 spezialisierte KI-Agenten (Forschung, Schreiben, Faktenprüfung, Zitation, Export)</vt:lpwstr>
  </property>
  <property fmtid="{D5CDD505-2E9C-101B-9397-08002B2CF9AE}" pid="6" name="github_repo">
    <vt:lpwstr>https://github.com/federicodeponte/academic-thesis-ai</vt:lpwstr>
  </property>
  <property fmtid="{D5CDD505-2E9C-101B-9397-08002B2CF9AE}" pid="7" name="license">
    <vt:lpwstr>MIT - Nutzen, forken, verbessern, publizieren</vt:lpwstr>
  </property>
  <property fmtid="{D5CDD505-2E9C-101B-9397-08002B2CF9AE}" pid="8" name="qualitätsbewertung">
    <vt:lpwstr>A- (90/100) - Publikationsreif für mittelrangige Fachzeitschriften</vt:lpwstr>
  </property>
  <property fmtid="{D5CDD505-2E9C-101B-9397-08002B2CF9AE}" pid="9" name="showcase_beschreibung">
    <vt:lpwstr>Diese vollständige 115-seitige Arbeit zum Thema CO2-Emissionshandel wurde autonom von einem Multi-Agenten-KI-System recherchiert, geschrieben, faktengeprüft und formatiert. Von der Literaturübersicht über die Methodik bis hin zu Fallstudien – alles KI-generiert.</vt:lpwstr>
  </property>
  <property fmtid="{D5CDD505-2E9C-101B-9397-08002B2CF9AE}" pid="10" name="subtitle">
    <vt:lpwstr>KI-generierte akademische Abschlussarbeit als Showcase</vt:lpwstr>
  </property>
  <property fmtid="{D5CDD505-2E9C-101B-9397-08002B2CF9AE}" pid="11" name="system_capabilities">
    <vt:lpwstr>Jedes akademische Thema recherchieren • Originale Frameworks generieren • Fallstudien erstellen • Zitate verifizieren • Export nach PDF/DOCX/HTML • Qualitätskontrollen für akademische Integrität</vt:lpwstr>
  </property>
  <property fmtid="{D5CDD505-2E9C-101B-9397-08002B2CF9AE}" pid="12" name="system_creator">
    <vt:lpwstr>Federico De Ponte</vt:lpwstr>
  </property>
  <property fmtid="{D5CDD505-2E9C-101B-9397-08002B2CF9AE}" pid="13" name="visual_elements">
    <vt:lpwstr>4 Tabellen, 2 Abbildungen, umfassende Anhänge</vt:lpwstr>
  </property>
  <property fmtid="{D5CDD505-2E9C-101B-9397-08002B2CF9AE}" pid="14" name="word_count">
    <vt:lpwstr>25405 Wörter auf 115 Seiten (geschätzt)</vt:lpwstr>
  </property>
</Properties>
</file>