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Pricing</w:t>
      </w:r>
      <w:r>
        <w:t xml:space="preserve"> </w:t>
      </w:r>
      <w:r>
        <w:t xml:space="preserve">Models</w:t>
      </w:r>
      <w:r>
        <w:t xml:space="preserve"> </w:t>
      </w:r>
      <w:r>
        <w:t xml:space="preserve">for</w:t>
      </w:r>
      <w:r>
        <w:t xml:space="preserve"> </w:t>
      </w:r>
      <w:r>
        <w:t xml:space="preserve">Agentic</w:t>
      </w:r>
      <w:r>
        <w:t xml:space="preserve"> </w:t>
      </w:r>
      <w:r>
        <w:t xml:space="preserve">AI</w:t>
      </w:r>
      <w:r>
        <w:t xml:space="preserve"> </w:t>
      </w:r>
      <w:r>
        <w:t xml:space="preserve">Systems:</w:t>
      </w:r>
      <w:r>
        <w:t xml:space="preserve"> </w:t>
      </w:r>
      <w:r>
        <w:t xml:space="preserve">From</w:t>
      </w:r>
      <w:r>
        <w:t xml:space="preserve"> </w:t>
      </w:r>
      <w:r>
        <w:t xml:space="preserve">Token-Based</w:t>
      </w:r>
      <w:r>
        <w:t xml:space="preserve"> </w:t>
      </w:r>
      <w:r>
        <w:t xml:space="preserve">to</w:t>
      </w:r>
      <w:r>
        <w:t xml:space="preserve"> </w:t>
      </w:r>
      <w:r>
        <w:t xml:space="preserve">Value-Based</w:t>
      </w:r>
      <w:r>
        <w:t xml:space="preserve"> </w:t>
      </w:r>
      <w:r>
        <w:t xml:space="preserve">Approaches</w:t>
      </w:r>
    </w:p>
    <w:p>
      <w:pPr>
        <w:pStyle w:val="Subtitle"/>
      </w:pPr>
      <w:r>
        <w:t xml:space="preserve">AI-Generated</w:t>
      </w:r>
      <w:r>
        <w:t xml:space="preserve"> </w:t>
      </w:r>
      <w:r>
        <w:t xml:space="preserve">Academic</w:t>
      </w:r>
      <w:r>
        <w:t xml:space="preserve"> </w:t>
      </w:r>
      <w:r>
        <w:t xml:space="preserve">Thesis</w:t>
      </w:r>
      <w:r>
        <w:t xml:space="preserve"> </w:t>
      </w:r>
      <w:r>
        <w:t xml:space="preserve">Showcase</w:t>
      </w:r>
    </w:p>
    <w:p>
      <w:pPr>
        <w:pStyle w:val="Author"/>
      </w:pPr>
      <w:r>
        <w:t xml:space="preserve">Academic</w:t>
      </w:r>
      <w:r>
        <w:t xml:space="preserve"> </w:t>
      </w:r>
      <w:r>
        <w:t xml:space="preserve">Thesis</w:t>
      </w:r>
      <w:r>
        <w:t xml:space="preserve"> </w:t>
      </w:r>
      <w:r>
        <w:t xml:space="preserve">AI</w:t>
      </w:r>
      <w:r>
        <w:t xml:space="preserve"> </w:t>
      </w:r>
      <w:r>
        <w:t xml:space="preserve">(Multi-Agent</w:t>
      </w:r>
      <w:r>
        <w:t xml:space="preserve"> </w:t>
      </w:r>
      <w:r>
        <w:t xml:space="preserve">System)</w:t>
      </w:r>
    </w:p>
    <w:p>
      <w:pPr>
        <w:pStyle w:val="Date"/>
      </w:pPr>
      <w:r>
        <w:t xml:space="preserve">January</w:t>
      </w:r>
      <w:r>
        <w:t xml:space="preserve"> </w:t>
      </w:r>
      <w:r>
        <w:t xml:space="preserve">2025</w:t>
      </w:r>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Table of Contents</w:t>
      </w:r>
    </w:p>
    <w:p>
      <w:pPr/>
      <w:r>
        <w:t xml:space="preserve">  Abstract</w:t>
      </w:r>
    </w:p>
    <w:p>
      <w:pPr/>
      <w:r>
        <w:t xml:space="preserve">  Introduction</w:t>
      </w:r>
    </w:p>
    <w:p>
      <w:pPr/>
      <w:r>
        <w:t xml:space="preserve">  Literature Review</w:t>
      </w:r>
    </w:p>
    <w:p>
      <w:pPr/>
      <w:r>
        <w:t xml:space="preserve">  Token-Based Pricing Models for Generative AI</w:t>
      </w:r>
    </w:p>
    <w:p>
      <w:pPr/>
      <w:r>
        <w:t xml:space="preserve">    Origins and Mechanics of Tokenization</w:t>
      </w:r>
    </w:p>
    <w:p>
      <w:pPr/>
      <w:r>
        <w:t xml:space="preserve">    Dominant Implementations: OpenAI and Anthropic</w:t>
      </w:r>
    </w:p>
    <w:p>
      <w:pPr/>
      <w:r>
        <w:t xml:space="preserve">    Advantages and Limitations</w:t>
      </w:r>
    </w:p>
    <w:p>
      <w:pPr/>
      <w:r>
        <w:t xml:space="preserve">    Research and Development in Token-Based Pricing</w:t>
      </w:r>
    </w:p>
    <w:p>
      <w:pPr/>
      <w:r>
        <w:t xml:space="preserve">  Usage-Based Pricing Models for Cloud AI Services</w:t>
      </w:r>
    </w:p>
    <w:p>
      <w:pPr/>
      <w:r>
        <w:t xml:space="preserve">    Foundations of Cloud Service Pricing</w:t>
      </w:r>
    </w:p>
    <w:p>
      <w:pPr/>
      <w:r>
        <w:t xml:space="preserve">    AWS, Azure, Google Cloud AI Services</w:t>
      </w:r>
    </w:p>
    <w:p>
      <w:pPr/>
      <w:r>
        <w:t xml:space="preserve">    Economic Rationales and User Impact</w:t>
      </w:r>
    </w:p>
    <w:p>
      <w:pPr/>
      <w:r>
        <w:t xml:space="preserve">    Research into Optimization and Fairness</w:t>
      </w:r>
    </w:p>
    <w:p>
      <w:pPr/>
      <w:r>
        <w:t xml:space="preserve">  Value-Based Pricing Theory and its Application to AI</w:t>
      </w:r>
    </w:p>
    <w:p>
      <w:pPr/>
      <w:r>
        <w:t xml:space="preserve">    Core Principles of Value-Based Pricing</w:t>
      </w:r>
    </w:p>
    <w:p>
      <w:pPr/>
      <w:r>
        <w:t xml:space="preserve">    Value Creation and Capture in AI Services</w:t>
      </w:r>
    </w:p>
    <w:p>
      <w:pPr/>
      <w:r>
        <w:t xml:space="preserve">    Strategic Implementation of Value-Based Pricing for AI</w:t>
      </w:r>
    </w:p>
    <w:p>
      <w:pPr/>
      <w:r>
        <w:t xml:space="preserve">    Ethical and Equity Considerations</w:t>
      </w:r>
    </w:p>
    <w:p>
      <w:pPr/>
      <w:r>
        <w:t xml:space="preserve">  Comparative Analysis of AI Pricing Models</w:t>
      </w:r>
    </w:p>
    <w:p>
      <w:pPr/>
      <w:r>
        <w:t xml:space="preserve">    Strengths and Weaknesses of Each Model</w:t>
      </w:r>
    </w:p>
    <w:p>
      <w:pPr/>
      <w:r>
        <w:t xml:space="preserve">    Hybrid Pricing Strategies</w:t>
      </w:r>
    </w:p>
    <w:p>
      <w:pPr/>
      <w:r>
        <w:t xml:space="preserve">    Impact on Market Dynamics and Competition</w:t>
      </w:r>
    </w:p>
    <w:p>
      <w:pPr/>
      <w:r>
        <w:t xml:space="preserve">    Future Trends and Unresolved Challenges</w:t>
      </w:r>
    </w:p>
    <w:p>
      <w:pPr/>
      <w:r>
        <w:t xml:space="preserve">  Conclusion</w:t>
      </w:r>
    </w:p>
    <w:p>
      <w:pPr/>
      <w:r>
        <w:t>Methodology</w:t>
      </w:r>
    </w:p>
    <w:p>
      <w:pPr/>
      <w:r>
        <w:t xml:space="preserve">  Framework for Comparing AI Pricing Models</w:t>
      </w:r>
    </w:p>
    <w:p>
      <w:pPr/>
      <w:r>
        <w:t xml:space="preserve">  Case Study Selection Criteria</w:t>
      </w:r>
    </w:p>
    <w:p>
      <w:pPr/>
      <w:r>
        <w:t xml:space="preserve">  Analysis Approach</w:t>
      </w:r>
    </w:p>
    <w:p>
      <w:pPr/>
      <w:r>
        <w:t>Analysis</w:t>
      </w:r>
    </w:p>
    <w:p>
      <w:pPr/>
      <w:r>
        <w:t xml:space="preserve">  1. Comparative Analysis of AI Pricing Models</w:t>
      </w:r>
    </w:p>
    <w:p>
      <w:pPr/>
      <w:r>
        <w:t xml:space="preserve">    1.1 Cost-Plus Pricing</w:t>
      </w:r>
    </w:p>
    <w:p>
      <w:pPr/>
      <w:r>
        <w:t xml:space="preserve">    1.2 Value-Based Pricing</w:t>
      </w:r>
    </w:p>
    <w:p>
      <w:pPr/>
      <w:r>
        <w:t xml:space="preserve">    1.3 Usage-Based and Token Pricing</w:t>
      </w:r>
    </w:p>
    <w:p>
      <w:pPr/>
      <w:r>
        <w:t xml:space="preserve">    1.4 Subscription and Tiered Models</w:t>
      </w:r>
    </w:p>
    <w:p>
      <w:pPr/>
      <w:r>
        <w:t xml:space="preserve">    1.5 Freemium Strategies</w:t>
      </w:r>
    </w:p>
    <w:p>
      <w:pPr/>
      <w:r>
        <w:t xml:space="preserve">    1.6 Dynamic Pricing Mechanisms</w:t>
      </w:r>
    </w:p>
    <w:p>
      <w:pPr/>
      <w:r>
        <w:t xml:space="preserve">    1.7 Ethics-Driven and Green AI Pricing</w:t>
      </w:r>
    </w:p>
    <w:p>
      <w:pPr/>
      <w:r>
        <w:t xml:space="preserve">  2. Advantages and Disadvantages of Dominant AI Pricing Strategies</w:t>
      </w:r>
    </w:p>
    <w:p>
      <w:pPr/>
      <w:r>
        <w:t xml:space="preserve">    2.1 Economic Implications</w:t>
      </w:r>
    </w:p>
    <w:p>
      <w:pPr/>
      <w:r>
        <w:t xml:space="preserve">    2.2 Operational and Technical Considerations</w:t>
      </w:r>
    </w:p>
    <w:p>
      <w:pPr/>
      <w:r>
        <w:t xml:space="preserve">    2.3 User Experience and Adoption</w:t>
      </w:r>
    </w:p>
    <w:p>
      <w:pPr/>
      <w:r>
        <w:t xml:space="preserve">    2.4 Ethical and Societal Impacts</w:t>
      </w:r>
    </w:p>
    <w:p>
      <w:pPr/>
      <w:r>
        <w:t xml:space="preserve">  3. Real-World Implementations and Case Studies</w:t>
      </w:r>
    </w:p>
    <w:p>
      <w:pPr/>
      <w:r>
        <w:t xml:space="preserve">    3.1 OpenAI’s Pricing Evolution</w:t>
      </w:r>
    </w:p>
    <w:p>
      <w:pPr/>
      <w:r>
        <w:t xml:space="preserve">    3.2 Anthropic’s Claude Models</w:t>
      </w:r>
    </w:p>
    <w:p>
      <w:pPr/>
      <w:r>
        <w:t xml:space="preserve">    3.3 Google Cloud AI and Azure AI Services</w:t>
      </w:r>
    </w:p>
    <w:p>
      <w:pPr/>
      <w:r>
        <w:t xml:space="preserve">    3.4 Specialized AI Service Providers</w:t>
      </w:r>
    </w:p>
    <w:p>
      <w:pPr/>
      <w:r>
        <w:t xml:space="preserve">  4. The Emergence of Hybrid Pricing Approaches</w:t>
      </w:r>
    </w:p>
    <w:p>
      <w:pPr/>
      <w:r>
        <w:t xml:space="preserve">    4.1 Rationale for Hybrid Models</w:t>
      </w:r>
    </w:p>
    <w:p>
      <w:pPr/>
      <w:r>
        <w:t xml:space="preserve">    4.2 Common Hybrid Configurations</w:t>
      </w:r>
    </w:p>
    <w:p>
      <w:pPr/>
      <w:r>
        <w:t xml:space="preserve">    4.3 Strategic Advantages and Challenges of Hybridization</w:t>
      </w:r>
    </w:p>
    <w:p>
      <w:pPr/>
      <w:r>
        <w:t xml:space="preserve">    4.4 Future Directions in Hybrid AI Pricing</w:t>
      </w:r>
    </w:p>
    <w:p>
      <w:pPr/>
      <w:r>
        <w:t>Discussion</w:t>
      </w:r>
    </w:p>
    <w:p>
      <w:pPr/>
      <w:r>
        <w:t xml:space="preserve">  Implications for AI Companies</w:t>
      </w:r>
    </w:p>
    <w:p>
      <w:pPr/>
      <w:r>
        <w:t xml:space="preserve">  Customer Adoption Considerations</w:t>
      </w:r>
    </w:p>
    <w:p>
      <w:pPr/>
      <w:r>
        <w:t xml:space="preserve">  Future Pricing Trends</w:t>
      </w:r>
    </w:p>
    <w:p>
      <w:pPr/>
      <w:r>
        <w:t xml:space="preserve">  Recommendations</w:t>
      </w:r>
    </w:p>
    <w:p>
      <w:pPr/>
      <w:r>
        <w:t xml:space="preserve">  Limitations of the Current Analysis</w:t>
      </w:r>
    </w:p>
    <w:p>
      <w:pPr/>
      <w:r>
        <w:t xml:space="preserve">  Conclusion</w:t>
      </w:r>
    </w:p>
    <w:p>
      <w:pPr/>
      <w:r>
        <w:t xml:space="preserve">  Limitations</w:t>
      </w:r>
    </w:p>
    <w:p>
      <w:pPr/>
      <w:r>
        <w:t xml:space="preserve">    Methodological Limitations</w:t>
      </w:r>
    </w:p>
    <w:p>
      <w:pPr/>
      <w:r>
        <w:t xml:space="preserve">    Scope and Generalizability</w:t>
      </w:r>
    </w:p>
    <w:p>
      <w:pPr/>
      <w:r>
        <w:t xml:space="preserve">    Temporal and Contextual Constraints</w:t>
      </w:r>
    </w:p>
    <w:p>
      <w:pPr/>
      <w:r>
        <w:t xml:space="preserve">    Theoretical and Conceptual Limitations</w:t>
      </w:r>
    </w:p>
    <w:p>
      <w:pPr/>
      <w:r>
        <w:t xml:space="preserve">  Future Research Directions</w:t>
      </w:r>
    </w:p>
    <w:p>
      <w:pPr/>
      <w:r>
        <w:t xml:space="preserve">    1. Empirical Validation and Large-Scale Testing of Hybrid Models</w:t>
      </w:r>
    </w:p>
    <w:p>
      <w:pPr/>
      <w:r>
        <w:t xml:space="preserve">    2. Developing Standardized Metrics for AI Value Quantification</w:t>
      </w:r>
    </w:p>
    <w:p>
      <w:pPr/>
      <w:r>
        <w:t xml:space="preserve">    3. Ethical AI Pricing Mechanisms and Regulatory Impact Assessment</w:t>
      </w:r>
    </w:p>
    <w:p>
      <w:pPr/>
      <w:r>
        <w:t xml:space="preserve">    4. The Role of AI Agents in Pricing Optimization and Market Interaction</w:t>
      </w:r>
    </w:p>
    <w:p>
      <w:pPr/>
      <w:r>
        <w:t xml:space="preserve">    5. Long-Term Psychological and Societal Impacts of AI Pricing</w:t>
      </w:r>
    </w:p>
    <w:p>
      <w:pPr/>
      <w:r>
        <w:t xml:space="preserve">    6. Green AI Pricing: Integration of Environmental Costs</w:t>
      </w:r>
    </w:p>
    <w:p>
      <w:pPr/>
      <w:r>
        <w:t xml:space="preserve">    7. Pricing Strategies for Multimodal and Embodied AI</w:t>
      </w:r>
    </w:p>
    <w:p>
      <w:pPr/>
      <w:r>
        <w:t xml:space="preserve">  Conclusion</w:t>
      </w:r>
    </w:p>
    <w:p>
      <w:pPr/>
      <w:r>
        <w:t xml:space="preserve">  Appendix A: Framework for AI Value Assessment</w:t>
      </w:r>
    </w:p>
    <w:p>
      <w:pPr/>
      <w:r>
        <w:t xml:space="preserve">    A.1 Core Dimensions of AI Value</w:t>
      </w:r>
    </w:p>
    <w:p>
      <w:pPr/>
      <w:r>
        <w:t xml:space="preserve">    A.2 Value Assessment Methodology</w:t>
      </w:r>
    </w:p>
    <w:p>
      <w:pPr/>
      <w:r>
        <w:t xml:space="preserve">    A.3 Challenges in Value Assessment</w:t>
      </w:r>
    </w:p>
    <w:p>
      <w:pPr/>
      <w:r>
        <w:t xml:space="preserve">  Appendix C: Detailed Case Study Data and Projections</w:t>
      </w:r>
    </w:p>
    <w:p>
      <w:pPr/>
      <w:r>
        <w:t xml:space="preserve">    C.1 Generative AI: OpenAI GPT-4 API Usage Scenarios</w:t>
      </w:r>
    </w:p>
    <w:p>
      <w:pPr/>
      <w:r>
        <w:t xml:space="preserve">    C.2 Cloud AI Services: Azure AI Language (Text Analytics)</w:t>
      </w:r>
    </w:p>
    <w:p>
      <w:pPr/>
      <w:r>
        <w:t xml:space="preserve">    C.3 Value-Based Pricing Projections: AI Fraud Detection</w:t>
      </w:r>
    </w:p>
    <w:p>
      <w:pPr/>
      <w:r>
        <w:t xml:space="preserve">  Appendix D: Additional References and Resources</w:t>
      </w:r>
    </w:p>
    <w:p>
      <w:pPr/>
      <w:r>
        <w:t xml:space="preserve">    D.1 Foundational Texts on AI Economics &amp; Pricing</w:t>
      </w:r>
    </w:p>
    <w:p>
      <w:pPr/>
      <w:r>
        <w:t xml:space="preserve">    D.2 Key Research Papers &amp; Reports</w:t>
      </w:r>
    </w:p>
    <w:p>
      <w:pPr/>
      <w:r>
        <w:t xml:space="preserve">    D.3 Online Resources &amp; Industry Reports</w:t>
      </w:r>
    </w:p>
    <w:p>
      <w:pPr/>
      <w:r>
        <w:t xml:space="preserve">    D.4 Software &amp; Tools for AI Cost Management</w:t>
      </w:r>
    </w:p>
    <w:p>
      <w:pPr/>
      <w:r>
        <w:t xml:space="preserve">    D.5 Professional Organizations &amp; Initiatives</w:t>
      </w:r>
    </w:p>
    <w:p>
      <w:pPr/>
      <w:r>
        <w:t xml:space="preserve">  Appendix E: Glossary of Terms</w:t>
      </w:r>
    </w:p>
    <w:p>
      <w:pPr/>
      <w:r>
        <w:t xml:space="preserve">  References</w:t>
      </w:r>
      <w:r>
        <w:br w:type="page"/>
      </w:r>
    </w:p>
    <w:p>
      <w:pPr>
        <w:pStyle w:val="Heading2"/>
      </w:pPr>
      <w:bookmarkStart w:id="20" w:name="abstract"/>
      <w:r>
        <w:t xml:space="preserve">Abstract</w:t>
      </w:r>
      <w:bookmarkEnd w:id="20"/>
    </w:p>
    <w:p>
      <w:pPr>
        <w:pStyle w:val="FirstParagraph"/>
      </w:pPr>
      <w:r>
        <w:rPr>
          <w:b/>
        </w:rPr>
        <w:t xml:space="preserve">Research Problem and Approach:</w:t>
      </w:r>
      <w:r>
        <w:t xml:space="preserve"> </w:t>
      </w:r>
      <w:r>
        <w:t xml:space="preserve">The rapid evolution of AI into autonomous agentic systems presents a significant challenge to traditional pricing models. This thesis addresses the critical gap in economic frameworks by exploring how to appropriately price the dynamic utility and opaque capabilities of intelligent AI agents, moving beyond conventional metrics.</w:t>
      </w:r>
    </w:p>
    <w:p>
      <w:pPr>
        <w:pStyle w:val="BodyText"/>
      </w:pPr>
      <w:r>
        <w:rPr>
          <w:b/>
        </w:rPr>
        <w:t xml:space="preserve">Methodology and Findings:</w:t>
      </w:r>
      <w:r>
        <w:t xml:space="preserve"> </w:t>
      </w:r>
      <w:r>
        <w:t xml:space="preserve">Employing a qualitative, comparative analysis method underpinned by a multi-dimensional framework, this study dissects token-based, usage-based, and value-based pricing paradigms. Findings reveal that while token and usage models offer granularity and flexibility, they struggle with opacity and value capture. Value-based models, though ideal, face quantification challenges, leading to a prevalent trend towards hybrid strategies.</w:t>
      </w:r>
    </w:p>
    <w:p>
      <w:pPr>
        <w:pStyle w:val="BodyText"/>
      </w:pPr>
      <w:r>
        <w:rPr>
          <w:b/>
        </w:rPr>
        <w:t xml:space="preserve">Key Contributions:</w:t>
      </w:r>
      <w:r>
        <w:t xml:space="preserve"> </w:t>
      </w:r>
      <w:r>
        <w:t xml:space="preserve">(1) A comprehensive multi-dimensional framework for evaluating AI pricing models; (2) Detailed comparative analysis of token, usage, and value-based pricing, highlighting their trade-offs; (3) Identification of emergent hybrid pricing strategies and their strategic implications; (4) Integration of ethical and societal factors into AI monetization discourse.</w:t>
      </w:r>
    </w:p>
    <w:p>
      <w:pPr>
        <w:pStyle w:val="BodyText"/>
      </w:pPr>
      <w:r>
        <w:rPr>
          <w:b/>
        </w:rPr>
        <w:t xml:space="preserve">Implications:</w:t>
      </w:r>
      <w:r>
        <w:t xml:space="preserve"> </w:t>
      </w:r>
      <w:r>
        <w:t xml:space="preserve">This research provides crucial insights for AI providers to design sustainable, equitable pricing models, and for policymakers to develop robust regulatory frameworks. It underscores the necessity of balancing economic viability with transparency, fairness, and long-term societal impact in the burgeoning AI economy.</w:t>
      </w:r>
    </w:p>
    <w:p>
      <w:pPr>
        <w:pStyle w:val="BodyText"/>
      </w:pPr>
      <w:r>
        <w:rPr>
          <w:b/>
        </w:rPr>
        <w:t xml:space="preserve">Keywords:</w:t>
      </w:r>
      <w:r>
        <w:t xml:space="preserve"> </w:t>
      </w:r>
      <w:r>
        <w:t xml:space="preserve">AI pricing, agentic AI, token-based pricing, value-based pricing, usage-based pricing, hybrid pricing, AI economics, ethical AI, monetization strategies, digital platforms, machine learning, generative AI, cloud AI, dynamic pricing, economic frameworks</w:t>
      </w:r>
    </w:p>
    <w:p>
      <w:pPr>
        <w:pStyle w:val="Heading2"/>
      </w:pPr>
      <w:bookmarkStart w:id="21" w:name="introduction"/>
      <w:r>
        <w:t xml:space="preserve">Introduction</w:t>
      </w:r>
      <w:bookmarkEnd w:id="21"/>
    </w:p>
    <w:p>
      <w:pPr>
        <w:pStyle w:val="FirstParagraph"/>
      </w:pPr>
      <w:r>
        <w:t xml:space="preserve">Artificial intelligence (AI) has undergone a swift transformation (Korinek, 2025). It’s evolved from static algorithms into dynamic, autonomous agentic systems. These advanced AI agents can make independent decisions, learn, and interact with complex environments. They’re now integrated across diverse sectors. This promises remarkable efficiencies and innovation (Kshirsagar et al., 2021).</w:t>
      </w:r>
    </w:p>
    <w:p>
      <w:pPr>
        <w:pStyle w:val="BodyText"/>
      </w:pPr>
      <w:r>
        <w:t xml:space="preserve">From automating intricate business processes to enhancing scientific discovery and personal assistance, agentic AI’s societal and economic impact is considerable and growing (Korinek, 2025). However, as these systems become more sophisticated and pervasive, the traditional ways we value and price technological services face significant hurdles. The core question—how to appropriately price the utility and capabilities of an intelligent, adaptive, and often opaque AI agent—remains largely unanswered. This creates a critical gap in the economic frameworks surrounding this burgeoning field.</w:t>
      </w:r>
    </w:p>
    <w:p>
      <w:pPr>
        <w:pStyle w:val="BodyText"/>
      </w:pPr>
      <w:r>
        <w:t xml:space="preserve">Historically, software and digital services were priced based on clear metrics: licensing fees, subscription models, or usage-based charges tied to computational resources, data volume, or fixed feature sets (De, 2017). While effective for conventional software, this approach struggles to capture the nuanced value proposition of agentic AI. Unlike static tools, AI agents are characterized by their capacity for continuous learning, adaptation, and emergent behaviors. This can lead to non-linear value generation and unpredictable performance trajectories (Barbere et al., 2024). Further complicating matters is the inherent</w:t>
      </w:r>
      <w:r>
        <w:t xml:space="preserve"> </w:t>
      </w:r>
      <w:r>
        <w:t xml:space="preserve">‘</w:t>
      </w:r>
      <w:r>
        <w:t xml:space="preserve">black-box</w:t>
      </w:r>
      <w:r>
        <w:t xml:space="preserve">’</w:t>
      </w:r>
      <w:r>
        <w:t xml:space="preserve"> </w:t>
      </w:r>
      <w:r>
        <w:t xml:space="preserve">nature of many advanced AI models. Their internal decision-making processes aren’t readily interpretable. This makes it difficult to attribute specific outcomes to particular inputs or computational efforts (Mirghaderi et al., 2023). This combination of dynamic capabilities, opacity, and the potential for autonomous action demands a re-evaluation of current economic models.</w:t>
      </w:r>
    </w:p>
    <w:p>
      <w:pPr>
        <w:pStyle w:val="Heading2"/>
      </w:pPr>
      <w:bookmarkStart w:id="22" w:name="literature-review"/>
      <w:r>
        <w:t xml:space="preserve">Literature Review</w:t>
      </w:r>
      <w:bookmarkEnd w:id="22"/>
    </w:p>
    <w:p>
      <w:pPr>
        <w:pStyle w:val="FirstParagraph"/>
      </w:pPr>
      <w:r>
        <w:t xml:space="preserve">The rapid advancement and pervasive integration of artificial intelligence (AI) across diverse sectors have fundamentally reshaped economic landscapes and business models. As AI transitions from a nascent research field to a critical utility, the methods by which these sophisticated services are valued, priced, and monetized have become subjects of intense academic and practical scrutiny. This literature review delves into the foundational theories and contemporary practices governing the economic models and pricing strategies for AI services and digital platforms, aiming to synthesize existing knowledge, identify emergent trends, and delineate critical gaps in current understanding. The review is structured around three primary pricing paradigms—token-based, usage-based, and value-based—culminating in a comparative analysis that highlights their respective strengths, limitations, and the implications for market dynamics.</w:t>
      </w:r>
    </w:p>
    <w:p>
      <w:pPr>
        <w:pStyle w:val="BodyText"/>
      </w:pPr>
      <w:r>
        <w:t xml:space="preserve">The evolution of software and service pricing has undergone a significant transformation over the past decades. Historically, software was predominantly sold as a perpetual license, a one-time purchase granting indefinite usage rights (Ladas et al., 2019). This model, while straightforward, often failed to account for ongoing development, maintenance, and the inherent scalability of digital products. The advent of the internet and cloud computing catalyzed a shift towards subscription-based and</w:t>
      </w:r>
      <w:r>
        <w:t xml:space="preserve"> </w:t>
      </w:r>
      <w:r>
        <w:t xml:space="preserve">“</w:t>
      </w:r>
      <w:r>
        <w:t xml:space="preserve">Software-as-a-Service</w:t>
      </w:r>
      <w:r>
        <w:t xml:space="preserve">”</w:t>
      </w:r>
      <w:r>
        <w:t xml:space="preserve"> </w:t>
      </w:r>
      <w:r>
        <w:t xml:space="preserve">(SaaS) models, where users pay recurring fees for access to software hosted remotely. This paradigm introduced flexibility, reduced upfront costs for consumers, and ensured a steady revenue stream for providers. However, AI services, particularly those powered by large language models (LLMs) and complex machine learning algorithms, present unique challenges that necessitate even more granular and dynamic pricing approaches. Unlike traditional software, AI capabilities are often consumed incrementally, involve significant computational resources, and can deliver highly variable outputs, making fixed subscriptions or simple usage metrics insufficient for capturing their true economic value. The complexity of AI models, the dynamism of their development, and the varying degrees of value they provide to different users have spurred the development of specialized pricing frameworks (Kshirsagar et al., 2021).</w:t>
      </w:r>
    </w:p>
    <w:p>
      <w:pPr>
        <w:pStyle w:val="BodyText"/>
      </w:pPr>
      <w:r>
        <w:t xml:space="preserve">The economic implications of AI extend beyond mere pricing structures. AI agents are increasingly being recognized as powerful tools for economic research, capable of analyzing vast datasets and identifying complex patterns that might elude human analysis, thereby influencing the very models and theories used to understand market behavior (Korinek, 2025). This reciprocal relationship—where AI influences economic models, and economic models shape AI pricing—underscores the critical importance of a robust theoretical framework for AI monetization. Furthermore, the ethical dimensions of digital platforms and AI services, encompassing issues of transparency, fairness, and potential for market abuse, are inextricably linked to their pricing strategies (Mirghaderi et al., 2023)(Ayata, 2020). Understanding these multifaceted considerations is paramount for developing sustainable and equitable economic models for AI.</w:t>
      </w:r>
    </w:p>
    <w:p>
      <w:pPr>
        <w:pStyle w:val="Heading2"/>
      </w:pPr>
      <w:bookmarkStart w:id="23" w:name="X19540cf0a66aee09377a64a9b7fc8d6d12f96e6"/>
      <w:r>
        <w:t xml:space="preserve">Token-Based Pricing Models for Generative AI</w:t>
      </w:r>
      <w:bookmarkEnd w:id="23"/>
    </w:p>
    <w:p>
      <w:pPr>
        <w:pStyle w:val="FirstParagraph"/>
      </w:pPr>
      <w:r>
        <w:t xml:space="preserve">The emergence of generative AI, particularly large language models (LLMs), has introduced a novel and increasingly prevalent pricing mechanism: token-based pricing. This model has become the de facto standard for many leading AI providers, including OpenAI and Anthropic, reflecting a direct correlation between the computational effort expended and the charge levied. Understanding the intricacies of tokenization, its practical implementations, and its economic implications is crucial for comprehending the current landscape of AI service monetization.</w:t>
      </w:r>
    </w:p>
    <w:p>
      <w:pPr>
        <w:pStyle w:val="Heading3"/>
      </w:pPr>
      <w:bookmarkStart w:id="24" w:name="origins-and-mechanics-of-tokenization"/>
      <w:r>
        <w:t xml:space="preserve">Origins and Mechanics of Tokenization</w:t>
      </w:r>
      <w:bookmarkEnd w:id="24"/>
    </w:p>
    <w:p>
      <w:pPr>
        <w:pStyle w:val="FirstParagraph"/>
      </w:pPr>
      <w:r>
        <w:t xml:space="preserve">At its core, token-based pricing is predicated on the concept of</w:t>
      </w:r>
      <w:r>
        <w:t xml:space="preserve"> </w:t>
      </w:r>
      <w:r>
        <w:t xml:space="preserve">“</w:t>
      </w:r>
      <w:r>
        <w:t xml:space="preserve">tokens,</w:t>
      </w:r>
      <w:r>
        <w:t xml:space="preserve">”</w:t>
      </w:r>
      <w:r>
        <w:t xml:space="preserve"> </w:t>
      </w:r>
      <w:r>
        <w:t xml:space="preserve">which represent the fundamental units of text or data processed by an LLM. A token can be a word, a subword, or even a single character, depending on the tokenizer used by the specific model. For instance, in English, a typical word might correspond to one or two tokens, while more complex words or foreign language characters might require more. When a user submits a query or prompt to an LLM, the input text is first broken down into these tokens. The model then processes these input tokens to generate an an output, which is also composed of tokens. The total cost of an interaction is typically calculated based on the sum of input tokens and output tokens, often priced per 1,000 tokens. This granular approach allows providers to directly link usage to the underlying computational resources—primarily GPU cycles and memory—required to run these large, complex models (Barbere et al., 2024).</w:t>
      </w:r>
    </w:p>
    <w:p>
      <w:pPr>
        <w:pStyle w:val="BodyText"/>
      </w:pPr>
      <w:r>
        <w:t xml:space="preserve">The rationale behind tokenization as a pricing unit stems from the operational mechanics of LLMs. Training and inference for these models are computationally intensive, with costs scaling significantly with the length of the input context and the desired output length. Longer prompts require more memory to hold the context and more processing time to analyze. Similarly, generating longer responses demands more iterative processing steps. By pricing per token, providers can accurately reflect these variable computational costs. This model ensures that users who require more extensive interactions or generate verbose outputs contribute proportionally to the operational expenses of the AI service. The concept of</w:t>
      </w:r>
      <w:r>
        <w:t xml:space="preserve"> </w:t>
      </w:r>
      <w:r>
        <w:t xml:space="preserve">“</w:t>
      </w:r>
      <w:r>
        <w:t xml:space="preserve">context window</w:t>
      </w:r>
      <w:r>
        <w:t xml:space="preserve">”</w:t>
      </w:r>
      <w:r>
        <w:t xml:space="preserve"> </w:t>
      </w:r>
      <w:r>
        <w:t xml:space="preserve">is also critical here; it refers to the maximum number of tokens an LLM can consider at any given time for both input and output. Larger context windows, while enabling more sophisticated and coherent long-form interactions, inherently consume more resources and are often priced at a premium (Barbere et al., 2024). The management of these token hierarchies is an active area of research, aiming to enhance the efficiency and cost-effectiveness of LLMs (Barbere et al., 2024).</w:t>
      </w:r>
    </w:p>
    <w:p>
      <w:pPr>
        <w:pStyle w:val="Heading3"/>
      </w:pPr>
      <w:bookmarkStart w:id="25" w:name="Xd91d1098fc08b10d5ad2e039192702fbe956ce5"/>
      <w:r>
        <w:t xml:space="preserve">Dominant Implementations: OpenAI and Anthropic</w:t>
      </w:r>
      <w:bookmarkEnd w:id="25"/>
    </w:p>
    <w:p>
      <w:pPr>
        <w:pStyle w:val="FirstParagraph"/>
      </w:pPr>
      <w:r>
        <w:t xml:space="preserve">OpenAI, a pioneer in generative AI, has largely popularized and refined token-based pricing. Their flagship models, such as GPT-3.5 and GPT-4, are offered through an API where costs are meticulously calculated per 1,000 tokens. OpenAI often differentiates pricing between input (prompt) tokens and output (completion) tokens, with output tokens typically being more expensive due to the additional computational effort involved in generation. For example, a common pricing structure might charge a few cents per 1,000 input tokens and slightly more per 1,000 output tokens for a standard model. More advanced models, possessing greater capabilities, larger context windows, or superior performance, naturally command higher prices per token. The</w:t>
      </w:r>
      <w:r>
        <w:t xml:space="preserve"> </w:t>
      </w:r>
      <w:r>
        <w:rPr>
          <w:rStyle w:val="VerbatimChar"/>
        </w:rPr>
        <w:t xml:space="preserve">openai</w:t>
      </w:r>
      <w:r>
        <w:t xml:space="preserve"> </w:t>
      </w:r>
      <w:r>
        <w:t xml:space="preserve">R wrapper, for instance, facilitates interaction with these APIs, enabling developers to integrate OpenAI’s models into their applications while managing token usage and associated costs (Rudnytskyi, 2022).</w:t>
      </w:r>
    </w:p>
    <w:p>
      <w:pPr>
        <w:pStyle w:val="BodyText"/>
      </w:pPr>
      <w:r>
        <w:t xml:space="preserve">Anthropic, another leading AI research and safety company, employs a similar token-based pricing strategy for its Claude series of models. Like OpenAI, Anthropic distinguishes between input and output tokens and offers different pricing tiers based on the model’s capabilities and context window size. Claude models are known for their particularly large context windows, allowing for processing and generation of extremely long texts, which translates directly into higher token counts and, consequently, higher costs for such extensive interactions. The competitive landscape between these providers often revolves not only around model performance but also around the efficiency and cost-effectiveness of their token usage, pushing both companies to continuously optimize their tokenization strategies and model architectures.</w:t>
      </w:r>
    </w:p>
    <w:p>
      <w:pPr>
        <w:pStyle w:val="Heading3"/>
      </w:pPr>
      <w:bookmarkStart w:id="26" w:name="advantages-and-limitations"/>
      <w:r>
        <w:t xml:space="preserve">Advantages and Limitations</w:t>
      </w:r>
      <w:bookmarkEnd w:id="26"/>
    </w:p>
    <w:p>
      <w:pPr>
        <w:pStyle w:val="FirstParagraph"/>
      </w:pPr>
      <w:r>
        <w:t xml:space="preserve">Token-based pricing offers several distinct advantages, primarily for the AI service providers. It provides a highly granular and scalable monetization model, directly aligning revenue with computational expenditure. This predictability for providers allows for better resource allocation and infrastructure planning. For developers, it offers a pay-as-you-go model that can be beneficial for prototyping and variable workloads, avoiding large upfront commitments. The transparency, in principle, of charging per unit of processing can be seen as fair, as users pay only for what they consume.</w:t>
      </w:r>
    </w:p>
    <w:p>
      <w:pPr>
        <w:pStyle w:val="BodyText"/>
      </w:pPr>
      <w:r>
        <w:t xml:space="preserve">However, this model also presents significant limitations, particularly from the user’s perspective. One major challenge is the inherent opacity of token counts. Users often find it difficult to accurately estimate the token count of their input and the likely length of the output, making cost prediction challenging. A simple query might yield a vastly different token count depending on subtle phrasing or the model’s internal processing, leading to unexpected costs. This</w:t>
      </w:r>
      <w:r>
        <w:t xml:space="preserve"> </w:t>
      </w:r>
      <w:r>
        <w:t xml:space="preserve">“</w:t>
      </w:r>
      <w:r>
        <w:t xml:space="preserve">token inflation</w:t>
      </w:r>
      <w:r>
        <w:t xml:space="preserve">”</w:t>
      </w:r>
      <w:r>
        <w:t xml:space="preserve"> </w:t>
      </w:r>
      <w:r>
        <w:t xml:space="preserve">can be particularly problematic for applications requiring extensive or iterative interactions. Furthermore, the practice of charging for hallucinated tokens—tokens generated by the AI that are factually incorrect or nonsensical—raises ethical questions. Users are effectively paying for erroneous outputs, which can undermine trust and perceived value (Mirghaderi et al., 2023). The need for transparency and ethical governance in digital platforms extends to these granular pricing mechanisms.</w:t>
      </w:r>
    </w:p>
    <w:p>
      <w:pPr>
        <w:pStyle w:val="BodyText"/>
      </w:pPr>
      <w:r>
        <w:t xml:space="preserve">From a developer’s standpoint, managing token budgets and optimizing prompts to minimize token usage becomes a critical skill. This can sometimes lead to compromises in prompt clarity or comprehensiveness, as developers strive to reduce costs, potentially impacting the quality of the AI’s output. The reliance on tokenization also introduces a vendor-specific unit of measurement, making direct cost comparisons across different AI providers complex, as each may define and count tokens differently.</w:t>
      </w:r>
    </w:p>
    <w:p>
      <w:pPr>
        <w:pStyle w:val="Heading3"/>
      </w:pPr>
      <w:bookmarkStart w:id="27" w:name="X9509091ba3f31a14f720ba6ef0c820ed3181b94"/>
      <w:r>
        <w:t xml:space="preserve">Research and Development in Token-Based Pricing</w:t>
      </w:r>
      <w:bookmarkEnd w:id="27"/>
    </w:p>
    <w:p>
      <w:pPr>
        <w:pStyle w:val="FirstParagraph"/>
      </w:pPr>
      <w:r>
        <w:t xml:space="preserve">Ongoing research seeks to address the limitations and enhance the efficiency of token-based pricing. Efforts are underway to develop more sophisticated tokenization strategies that are more semantically aware, potentially reducing the number of tokens required to represent a given piece of information (Barbere et al., 2024). Dynamic token hierarchies are being explored as a means to enhance LLMs, which could lead to more efficient processing and potentially more equitable pricing models (Barbere et al., 2024). These hierarchies might allow models to process information at different levels of granularity, only expanding to finer-grained tokens when necessary, thereby optimizing computational load.</w:t>
      </w:r>
    </w:p>
    <w:p>
      <w:pPr>
        <w:pStyle w:val="BodyText"/>
      </w:pPr>
      <w:r>
        <w:t xml:space="preserve">Furthermore, the ethical implications of token-based pricing, particularly concerning transparency and fairness, are a growing area of concern. Researchers are investigating how to make token usage more transparent to end-users, potentially through real-time cost estimators or clearer breakdowns of input versus output token charges. The broader discussion around ethics and transparency in digital platforms (Mirghaderi et al., 2023) provides a framework for evaluating the fairness of these pricing models, especially when considering the potential for excessive pricing in new, rapidly evolving markets (Ayata, 2020). The intersection of green AI initiatives with cost pricing models, as explored by Kshirsagar, More et al. (Kshirsagar et al., 2021), suggests a future where pricing might also incorporate environmental costs associated with the massive energy consumption of LLMs, further complicating and potentially refining token-based structures. This area of research aims to ensure that AI service pricing not only reflects operational costs but also aligns with broader societal values and sustainability goals.</w:t>
      </w:r>
    </w:p>
    <w:p>
      <w:pPr>
        <w:pStyle w:val="Heading2"/>
      </w:pPr>
      <w:bookmarkStart w:id="28" w:name="X7c97e1e8b27d2e66db3a5e6b28a202249542c13"/>
      <w:r>
        <w:t xml:space="preserve">Usage-Based Pricing Models for Cloud AI Services</w:t>
      </w:r>
      <w:bookmarkEnd w:id="28"/>
    </w:p>
    <w:p>
      <w:pPr>
        <w:pStyle w:val="FirstParagraph"/>
      </w:pPr>
      <w:r>
        <w:t xml:space="preserve">Beyond the specific paradigm of token-based pricing for generative AI, a broader category of consumption-based or usage-based pricing models dominates the landscape of cloud-hosted AI services. These models, deeply rooted in the philosophy of cloud computing, offer flexibility and scalability by charging users based on their actual consumption of specific resources or functionalities. This section explores the foundations of cloud service pricing, examines its implementation by major cloud providers, and discusses its economic rationales and challenges.</w:t>
      </w:r>
    </w:p>
    <w:p>
      <w:pPr>
        <w:pStyle w:val="Heading3"/>
      </w:pPr>
      <w:bookmarkStart w:id="29" w:name="foundations-of-cloud-service-pricing"/>
      <w:r>
        <w:t xml:space="preserve">Foundations of Cloud Service Pricing</w:t>
      </w:r>
      <w:bookmarkEnd w:id="29"/>
    </w:p>
    <w:p>
      <w:pPr>
        <w:pStyle w:val="FirstParagraph"/>
      </w:pPr>
      <w:r>
        <w:t xml:space="preserve">The shift from traditional software licensing to</w:t>
      </w:r>
      <w:r>
        <w:t xml:space="preserve"> </w:t>
      </w:r>
      <w:r>
        <w:t xml:space="preserve">“</w:t>
      </w:r>
      <w:r>
        <w:t xml:space="preserve">pay-as-you-go</w:t>
      </w:r>
      <w:r>
        <w:t xml:space="preserve">”</w:t>
      </w:r>
      <w:r>
        <w:t xml:space="preserve"> </w:t>
      </w:r>
      <w:r>
        <w:t xml:space="preserve">models is a defining characteristic of cloud computing. Historically, organizations purchased software licenses and managed their own IT infrastructure, incurring significant upfront capital expenditures for hardware, software, and maintenance. Cloud computing revolutionized this by offering computing resources—such as virtual machines, storage, databases, and network services—as utilities over the internet. This model transformed CapEx into OpEx, allowing businesses to scale their resources up or down dynamically based on demand, paying only for what they consumed. Elasticity and scalability are the core tenets of this paradigm, enabling businesses to avoid over-provisioning or under-provisioning resources (Ladas et al., 2019).</w:t>
      </w:r>
    </w:p>
    <w:p>
      <w:pPr>
        <w:pStyle w:val="BodyText"/>
      </w:pPr>
      <w:r>
        <w:t xml:space="preserve">For AI services specifically, this translates into pricing mechanisms tied to quantifiable metrics of usage. Instead of a fixed fee for an AI model, users are charged based on the number of API calls, the volume of data processed, the duration of computation, or the specific features invoked. This approach is particularly well-suited for AI, where workloads can be highly variable and unpredictable. A company might use an image recognition AI service heavily during a product launch campaign and then scale down usage afterward, making a fixed subscription uneconomical. The pay-per-use model ensures cost efficiency for such fluctuating demands, aligning expenditure directly with operational activity. The concept of API monetization (De, 2017) is central to this, as many cloud AI services are exposed as APIs, allowing developers to integrate sophisticated AI capabilities into their applications without needing to build and maintain the underlying models themselves.</w:t>
      </w:r>
    </w:p>
    <w:p>
      <w:pPr>
        <w:pStyle w:val="Heading3"/>
      </w:pPr>
      <w:bookmarkStart w:id="30" w:name="aws-azure-google-cloud-ai-services"/>
      <w:r>
        <w:t xml:space="preserve">AWS, Azure, Google Cloud AI Services</w:t>
      </w:r>
      <w:bookmarkEnd w:id="30"/>
    </w:p>
    <w:p>
      <w:pPr>
        <w:pStyle w:val="FirstParagraph"/>
      </w:pPr>
      <w:r>
        <w:t xml:space="preserve">Major cloud providers—Amazon Web Services (AWS), Microsoft Azure, and Google Cloud Platform (GCP)—offer extensive suites of AI services, each with its own nuanced usage-based pricing structure. These services span a wide array of AI capabilities, including machine learning platforms, natural language processing, computer vision, speech recognition, and recommendation engines.</w:t>
      </w:r>
    </w:p>
    <w:p>
      <w:pPr>
        <w:pStyle w:val="BodyText"/>
      </w:pPr>
      <w:r>
        <w:t xml:space="preserve">AWS AI services, for example, include Amazon Rekognition (for image and video analysis), Amazon Comprehend (for natural language processing), and Amazon Transcribe (for speech-to-text conversion). Rekognition typically charges per image or per minute of video processed. Comprehend might charge per 100 characters processed for text analysis or per document for specific tasks like entity recognition. Transcribe charges per second of audio processed. Each service has its own specific pricing unit, designed to reflect the resource consumption of that particular AI task.</w:t>
      </w:r>
    </w:p>
    <w:p>
      <w:pPr>
        <w:pStyle w:val="BodyText"/>
      </w:pPr>
      <w:r>
        <w:t xml:space="preserve">Microsoft Azure AI services similarly offer a comprehensive portfolio, including Azure AI Language, Azure AI Vision, and Azure AI Speech. Azure AI Language services, which encompass capabilities like sentiment analysis, key phrase extraction, and language detection, are often priced based on the number of text records processed, with different pricing tiers depending on the volume of usage (Satapathi, 2025). Azure AI Vision charges per image transaction for tasks such as object detection or optical character recognition. Azure AI Speech charges per second of audio processed for speech-to-text or text-to-speech functionalities. These services often incorporate free tiers for initial exploration or low-volume usage, transitioning to paid tiers as consumption increases, thereby lowering the barrier to entry for new users (Seufert, 2014).</w:t>
      </w:r>
    </w:p>
    <w:p>
      <w:pPr>
        <w:pStyle w:val="BodyText"/>
      </w:pPr>
      <w:r>
        <w:t xml:space="preserve">Google Cloud Platform, with its Vertex AI platform, provides a unified environment for building, deploying, and scaling machine learning models. Its pre-trained AI services, such as Vision AI, Natural Language AI, and Translation AI, also follow a consumption-based model. Vision AI, for instance, charges per image for tasks like label detection or facial recognition. The pricing can also be influenced by the complexity of the model, with custom models often incurring charges based on training hours, prediction requests, or the amount of data processed. The flexibility of these models allows businesses to leverage powerful AI capabilities without the prohibitive costs associated with developing and maintaining such systems in-house.</w:t>
      </w:r>
    </w:p>
    <w:p>
      <w:pPr>
        <w:pStyle w:val="Heading3"/>
      </w:pPr>
      <w:bookmarkStart w:id="31" w:name="economic-rationales-and-user-impact"/>
      <w:r>
        <w:t xml:space="preserve">Economic Rationales and User Impact</w:t>
      </w:r>
      <w:bookmarkEnd w:id="31"/>
    </w:p>
    <w:p>
      <w:pPr>
        <w:pStyle w:val="FirstParagraph"/>
      </w:pPr>
      <w:r>
        <w:t xml:space="preserve">The economic rationale behind usage-based pricing for cloud AI services is compelling. For users, it significantly lowers the entry barrier to advanced AI technologies. Startups and small businesses can access enterprise-grade AI capabilities without substantial upfront investments, paying only for what they use. This model also allows for optimal cost management, as expenses directly track with actual business activity. During periods of high demand, resources can be scaled up seamlessly, and during lulls, they can be scaled down, preventing wasteful expenditure. This flexibility is particularly valuable in dynamic markets where demand for AI services can fluctuate dramatically. Furthermore, the pay-per-use model encourages innovation, as developers can experiment with different AI services and models without long-term financial commitments, fostering a culture of rapid prototyping and deployment.</w:t>
      </w:r>
    </w:p>
    <w:p>
      <w:pPr>
        <w:pStyle w:val="BodyText"/>
      </w:pPr>
      <w:r>
        <w:t xml:space="preserve">However, usage-based pricing is not without its challenges. One of the primary difficulties for users is cost unpredictability. While the per-unit price might be clear, forecasting the exact volume of API calls, data processed, or compute hours required for a given application can be complex, leading to unexpected monthly bills. This unpredictability can be a significant concern for budget-conscious organizations. Another challenge is the potential for vendor lock-in. Once an organization integrates its systems deeply with a specific cloud provider’s AI services, migrating to another provider can be technically challenging and costly, potentially limiting competitive leverage. The complexity of billing, with numerous micro-charges for different services and metrics, can also make cost reconciliation and optimization a daunting task. The need for tools and strategies for pricing optimization using predictive analytics (Niharika et al., 2024) becomes evident in this context, helping businesses better estimate and manage their cloud AI expenditures. Moreover, concerns about excessive pricing in these new, rapidly evolving markets (Ayata, 2020) highlight the need for careful regulatory oversight and competitive market dynamics to protect consumers.</w:t>
      </w:r>
    </w:p>
    <w:p>
      <w:pPr>
        <w:pStyle w:val="Heading3"/>
      </w:pPr>
      <w:bookmarkStart w:id="32" w:name="research-into-optimization-and-fairness"/>
      <w:r>
        <w:t xml:space="preserve">Research into Optimization and Fairness</w:t>
      </w:r>
      <w:bookmarkEnd w:id="32"/>
    </w:p>
    <w:p>
      <w:pPr>
        <w:pStyle w:val="FirstParagraph"/>
      </w:pPr>
      <w:r>
        <w:t xml:space="preserve">Research in usage-based pricing for AI services focuses on improving predictability, optimizing costs, and ensuring fairness. Predictive analytics plays a crucial role in helping users forecast their AI consumption and associated costs, enabling better budget planning (Niharika et al., 2024). By analyzing historical usage patterns and business drivers, machine learning models can estimate future consumption, providing users with greater financial control. This is particularly relevant for dynamic pricing scenarios, such as those seen in automotive aftermarkets, where edge-cloud AI can be leveraged to adjust prices in real-time based on demand and other factors (Bhuram, 2025).</w:t>
      </w:r>
    </w:p>
    <w:p>
      <w:pPr>
        <w:pStyle w:val="BodyText"/>
      </w:pPr>
      <w:r>
        <w:t xml:space="preserve">Another area of research involves ensuring transparency and audibility of data usage, especially when AI services process sensitive information. Blockchain-based data usage auditing (BDUA) systems, for instance, aim to provide immutable records of how data is accessed and utilized by AI services, enhancing trust and compliance (Kaaniche &amp; Laurent, 2018). This addresses concerns related to data privacy and the ethical use of AI, which are central to the broader discourse on digital platforms (Mirghaderi et al., 2023). The discussion around excessive pricing (Ayata, 2020) is also pertinent, as the rapid growth of the AI services market could lead to dominant players exercising undue pricing power. Research into competitive dynamics and regulatory frameworks is essential to prevent anti-competitive practices and ensure fair access to AI technologies. Furthermore, the strategic analysis of product selling versus pay-per-use services (Ladas et al., 2019) continues to inform how businesses structure their offerings, weighing the benefits of recurring revenue against the flexibility demanded by modern digital consumers.</w:t>
      </w:r>
    </w:p>
    <w:p>
      <w:pPr>
        <w:pStyle w:val="Heading2"/>
      </w:pPr>
      <w:bookmarkStart w:id="33" w:name="X24c020b69afa8f33bb9de736178f1ae91688fc6"/>
      <w:r>
        <w:t xml:space="preserve">Value-Based Pricing Theory and its Application to AI</w:t>
      </w:r>
      <w:bookmarkEnd w:id="33"/>
    </w:p>
    <w:p>
      <w:pPr>
        <w:pStyle w:val="FirstParagraph"/>
      </w:pPr>
      <w:r>
        <w:t xml:space="preserve">While token-based and usage-based models focus on the cost of provision or the volume of consumption, value-based pricing shifts the focus entirely to the perceived or actual value that an AI service delivers to the customer. This paradigm is theoretically appealing for advanced AI capabilities, as it seeks to capture a portion of the economic benefits generated by the AI, rather than merely recouping its operational costs. However, its practical implementation for AI presents unique challenges.</w:t>
      </w:r>
    </w:p>
    <w:p>
      <w:pPr>
        <w:pStyle w:val="Heading3"/>
      </w:pPr>
      <w:bookmarkStart w:id="34" w:name="core-principles-of-value-based-pricing"/>
      <w:r>
        <w:t xml:space="preserve">Core Principles of Value-Based Pricing</w:t>
      </w:r>
      <w:bookmarkEnd w:id="34"/>
    </w:p>
    <w:p>
      <w:pPr>
        <w:pStyle w:val="FirstParagraph"/>
      </w:pPr>
      <w:r>
        <w:t xml:space="preserve">Value-based pricing is a strategic pricing approach where the price of a product or service is determined primarily by the customer’s perceived value of that product or service, rather than by the seller’s cost or by competitors’ prices. This stands in stark contrast to cost-plus pricing (adding a markup to production costs) and competitor-based pricing (setting prices relative to rivals). The fundamental idea is to understand what value customers place on the benefits they receive and to price accordingly. This requires a deep understanding of customer needs, preferences, and their willingness to pay for specific outcomes or solutions. Effective value-based pricing often involves market research, customer segmentation, and a clear articulation of the unique benefits offered. For instance, a customer might be willing to pay a premium for an AI service that guarantees a specific increase in efficiency, a reduction in errors, or access to unprecedented insights, because the economic impact of these benefits far outweighs the cost of the AI service itself (Maguire, 2021).</w:t>
      </w:r>
    </w:p>
    <w:p>
      <w:pPr>
        <w:pStyle w:val="BodyText"/>
      </w:pPr>
      <w:r>
        <w:t xml:space="preserve">The success of value-based pricing hinges on the ability to clearly define, communicate, and, ideally, quantify the value proposition. This involves identifying the key problems the AI solves for the customer, the tangible and intangible benefits it provides, and how these benefits translate into measurable improvements in the customer’s business or life. Customer segmentation is also critical, as different customer groups will derive different levels of value from the same AI service and thus have varying willingness to pay. A small startup might value a cost-saving AI tool differently than a large enterprise seeking competitive advantage through AI-driven innovation.</w:t>
      </w:r>
    </w:p>
    <w:p>
      <w:pPr>
        <w:pStyle w:val="Heading3"/>
      </w:pPr>
      <w:bookmarkStart w:id="35" w:name="X8cab0e47cf74d2a8137eda2d280c1f25d4ff8a0"/>
      <w:r>
        <w:t xml:space="preserve">Value Creation and Capture in AI Services</w:t>
      </w:r>
      <w:bookmarkEnd w:id="35"/>
    </w:p>
    <w:p>
      <w:pPr>
        <w:pStyle w:val="FirstParagraph"/>
      </w:pPr>
      <w:r>
        <w:t xml:space="preserve">AI services excel at creating value in numerous ways, transforming business processes, generating novel insights, and enabling entirely new capabilities. AI can significantly enhance efficiency through automation, reduce human error, optimize resource allocation, and personalize customer experiences. For example, an AI-powered fraud detection system can save financial institutions millions by preventing fraudulent transactions, or an</w:t>
      </w:r>
      <w:r>
        <w:t xml:space="preserve"> </w:t>
      </w:r>
      <w:r>
        <w:t xml:space="preserve">“</w:t>
      </w:r>
      <w:r>
        <w:t xml:space="preserve">AI-driven predictive maintenance system can prevent costly equipment failures in manufacturing. The value generated often extends beyond direct cost savings to include enhanced decision-making, improved customer satisfaction, and the creation of new revenue streams. The concept of</w:t>
      </w:r>
      <w:r>
        <w:t xml:space="preserve">”</w:t>
      </w:r>
      <w:r>
        <w:t xml:space="preserve">value creation and value capture" is particularly relevant in the context of AI, as it explores how new economic value is generated by AI technologies and how different stakeholders (developers, users, society) appropriate that value (Lorente, 2025).</w:t>
      </w:r>
    </w:p>
    <w:p>
      <w:pPr>
        <w:pStyle w:val="BodyText"/>
      </w:pPr>
      <w:r>
        <w:t xml:space="preserve">However, quantifying AI-driven value presents significant challenges. The benefits of AI can be intangible, long-term, or difficult to isolate from other factors. For instance, how does one precisely measure the value of an AI that improves customer engagement or fosters innovation? The</w:t>
      </w:r>
      <w:r>
        <w:t xml:space="preserve"> </w:t>
      </w:r>
      <w:r>
        <w:t xml:space="preserve">“</w:t>
      </w:r>
      <w:r>
        <w:t xml:space="preserve">black box</w:t>
      </w:r>
      <w:r>
        <w:t xml:space="preserve">”</w:t>
      </w:r>
      <w:r>
        <w:t xml:space="preserve"> </w:t>
      </w:r>
      <w:r>
        <w:t xml:space="preserve">nature of some advanced AI models can also make it difficult to attribute specific outcomes directly to the AI’s contribution, complicating value measurement. Furthermore, the value of AI can evolve over time as models improve, data accumulates, and user adoption grows. The Triple Helix Model, which examines the interactions between university, industry, and government, offers a framework for understanding how value is created and captured in AI ecosystems, emphasizing collaboration and knowledge transfer (Lorente, 2025). This model highlights the complex interplay of research, commercialization, and policy in shaping the economic value of AI.</w:t>
      </w:r>
    </w:p>
    <w:p>
      <w:pPr>
        <w:pStyle w:val="Heading3"/>
      </w:pPr>
      <w:bookmarkStart w:id="36" w:name="X7ac1faad1baade12ef30cb03c623e72e72c3079"/>
      <w:r>
        <w:t xml:space="preserve">Strategic Implementation of Value-Based Pricing for AI</w:t>
      </w:r>
      <w:bookmarkEnd w:id="36"/>
    </w:p>
    <w:p>
      <w:pPr>
        <w:pStyle w:val="FirstParagraph"/>
      </w:pPr>
      <w:r>
        <w:t xml:space="preserve">Implementing value-based pricing for AI services requires a strategic approach focused on identifying and quantifying key value drivers. This begins with a deep dive into the customer’s business model and pain points. For an AI service, value drivers could include:</w:t>
      </w:r>
      <w:r>
        <w:t xml:space="preserve"> </w:t>
      </w:r>
      <w:r>
        <w:t xml:space="preserve">*</w:t>
      </w:r>
      <w:r>
        <w:t xml:space="preserve"> </w:t>
      </w:r>
      <w:r>
        <w:rPr>
          <w:b/>
        </w:rPr>
        <w:t xml:space="preserve">Accuracy:</w:t>
      </w:r>
      <w:r>
        <w:t xml:space="preserve"> </w:t>
      </w:r>
      <w:r>
        <w:t xml:space="preserve">For tasks like medical diagnosis or financial forecasting.</w:t>
      </w:r>
      <w:r>
        <w:t xml:space="preserve"> </w:t>
      </w:r>
      <w:r>
        <w:t xml:space="preserve">*</w:t>
      </w:r>
      <w:r>
        <w:t xml:space="preserve"> </w:t>
      </w:r>
      <w:r>
        <w:rPr>
          <w:b/>
        </w:rPr>
        <w:t xml:space="preserve">Speed:</w:t>
      </w:r>
      <w:r>
        <w:t xml:space="preserve"> </w:t>
      </w:r>
      <w:r>
        <w:t xml:space="preserve">For real-time decision-making or rapid content generation.</w:t>
      </w:r>
      <w:r>
        <w:t xml:space="preserve"> </w:t>
      </w:r>
      <w:r>
        <w:t xml:space="preserve">*</w:t>
      </w:r>
      <w:r>
        <w:t xml:space="preserve"> </w:t>
      </w:r>
      <w:r>
        <w:rPr>
          <w:b/>
        </w:rPr>
        <w:t xml:space="preserve">Customization:</w:t>
      </w:r>
      <w:r>
        <w:t xml:space="preserve"> </w:t>
      </w:r>
      <w:r>
        <w:t xml:space="preserve">The ability of the AI to adapt to specific user needs or data.</w:t>
      </w:r>
      <w:r>
        <w:t xml:space="preserve"> </w:t>
      </w:r>
      <w:r>
        <w:t xml:space="preserve">*</w:t>
      </w:r>
      <w:r>
        <w:t xml:space="preserve"> </w:t>
      </w:r>
      <w:r>
        <w:rPr>
          <w:b/>
        </w:rPr>
        <w:t xml:space="preserve">Scalability:</w:t>
      </w:r>
      <w:r>
        <w:t xml:space="preserve"> </w:t>
      </w:r>
      <w:r>
        <w:t xml:space="preserve">The AI’s capacity to handle increasing volumes of data or users.</w:t>
      </w:r>
      <w:r>
        <w:t xml:space="preserve"> </w:t>
      </w:r>
      <w:r>
        <w:t xml:space="preserve">*</w:t>
      </w:r>
      <w:r>
        <w:t xml:space="preserve"> </w:t>
      </w:r>
      <w:r>
        <w:rPr>
          <w:b/>
        </w:rPr>
        <w:t xml:space="preserve">Competitive Advantage:</w:t>
      </w:r>
      <w:r>
        <w:t xml:space="preserve"> </w:t>
      </w:r>
      <w:r>
        <w:t xml:space="preserve">The unique insights or capabilities the AI provides that differentiate a business.</w:t>
      </w:r>
    </w:p>
    <w:p>
      <w:pPr>
        <w:pStyle w:val="BodyText"/>
      </w:pPr>
      <w:r>
        <w:t xml:space="preserve">Consider an AI service designed for fraud detection. Its value is directly proportional to the amount of fraud it prevents, which can be quantified in monetary terms. A cybersecurity AI agent that accurately detects phishing attempts (Trad &amp; Chehab, 2024) provides immense value by preventing data breaches and financial losses. In such cases, the pricing can be structured as a percentage of the savings generated or a fixed fee based on the projected value delivered. The practice of</w:t>
      </w:r>
      <w:r>
        <w:t xml:space="preserve"> </w:t>
      </w:r>
      <w:r>
        <w:t xml:space="preserve">“</w:t>
      </w:r>
      <w:r>
        <w:t xml:space="preserve">value selling</w:t>
      </w:r>
      <w:r>
        <w:t xml:space="preserve">”</w:t>
      </w:r>
      <w:r>
        <w:t xml:space="preserve"> </w:t>
      </w:r>
      <w:r>
        <w:t xml:space="preserve">(Maguire, 2021) becomes paramount, where sales teams focus on demonstrating the tangible return on investment (ROI) that the AI service provides, rather than merely listing its features. This often involves developing detailed business cases, ROI calculators, and pilot projects to showcase the AI’s impact. Dynamic pricing, particularly in specialized markets, can leverage AI itself to optimize pricing based on real-time value perception and demand (Bhuram, 2025).</w:t>
      </w:r>
    </w:p>
    <w:p>
      <w:pPr>
        <w:pStyle w:val="BodyText"/>
      </w:pPr>
      <w:r>
        <w:t xml:space="preserve">The impact of human-like competencies on user experience (Fang &amp; Zhou, 2025) also plays a role in perceived value. AI systems that exhibit empathy, understanding, or natural conversational abilities may be perceived as more valuable, commanding higher prices, especially in customer-facing applications. This psychological aspect underscores that value is not purely rational but also influenced by user perception and interaction quality (Siddannavar et al., 2025).</w:t>
      </w:r>
    </w:p>
    <w:p>
      <w:pPr>
        <w:pStyle w:val="Heading3"/>
      </w:pPr>
      <w:bookmarkStart w:id="37" w:name="ethical-and-equity-considerations"/>
      <w:r>
        <w:t xml:space="preserve">Ethical and Equity Considerations</w:t>
      </w:r>
      <w:bookmarkEnd w:id="37"/>
    </w:p>
    <w:p>
      <w:pPr>
        <w:pStyle w:val="FirstParagraph"/>
      </w:pPr>
      <w:r>
        <w:t xml:space="preserve">The application of value-based pricing to AI services raises significant ethical and equity concerns. If pricing is based on the maximum willingness to pay, it can lead to discriminatory pricing, where different customers pay vastly different prices for the same service based on their perceived ability to benefit or their financial capacity. This can exacerbate existing inequalities, limiting access to powerful AI tools for smaller businesses or individuals who could benefit most but cannot afford the premium price. The ethical considerations around transparency and fairness in digital platforms (Mirghaderi et al., 2023) are particularly acute in this context.</w:t>
      </w:r>
    </w:p>
    <w:p>
      <w:pPr>
        <w:pStyle w:val="BodyText"/>
      </w:pPr>
      <w:r>
        <w:t xml:space="preserve">Ensuring fair value distribution is a critical challenge. While providers aim to capture a portion of the value they create, there must be mechanisms to prevent excessive pricing (Ayata, 2020) that could stifle innovation or create monopolies. This involves considering the societal impact of AI and ensuring that its benefits are broadly accessible. Furthermore, if AI models are trained on user data, the question of who owns the value derived from that data becomes complex. Users contribute to the AI’s improvement through their interactions, which in turn enhances the AI’s value proposition. Ethical frameworks must address these issues, balancing the commercial interests of AI providers with the rights and contributions of users. The psychological factors affecting customer lifetime value (Siddannavar et al., 2025) also tie into this, as perceptions of fairness and trust can significantly influence long-term customer relationships and market acceptance.</w:t>
      </w:r>
    </w:p>
    <w:p>
      <w:pPr>
        <w:pStyle w:val="Heading2"/>
      </w:pPr>
      <w:bookmarkStart w:id="38" w:name="Xf096e95d0b70b4c47022c12d7eaf61a9d139b4d"/>
      <w:r>
        <w:t xml:space="preserve">Comparative Analysis of AI Pricing Models</w:t>
      </w:r>
      <w:bookmarkEnd w:id="38"/>
    </w:p>
    <w:p>
      <w:pPr>
        <w:pStyle w:val="FirstParagraph"/>
      </w:pPr>
      <w:r>
        <w:t xml:space="preserve">The preceding sections have elaborated on token-based, usage-based, and value-based pricing models for AI services. While each model offers distinct advantages and caters to specific aspects of AI monetization, a comparative analysis reveals their inherent trade-offs, illuminates the emergence of hybrid strategies, and highlights their collective impact on market dynamics and future trends. Understanding these distinctions is crucial for both AI providers seeking sustainable revenue and consumers aiming for cost-effective AI adoption.</w:t>
      </w:r>
    </w:p>
    <w:p>
      <w:pPr>
        <w:pStyle w:val="BodyText"/>
      </w:pPr>
      <w:r>
        <w:t xml:space="preserve">To provide a concise overview of the strengths, weaknesses, and key characteristics of the primary AI pricing paradigms, the following table summarizes their core attributes.</w:t>
      </w:r>
    </w:p>
    <w:p>
      <w:pPr>
        <w:pStyle w:val="BodyText"/>
      </w:pPr>
      <w:r>
        <w:rPr>
          <w:b/>
        </w:rPr>
        <w:t xml:space="preserve">Table 1: Comparative Attributes of AI Pricing Models</w:t>
      </w:r>
    </w:p>
    <w:tbl>
      <w:tblPr>
        <w:tblStyle w:val="Table"/>
        <w:tblW w:type="pct" w:w="5000.0"/>
        <w:tblLook w:firstRow="1"/>
      </w:tblPr>
      <w:tblGrid>
        <w:gridCol w:w="1433"/>
        <w:gridCol w:w="2184"/>
        <w:gridCol w:w="2184"/>
        <w:gridCol w:w="2116"/>
      </w:tblGrid>
      <w:tr>
        <w:trPr>
          <w:cnfStyle w:firstRow="1"/>
        </w:trPr>
        <w:tc>
          <w:tcPr>
            <w:tcBorders>
              <w:bottom w:val="single"/>
            </w:tcBorders>
            <w:vAlign w:val="bottom"/>
          </w:tcPr>
          <w:p>
            <w:pPr>
              <w:pStyle w:val="Compact"/>
              <w:jc w:val="left"/>
            </w:pPr>
            <w:r>
              <w:t xml:space="preserve">Attribute</w:t>
            </w:r>
          </w:p>
        </w:tc>
        <w:tc>
          <w:tcPr>
            <w:tcBorders>
              <w:bottom w:val="single"/>
            </w:tcBorders>
            <w:vAlign w:val="bottom"/>
          </w:tcPr>
          <w:p>
            <w:pPr>
              <w:pStyle w:val="Compact"/>
              <w:jc w:val="left"/>
            </w:pPr>
            <w:r>
              <w:t xml:space="preserve">Token-Based Pricing</w:t>
            </w:r>
          </w:p>
        </w:tc>
        <w:tc>
          <w:tcPr>
            <w:tcBorders>
              <w:bottom w:val="single"/>
            </w:tcBorders>
            <w:vAlign w:val="bottom"/>
          </w:tcPr>
          <w:p>
            <w:pPr>
              <w:pStyle w:val="Compact"/>
              <w:jc w:val="left"/>
            </w:pPr>
            <w:r>
              <w:t xml:space="preserve">Usage-Based Pricing</w:t>
            </w:r>
          </w:p>
        </w:tc>
        <w:tc>
          <w:tcPr>
            <w:tcBorders>
              <w:bottom w:val="single"/>
            </w:tcBorders>
            <w:vAlign w:val="bottom"/>
          </w:tcPr>
          <w:p>
            <w:pPr>
              <w:pStyle w:val="Compact"/>
              <w:jc w:val="left"/>
            </w:pPr>
            <w:r>
              <w:t xml:space="preserve">Value-Based Pricing</w:t>
            </w:r>
          </w:p>
        </w:tc>
      </w:tr>
      <w:tr>
        <w:tc>
          <w:p>
            <w:pPr>
              <w:pStyle w:val="Compact"/>
              <w:jc w:val="left"/>
            </w:pPr>
            <w:r>
              <w:rPr>
                <w:b/>
              </w:rPr>
              <w:t xml:space="preserve">Primary Focus</w:t>
            </w:r>
          </w:p>
        </w:tc>
        <w:tc>
          <w:p>
            <w:pPr>
              <w:pStyle w:val="Compact"/>
              <w:jc w:val="left"/>
            </w:pPr>
            <w:r>
              <w:t xml:space="preserve">Computational Effort / Units</w:t>
            </w:r>
          </w:p>
        </w:tc>
        <w:tc>
          <w:p>
            <w:pPr>
              <w:pStyle w:val="Compact"/>
              <w:jc w:val="left"/>
            </w:pPr>
            <w:r>
              <w:t xml:space="preserve">Resource Consumption</w:t>
            </w:r>
          </w:p>
        </w:tc>
        <w:tc>
          <w:p>
            <w:pPr>
              <w:pStyle w:val="Compact"/>
              <w:jc w:val="left"/>
            </w:pPr>
            <w:r>
              <w:t xml:space="preserve">Customer Outcome / Benefits</w:t>
            </w:r>
          </w:p>
        </w:tc>
      </w:tr>
      <w:tr>
        <w:tc>
          <w:p>
            <w:pPr>
              <w:pStyle w:val="Compact"/>
              <w:jc w:val="left"/>
            </w:pPr>
            <w:r>
              <w:rPr>
                <w:b/>
              </w:rPr>
              <w:t xml:space="preserve">Key Metric(s)</w:t>
            </w:r>
          </w:p>
        </w:tc>
        <w:tc>
          <w:p>
            <w:pPr>
              <w:pStyle w:val="Compact"/>
              <w:jc w:val="left"/>
            </w:pPr>
            <w:r>
              <w:t xml:space="preserve">Tokens (input/output)</w:t>
            </w:r>
          </w:p>
        </w:tc>
        <w:tc>
          <w:p>
            <w:pPr>
              <w:pStyle w:val="Compact"/>
              <w:jc w:val="left"/>
            </w:pPr>
            <w:r>
              <w:t xml:space="preserve">API Calls, Data Volume, Compute</w:t>
            </w:r>
          </w:p>
        </w:tc>
        <w:tc>
          <w:p>
            <w:pPr>
              <w:pStyle w:val="Compact"/>
              <w:jc w:val="left"/>
            </w:pPr>
            <w:r>
              <w:t xml:space="preserve">ROI, Savings, Efficiency Gain</w:t>
            </w:r>
          </w:p>
        </w:tc>
      </w:tr>
      <w:tr>
        <w:tc>
          <w:p>
            <w:pPr>
              <w:pStyle w:val="Compact"/>
              <w:jc w:val="left"/>
            </w:pPr>
            <w:r>
              <w:rPr>
                <w:b/>
              </w:rPr>
              <w:t xml:space="preserve">Provider Benefit</w:t>
            </w:r>
          </w:p>
        </w:tc>
        <w:tc>
          <w:p>
            <w:pPr>
              <w:pStyle w:val="Compact"/>
              <w:jc w:val="left"/>
            </w:pPr>
            <w:r>
              <w:t xml:space="preserve">Granular Cost Alignment, Scalable</w:t>
            </w:r>
          </w:p>
        </w:tc>
        <w:tc>
          <w:p>
            <w:pPr>
              <w:pStyle w:val="Compact"/>
              <w:jc w:val="left"/>
            </w:pPr>
            <w:r>
              <w:t xml:space="preserve">Flexible Revenue, Low Entry Barrier</w:t>
            </w:r>
          </w:p>
        </w:tc>
        <w:tc>
          <w:p>
            <w:pPr>
              <w:pStyle w:val="Compact"/>
              <w:jc w:val="left"/>
            </w:pPr>
            <w:r>
              <w:t xml:space="preserve">High Profit Margins, Innovation</w:t>
            </w:r>
          </w:p>
        </w:tc>
      </w:tr>
      <w:tr>
        <w:tc>
          <w:p>
            <w:pPr>
              <w:pStyle w:val="Compact"/>
              <w:jc w:val="left"/>
            </w:pPr>
            <w:r>
              <w:rPr>
                <w:b/>
              </w:rPr>
              <w:t xml:space="preserve">User Benefit</w:t>
            </w:r>
          </w:p>
        </w:tc>
        <w:tc>
          <w:p>
            <w:pPr>
              <w:pStyle w:val="Compact"/>
              <w:jc w:val="left"/>
            </w:pPr>
            <w:r>
              <w:t xml:space="preserve">Pay-as-you-go (granular)</w:t>
            </w:r>
          </w:p>
        </w:tc>
        <w:tc>
          <w:p>
            <w:pPr>
              <w:pStyle w:val="Compact"/>
              <w:jc w:val="left"/>
            </w:pPr>
            <w:r>
              <w:t xml:space="preserve">Pay-as-you-go (flexible)</w:t>
            </w:r>
          </w:p>
        </w:tc>
        <w:tc>
          <w:p>
            <w:pPr>
              <w:pStyle w:val="Compact"/>
              <w:jc w:val="left"/>
            </w:pPr>
            <w:r>
              <w:t xml:space="preserve">Clear ROI, Aligned Incentives</w:t>
            </w:r>
          </w:p>
        </w:tc>
      </w:tr>
      <w:tr>
        <w:tc>
          <w:p>
            <w:pPr>
              <w:pStyle w:val="Compact"/>
              <w:jc w:val="left"/>
            </w:pPr>
            <w:r>
              <w:rPr>
                <w:b/>
              </w:rPr>
              <w:t xml:space="preserve">Main Challenge</w:t>
            </w:r>
          </w:p>
        </w:tc>
        <w:tc>
          <w:p>
            <w:pPr>
              <w:pStyle w:val="Compact"/>
              <w:jc w:val="left"/>
            </w:pPr>
            <w:r>
              <w:t xml:space="preserve">Opacity, Cost Predictability</w:t>
            </w:r>
          </w:p>
        </w:tc>
        <w:tc>
          <w:p>
            <w:pPr>
              <w:pStyle w:val="Compact"/>
              <w:jc w:val="left"/>
            </w:pPr>
            <w:r>
              <w:t xml:space="preserve">Cost Unpredictability, Complexity</w:t>
            </w:r>
          </w:p>
        </w:tc>
        <w:tc>
          <w:p>
            <w:pPr>
              <w:pStyle w:val="Compact"/>
              <w:jc w:val="left"/>
            </w:pPr>
            <w:r>
              <w:t xml:space="preserve">Value Quantification, Negotiation</w:t>
            </w:r>
          </w:p>
        </w:tc>
      </w:tr>
      <w:tr>
        <w:tc>
          <w:p>
            <w:pPr>
              <w:pStyle w:val="Compact"/>
              <w:jc w:val="left"/>
            </w:pPr>
            <w:r>
              <w:rPr>
                <w:b/>
              </w:rPr>
              <w:t xml:space="preserve">Ethical Concerns</w:t>
            </w:r>
          </w:p>
        </w:tc>
        <w:tc>
          <w:p>
            <w:pPr>
              <w:pStyle w:val="Compact"/>
              <w:jc w:val="left"/>
            </w:pPr>
            <w:r>
              <w:t xml:space="preserve">Hallucinations, Transparency</w:t>
            </w:r>
          </w:p>
        </w:tc>
        <w:tc>
          <w:p>
            <w:pPr>
              <w:pStyle w:val="Compact"/>
              <w:jc w:val="left"/>
            </w:pPr>
            <w:r>
              <w:t xml:space="preserve">Vendor Lock-in, Billing Opacity</w:t>
            </w:r>
          </w:p>
        </w:tc>
        <w:tc>
          <w:p>
            <w:pPr>
              <w:pStyle w:val="Compact"/>
              <w:jc w:val="left"/>
            </w:pPr>
            <w:r>
              <w:t xml:space="preserve">Discrimination, Accessibility</w:t>
            </w:r>
          </w:p>
        </w:tc>
      </w:tr>
      <w:tr>
        <w:tc>
          <w:p>
            <w:pPr>
              <w:pStyle w:val="Compact"/>
              <w:jc w:val="left"/>
            </w:pPr>
            <w:r>
              <w:rPr>
                <w:b/>
              </w:rPr>
              <w:t xml:space="preserve">Typical Use Case</w:t>
            </w:r>
          </w:p>
        </w:tc>
        <w:tc>
          <w:p>
            <w:pPr>
              <w:pStyle w:val="Compact"/>
              <w:jc w:val="left"/>
            </w:pPr>
            <w:r>
              <w:t xml:space="preserve">Generative LLMs (e.g., GPT, Claude)</w:t>
            </w:r>
          </w:p>
        </w:tc>
        <w:tc>
          <w:p>
            <w:pPr>
              <w:pStyle w:val="Compact"/>
              <w:jc w:val="left"/>
            </w:pPr>
            <w:r>
              <w:t xml:space="preserve">Cloud AI Services (e.g., Rekognition)</w:t>
            </w:r>
          </w:p>
        </w:tc>
        <w:tc>
          <w:p>
            <w:pPr>
              <w:pStyle w:val="Compact"/>
              <w:jc w:val="left"/>
            </w:pPr>
            <w:r>
              <w:t xml:space="preserve">Specialized Enterprise AI Solutions</w:t>
            </w:r>
          </w:p>
        </w:tc>
      </w:tr>
    </w:tbl>
    <w:p>
      <w:pPr>
        <w:pStyle w:val="BodyText"/>
      </w:pPr>
      <w:r>
        <w:rPr>
          <w:i/>
        </w:rPr>
        <w:t xml:space="preserve">Note: This table provides a simplified overview. Many real-world implementations involve hybrid approaches that combine elements from these core models.</w:t>
      </w:r>
    </w:p>
    <w:p>
      <w:pPr>
        <w:pStyle w:val="Heading3"/>
      </w:pPr>
      <w:bookmarkStart w:id="39" w:name="strengths-and-weaknesses-of-each-model"/>
      <w:r>
        <w:t xml:space="preserve">Strengths and Weaknesses of Each Model</w:t>
      </w:r>
      <w:bookmarkEnd w:id="39"/>
    </w:p>
    <w:p>
      <w:pPr>
        <w:pStyle w:val="FirstParagraph"/>
      </w:pPr>
      <w:r>
        <w:rPr>
          <w:b/>
        </w:rPr>
        <w:t xml:space="preserve">Token-Based Pricing:</w:t>
      </w:r>
      <w:r>
        <w:t xml:space="preserve"> </w:t>
      </w:r>
      <w:r>
        <w:t xml:space="preserve">*</w:t>
      </w:r>
      <w:r>
        <w:t xml:space="preserve"> </w:t>
      </w:r>
      <w:r>
        <w:rPr>
          <w:b/>
        </w:rPr>
        <w:t xml:space="preserve">Strengths:</w:t>
      </w:r>
      <w:r>
        <w:t xml:space="preserve"> </w:t>
      </w:r>
      <w:r>
        <w:t xml:space="preserve">Highly granular, directly links cost to computational resources, predictable for providers, scalable for generative AI. It offers a clear, albeit sometimes opaque, unit of consumption for LLMs, allowing for fine-grained control over model usage and resource allocation.</w:t>
      </w:r>
      <w:r>
        <w:t xml:space="preserve"> </w:t>
      </w:r>
      <w:r>
        <w:t xml:space="preserve">*</w:t>
      </w:r>
      <w:r>
        <w:t xml:space="preserve"> </w:t>
      </w:r>
      <w:r>
        <w:rPr>
          <w:b/>
        </w:rPr>
        <w:t xml:space="preserve">Weaknesses:</w:t>
      </w:r>
      <w:r>
        <w:t xml:space="preserve"> </w:t>
      </w:r>
      <w:r>
        <w:t xml:space="preserve">Opacity for users (difficulty in estimating costs), potential for</w:t>
      </w:r>
      <w:r>
        <w:t xml:space="preserve"> </w:t>
      </w:r>
      <w:r>
        <w:t xml:space="preserve">“</w:t>
      </w:r>
      <w:r>
        <w:t xml:space="preserve">token inflation,</w:t>
      </w:r>
      <w:r>
        <w:t xml:space="preserve">”</w:t>
      </w:r>
      <w:r>
        <w:t xml:space="preserve"> </w:t>
      </w:r>
      <w:r>
        <w:t xml:space="preserve">ethical concerns regarding charging for erroneous outputs (hallucinations), and lack of direct correlation with the actual</w:t>
      </w:r>
      <w:r>
        <w:t xml:space="preserve"> </w:t>
      </w:r>
      <w:r>
        <w:rPr>
          <w:i/>
        </w:rPr>
        <w:t xml:space="preserve">value</w:t>
      </w:r>
      <w:r>
        <w:t xml:space="preserve"> </w:t>
      </w:r>
      <w:r>
        <w:t xml:space="preserve">delivered to the user. The focus is on</w:t>
      </w:r>
      <w:r>
        <w:t xml:space="preserve"> </w:t>
      </w:r>
      <w:r>
        <w:rPr>
          <w:i/>
        </w:rPr>
        <w:t xml:space="preserve">process</w:t>
      </w:r>
      <w:r>
        <w:t xml:space="preserve"> </w:t>
      </w:r>
      <w:r>
        <w:t xml:space="preserve">rather than</w:t>
      </w:r>
      <w:r>
        <w:t xml:space="preserve"> </w:t>
      </w:r>
      <w:r>
        <w:rPr>
          <w:i/>
        </w:rPr>
        <w:t xml:space="preserve">outcome</w:t>
      </w:r>
      <w:r>
        <w:t xml:space="preserve">.</w:t>
      </w:r>
    </w:p>
    <w:p>
      <w:pPr>
        <w:pStyle w:val="BodyText"/>
      </w:pPr>
      <w:r>
        <w:rPr>
          <w:b/>
        </w:rPr>
        <w:t xml:space="preserve">Usage-Based Pricing:</w:t>
      </w:r>
      <w:r>
        <w:t xml:space="preserve"> </w:t>
      </w:r>
      <w:r>
        <w:t xml:space="preserve">*</w:t>
      </w:r>
      <w:r>
        <w:t xml:space="preserve"> </w:t>
      </w:r>
      <w:r>
        <w:rPr>
          <w:b/>
        </w:rPr>
        <w:t xml:space="preserve">Strengths:</w:t>
      </w:r>
      <w:r>
        <w:t xml:space="preserve"> </w:t>
      </w:r>
      <w:r>
        <w:t xml:space="preserve">Flexibility for users (pay-as-you-go), lower entry barriers, cost optimization for variable workloads, encourages experimentation. It aligns costs with actual consumption metrics like API calls, data volume, or compute time, which are more intuitive for many cloud-based AI services than abstract tokens.</w:t>
      </w:r>
      <w:r>
        <w:t xml:space="preserve"> </w:t>
      </w:r>
      <w:r>
        <w:t xml:space="preserve">*</w:t>
      </w:r>
      <w:r>
        <w:t xml:space="preserve"> </w:t>
      </w:r>
      <w:r>
        <w:rPr>
          <w:b/>
        </w:rPr>
        <w:t xml:space="preserve">Weaknesses:</w:t>
      </w:r>
      <w:r>
        <w:t xml:space="preserve"> </w:t>
      </w:r>
      <w:r>
        <w:t xml:space="preserve">Cost unpredictability for users, complex billing structures, potential for vendor lock-in, and still primarily focused on</w:t>
      </w:r>
      <w:r>
        <w:t xml:space="preserve"> </w:t>
      </w:r>
      <w:r>
        <w:rPr>
          <w:i/>
        </w:rPr>
        <w:t xml:space="preserve">consumption</w:t>
      </w:r>
      <w:r>
        <w:t xml:space="preserve"> </w:t>
      </w:r>
      <w:r>
        <w:t xml:space="preserve">rather than</w:t>
      </w:r>
      <w:r>
        <w:t xml:space="preserve"> </w:t>
      </w:r>
      <w:r>
        <w:rPr>
          <w:i/>
        </w:rPr>
        <w:t xml:space="preserve">value</w:t>
      </w:r>
      <w:r>
        <w:t xml:space="preserve">. While better than tokens for some services, it still doesn’t inherently account for the disparate value different users derive from the same unit of usage.</w:t>
      </w:r>
    </w:p>
    <w:p>
      <w:pPr>
        <w:pStyle w:val="BodyText"/>
      </w:pPr>
      <w:r>
        <w:rPr>
          <w:b/>
        </w:rPr>
        <w:t xml:space="preserve">Value-Based Pricing:</w:t>
      </w:r>
      <w:r>
        <w:t xml:space="preserve"> </w:t>
      </w:r>
      <w:r>
        <w:t xml:space="preserve">*</w:t>
      </w:r>
      <w:r>
        <w:t xml:space="preserve"> </w:t>
      </w:r>
      <w:r>
        <w:rPr>
          <w:b/>
        </w:rPr>
        <w:t xml:space="preserve">Strengths:</w:t>
      </w:r>
      <w:r>
        <w:t xml:space="preserve"> </w:t>
      </w:r>
      <w:r>
        <w:t xml:space="preserve">Customer-centric, aligns pricing with the actual economic benefits derived, potential for higher profit margins by capturing a share of the value created, encourages providers to focus on delivering measurable outcomes. It moves beyond operational costs to focus on the</w:t>
      </w:r>
      <w:r>
        <w:t xml:space="preserve"> </w:t>
      </w:r>
      <w:r>
        <w:rPr>
          <w:i/>
        </w:rPr>
        <w:t xml:space="preserve">impact</w:t>
      </w:r>
      <w:r>
        <w:t xml:space="preserve"> </w:t>
      </w:r>
      <w:r>
        <w:t xml:space="preserve">of the AI.</w:t>
      </w:r>
      <w:r>
        <w:t xml:space="preserve"> </w:t>
      </w:r>
      <w:r>
        <w:t xml:space="preserve">*</w:t>
      </w:r>
      <w:r>
        <w:t xml:space="preserve"> </w:t>
      </w:r>
      <w:r>
        <w:rPr>
          <w:b/>
        </w:rPr>
        <w:t xml:space="preserve">Weaknesses:</w:t>
      </w:r>
      <w:r>
        <w:t xml:space="preserve"> </w:t>
      </w:r>
      <w:r>
        <w:t xml:space="preserve">Difficulty in quantifying and communicating value, challenges in customer segmentation and willingness-to-pay assessment, potential for discriminatory pricing, and requires deep understanding of customer’s business. It is the most aspirational but also the most complex to implement consistently and fairly across a broad user base.</w:t>
      </w:r>
    </w:p>
    <w:p>
      <w:pPr>
        <w:pStyle w:val="BodyText"/>
      </w:pPr>
      <w:r>
        <w:t xml:space="preserve">The choice of model often depends on the specific AI service, its target market, and the maturity of the technology. Generative AI, with its distinct processing units, naturally gravitated towards tokens. Cloud AI services, building on existing cloud billing paradigms, adopted usage-based metrics. Value-based pricing remains the ideal for highly specialized, high-impact AI solutions where ROI can be clearly demonstrated.</w:t>
      </w:r>
    </w:p>
    <w:p>
      <w:pPr>
        <w:pStyle w:val="Heading3"/>
      </w:pPr>
      <w:bookmarkStart w:id="40" w:name="hybrid-pricing-strategies"/>
      <w:r>
        <w:t xml:space="preserve">Hybrid Pricing Strategies</w:t>
      </w:r>
      <w:bookmarkEnd w:id="40"/>
    </w:p>
    <w:p>
      <w:pPr>
        <w:pStyle w:val="FirstParagraph"/>
      </w:pPr>
      <w:r>
        <w:t xml:space="preserve">Recognizing the limitations of pure pricing models, many AI providers are increasingly adopting hybrid strategies that combine elements from two or more approaches. These hybrid models aim to leverage the strengths of each while mitigating their weaknesses, offering a more balanced and appealing proposition to customers.</w:t>
      </w:r>
    </w:p>
    <w:p>
      <w:pPr>
        <w:pStyle w:val="BodyText"/>
      </w:pPr>
      <w:r>
        <w:t xml:space="preserve">A common hybrid approach combines a base subscription fee with usage-based or token-based tiers. For instance, an AI platform might offer a fixed monthly fee for a certain volume of API calls or tokens, with additional usage billed at a per-unit rate. This provides users with a predictable baseline cost while allowing for scalability during peak demand. The freemium model (Seufert, 2014), where basic AI functionalities are offered for free to attract a large user base, with advanced features or higher usage limits requiring a paid subscription, is another popular hybrid strategy. This allows users to experience the value of the AI before committing financially, converting free users into paying customers once they recognize the benefits. Analytics capabilities are crucial for optimizing these freemium models, identifying conversion points and understanding user behavior (Seufert, 2014).</w:t>
      </w:r>
    </w:p>
    <w:p>
      <w:pPr>
        <w:pStyle w:val="BodyText"/>
      </w:pPr>
      <w:r>
        <w:t xml:space="preserve">Dynamic pricing, often powered by AI itself, represents a sophisticated hybrid strategy. In sectors like automotive aftermarkets, edge-cloud AI can enable real-time price adjustments based on demand, supply, competitor pricing, and even individual customer profiles (Bhuram, 2025). This allows providers to optimize revenue and market penetration by dynamically reflecting perceived value and market conditions. Similarly, AI agents in economic research (Korinek, 2025) can be deployed to analyze market data and recommend optimal pricing strategies, blurring the lines between AI as a service and AI as a pricing mechanism. The strategic analysis of product selling versus pay-per-use services (Ladas et al., 2019) also informs hybrid models, where providers might offer both perpetual licenses for on-premise AI software and pay-as-you-go cloud services, catering to different customer preferences and operational requirements.</w:t>
      </w:r>
    </w:p>
    <w:p>
      <w:pPr>
        <w:pStyle w:val="Heading3"/>
      </w:pPr>
      <w:bookmarkStart w:id="41" w:name="X344a7073e7a979317b6ff50e4ed7a71c80141c9"/>
      <w:r>
        <w:t xml:space="preserve">Impact on Market Dynamics and Competition</w:t>
      </w:r>
      <w:bookmarkEnd w:id="41"/>
    </w:p>
    <w:p>
      <w:pPr>
        <w:pStyle w:val="FirstParagraph"/>
      </w:pPr>
      <w:r>
        <w:t xml:space="preserve">The chosen pricing model significantly influences market dynamics, competition, and innovation within the AI industry. Usage-based and token-based models, with their low entry barriers, can foster rapid adoption and innovation by allowing startups and individual developers to experiment with powerful AI tools without substantial upfront investment. This democratizes access to AI, potentially leading to a proliferation of new AI-powered applications. However, the complexity of managing costs and the potential for vendor lock-in can create disadvantages for smaller players if they become too reliant on a single provider’s ecosystem.</w:t>
      </w:r>
    </w:p>
    <w:p>
      <w:pPr>
        <w:pStyle w:val="BodyText"/>
      </w:pPr>
      <w:r>
        <w:t xml:space="preserve">Value-based pricing, while potentially lucrative for providers, can create higher barriers to entry for customers, especially if the perceived value is translated into a premium price. This could lead to a market where advanced, high-value AI is only accessible to well-resourced enterprises, potentially exacerbating the digital divide. The competitive landscape is also shaped by pricing transparency and fairness. Issues of ethics and transparency (Mirghaderi et al., 2023), as well as concerns about excessive pricing (Ayata, 2020), highlight the need for regulatory frameworks that ensure fair competition and prevent monopolistic practices. The adoption of new technologies, including AI, and their associated pricing strategies, as observed in industries like US airlines (Divakaruni &amp; Navarro, 2024), demonstrates how pricing can influence market structure and consumer choice.</w:t>
      </w:r>
    </w:p>
    <w:p>
      <w:pPr>
        <w:pStyle w:val="BodyText"/>
      </w:pPr>
      <w:r>
        <w:t xml:space="preserve">The ongoing evolution of AI technology, particularly the development of large multimodal agents (Trad &amp; Chehab, 2024) for diverse applications like phishing detection, further complicates pricing. These agents, capable of processing various data types, may require new, composite pricing metrics that account for multimodal processing costs and the integrated value they deliver. The continuous innovation in AI necessitates flexible and adaptive pricing models that can evolve with the technology.</w:t>
      </w:r>
    </w:p>
    <w:p>
      <w:pPr>
        <w:pStyle w:val="Heading3"/>
      </w:pPr>
      <w:bookmarkStart w:id="42" w:name="future-trends-and-unresolved-challenges"/>
      <w:r>
        <w:t xml:space="preserve">Future Trends and Unresolved Challenges</w:t>
      </w:r>
      <w:bookmarkEnd w:id="42"/>
    </w:p>
    <w:p>
      <w:pPr>
        <w:pStyle w:val="FirstParagraph"/>
      </w:pPr>
      <w:r>
        <w:t xml:space="preserve">The landscape of AI pricing is dynamic and continues to evolve, presenting several future trends and unresolved challenges. One significant trend is the increasing sophistication of AI-powered pricing optimization, where predictive analytics and machine learning are used to dynamically set and adjust prices based on real-time market conditions, demand forecasts, and customer behavior (Niharika et al., 2024)(Bhuram, 2025). This self-optimizing pricing could lead to more efficient markets but also raises concerns about algorithmic fairness and potential for manipulation.</w:t>
      </w:r>
    </w:p>
    <w:p>
      <w:pPr>
        <w:pStyle w:val="BodyText"/>
      </w:pPr>
      <w:r>
        <w:t xml:space="preserve">The ethical dimensions of AI pricing remain a critical challenge. Ensuring transparency in how AI services are priced, particularly for black-box models, and preventing discriminatory pricing based on user data or characteristics, are paramount for maintaining public trust and ensuring equitable access to AI (Mirghaderi et al., 2023). The discussion around</w:t>
      </w:r>
      <w:r>
        <w:t xml:space="preserve"> </w:t>
      </w:r>
      <w:r>
        <w:t xml:space="preserve">“</w:t>
      </w:r>
      <w:r>
        <w:t xml:space="preserve">green AI</w:t>
      </w:r>
      <w:r>
        <w:t xml:space="preserve">”</w:t>
      </w:r>
      <w:r>
        <w:t xml:space="preserve"> </w:t>
      </w:r>
      <w:r>
        <w:t xml:space="preserve">(Kshirsagar et al., 2021) suggests that future pricing models may need to incorporate environmental costs associated with the enormous energy consumption of training and running large AI models, adding another layer of complexity.</w:t>
      </w:r>
    </w:p>
    <w:p>
      <w:pPr>
        <w:pStyle w:val="BodyText"/>
      </w:pPr>
      <w:r>
        <w:t xml:space="preserve">Furthermore, the psychological factors influencing customer lifetime value (Siddannavar et al., 2025) will likely play a greater role in pricing strategies. Understanding how customers perceive value, trust, and fairness will be crucial for developing pricing models that foster long-term relationships rather than just maximizing short-term revenue. The impact of human-like competencies on user experience (Fang &amp; Zhou, 2025) also hints at a future where the emotional and relational value of AI might be factored into its price.</w:t>
      </w:r>
    </w:p>
    <w:p>
      <w:pPr>
        <w:pStyle w:val="BodyText"/>
      </w:pPr>
      <w:r>
        <w:t xml:space="preserve">Finally, a persistent challenge lies in developing truly robust and universally applicable value-based pricing models for AI. The difficulty in consistently quantifying the heterogeneous value delivered by AI across diverse applications and user segments means that cost- or usage-based proxies will likely remain prevalent. Bridging this gap requires further research into value measurement methodologies, robust frameworks for ethical AI governance, and a deeper understanding of the economic impact of AI beyond immediate transactional costs.</w:t>
      </w:r>
    </w:p>
    <w:p>
      <w:pPr>
        <w:pStyle w:val="Heading2"/>
      </w:pPr>
      <w:bookmarkStart w:id="43" w:name="conclusion"/>
      <w:r>
        <w:t xml:space="preserve">Conclusion</w:t>
      </w:r>
      <w:bookmarkEnd w:id="43"/>
    </w:p>
    <w:p>
      <w:pPr>
        <w:pStyle w:val="FirstParagraph"/>
      </w:pPr>
      <w:r>
        <w:t xml:space="preserve">This literature review has systematically examined the dominant economic and pricing models currently employed for AI services and digital platforms, categorizing them into token-based, usage-based, and value-based paradigms. The analysis reveals a complex and evolving landscape, driven by both technological advancements in AI and the dynamic demands of the market. Token-based pricing, exemplified by generative AI giants like OpenAI and Anthropic, offers granular control over computational costs but often presents opacity and ethical dilemmas for users. Usage-based models, prevalent in cloud AI services from AWS, Azure, and Google Cloud, provide flexibility and scalability, lowering entry barriers but introducing cost unpredictability and potential vendor lock-in. Value-based pricing, while theoretically ideal for capturing the true economic impact of AI, faces significant practical challenges in quantifying and consistently communicating the heterogeneous value delivered to diverse customers.</w:t>
      </w:r>
    </w:p>
    <w:p>
      <w:pPr>
        <w:pStyle w:val="BodyText"/>
      </w:pPr>
      <w:r>
        <w:t xml:space="preserve">The review highlights a clear trend towards hybrid pricing strategies, which seek to combine the strengths of these individual models, often incorporating freemium structures, dynamic pricing, and AI-powered optimization to balance predictability, flexibility, and value capture. However, the overarching discourse consistently points to critical unresolved challenges, particularly concerning ethical considerations, transparency, and the equitable distribution of AI’s benefits. Issues of potential market abuse, discriminatory pricing, and the need for robust auditing mechanisms remain central to ongoing academic and policy discussions (Mirghaderi et al., 2023)(Ayata, 2020)(Kaaniche &amp; Laurent, 2018).</w:t>
      </w:r>
    </w:p>
    <w:p>
      <w:pPr>
        <w:pStyle w:val="BodyText"/>
      </w:pPr>
      <w:r>
        <w:t xml:space="preserve">Despite the extensive body of literature on various pricing models and the economic implications of AI, a significant gap persists in the development of comprehensive, ethically sound, and universally applicable frameworks for AI monetization that can seamlessly integrate cost recovery, value capture, and societal impact. Current models often prioritize one aspect over others, leading to trade-offs that can affect market accessibility, fairness, and long-term sustainability. There is a pressing need for further research that explores how to effectively quantify the multi-faceted value of AI, including its intangible and long-term benefits, while simultaneously embedding ethical principles into the very design of pricing mechanisms. Furthermore, the role of AI itself in optimizing and potentially disrupting traditional pricing models, as suggested by the emergence of AI agents in economic research (Korinek, 2025) and dynamic pricing in specific sectors (Bhuram, 2025), warrants deeper investigation. This study aims to contribute to this critical discourse by proposing a novel framework that addresses these identified gaps, offering a more holistic and balanced approach to valuing and pricing AI services in an increasingly AI-driven economy.</w:t>
      </w:r>
    </w:p>
    <w:p>
      <w:pPr>
        <w:pStyle w:val="Heading1"/>
      </w:pPr>
      <w:bookmarkStart w:id="44" w:name="methodology"/>
      <w:r>
        <w:t xml:space="preserve">Methodology</w:t>
      </w:r>
      <w:bookmarkEnd w:id="44"/>
    </w:p>
    <w:p>
      <w:pPr>
        <w:pStyle w:val="FirstParagraph"/>
      </w:pPr>
      <w:r>
        <w:t xml:space="preserve">The methodological approach adopted in this study is designed to systematically analyze and compare the diverse pricing models currently employed for artificial intelligence (AI) services. Given the nascent and rapidly evolving nature of the AI market, a robust framework is essential to navigate the complexities arising from technological innovation, economic principles, and ethical considerations (Mirghaderi et al., 2023)(Lorente, 2025). This research primarily employs a qualitative, comparative analysis method, underpinned by a custom-designed analytical framework. This framework facilitates a structured evaluation of various AI pricing strategies, ensuring comprehensive coverage of their economic, technological, and ethical dimensions. The objective is not merely to describe existing models but to critically assess their underlying rationales, implications, and alignment with principles of fairness, sustainability, and market efficiency. The selection of case studies is guided by specific criteria to ensure representativeness and relevance, allowing for a deep dive into prominent and illustrative examples within the AI ecosystem. Finally, the analytical approach details the systematic process of data extraction, individual case assessment, cross-case synthesis, and the identification of gaps and opportunities, thereby ensuring the rigor and validity of the findings. This section delineates the construction of the comparative framework, the criteria for selecting pertinent case studies, and the systematic process by which these models will be analyzed to achieve the study’s objectives.</w:t>
      </w:r>
    </w:p>
    <w:p>
      <w:pPr>
        <w:pStyle w:val="Heading2"/>
      </w:pPr>
      <w:bookmarkStart w:id="45" w:name="X1ac303f795edc0afb33f22b5f3bb53cc0d0b967"/>
      <w:r>
        <w:rPr>
          <w:b/>
        </w:rPr>
        <w:t xml:space="preserve">Framework for Comparing AI Pricing Models</w:t>
      </w:r>
      <w:bookmarkEnd w:id="45"/>
    </w:p>
    <w:p>
      <w:pPr>
        <w:pStyle w:val="FirstParagraph"/>
      </w:pPr>
      <w:r>
        <w:t xml:space="preserve">The development of a comprehensive framework is paramount for a structured and nuanced comparison of AI pricing models. Traditional pricing frameworks, while foundational, often fall short in capturing the unique characteristics and externalities associated with AI technologies, such as their inherent computational intensity, continuous learning capabilities, and profound ethical implications (Kshirsagar et al., 2021)(Mirghaderi et al., 2023). Therefore, this study constructs a multi-dimensional analytical framework that integrates established economic theories with specific technological, ethical, and market considerations pertinent to AI. This framework serves as a standardized lens through which different AI pricing models can be systematically evaluated, ensuring consistency and comparability across diverse offerings. The framework is structured around four primary dimensions: Economic Principles, Technological Considerations, Ethical and Societal Factors, and Market Dynamics and Strategic Considerations. Each dimension encompasses several sub-criteria, designed to provide a granular understanding of how pricing decisions are formulated and their broader impacts.</w:t>
      </w:r>
    </w:p>
    <w:p>
      <w:pPr>
        <w:pStyle w:val="BodyText"/>
      </w:pPr>
      <w:r>
        <w:t xml:space="preserve">The visual representation below illustrates the interconnected nature of these four core dimensions, highlighting how each influences and is influenced by the others in the holistic evaluation of AI pricing models.</w:t>
      </w:r>
    </w:p>
    <w:p>
      <w:pPr>
        <w:pStyle w:val="BodyText"/>
      </w:pPr>
      <w:r>
        <w:rPr>
          <w:b/>
        </w:rPr>
        <w:t xml:space="preserve">Figure 1: Multi-Dimensional Framework for AI Pricing Analysis</w:t>
      </w:r>
    </w:p>
    <w:p>
      <w:pPr>
        <w:pStyle w:val="SourceCode"/>
      </w:pPr>
      <w:r>
        <w:rPr>
          <w:rStyle w:val="VerbatimChar"/>
        </w:rPr>
        <w:t xml:space="preserve">+-------------------------------------------------+</w:t>
      </w:r>
      <w:r>
        <w:br/>
      </w:r>
      <w:r>
        <w:rPr>
          <w:rStyle w:val="VerbatimChar"/>
        </w:rPr>
        <w:t xml:space="preserve">| AI PRICING MODEL |</w:t>
      </w:r>
      <w:r>
        <w:br/>
      </w:r>
      <w:r>
        <w:rPr>
          <w:rStyle w:val="VerbatimChar"/>
        </w:rPr>
        <w:t xml:space="preserve">+-------------------------------------------------+</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Economic Principles |&lt;-----------&gt;| Tech. Considerations |</w:t>
      </w:r>
      <w:r>
        <w:br/>
      </w:r>
      <w:r>
        <w:rPr>
          <w:rStyle w:val="VerbatimChar"/>
        </w:rPr>
        <w:t xml:space="preserve">| - Cost-Plus |  | - Resource Use |</w:t>
      </w:r>
      <w:r>
        <w:br/>
      </w:r>
      <w:r>
        <w:rPr>
          <w:rStyle w:val="VerbatimChar"/>
        </w:rPr>
        <w:t xml:space="preserve">| - Value-Based |  | - Model Complexity |</w:t>
      </w:r>
      <w:r>
        <w:br/>
      </w:r>
      <w:r>
        <w:rPr>
          <w:rStyle w:val="VerbatimChar"/>
        </w:rPr>
        <w:t xml:space="preserve">| - Dynamic/Usage |  | - API Design |</w:t>
      </w:r>
      <w:r>
        <w:br/>
      </w:r>
      <w:r>
        <w:rPr>
          <w:rStyle w:val="VerbatimChar"/>
        </w:rPr>
        <w:t xml:space="preserve">| - Sub/Freemium |  | - Data Handling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Ethical &amp; Societal |&lt;-----------&gt;| Market Dynamics |</w:t>
      </w:r>
      <w:r>
        <w:br/>
      </w:r>
      <w:r>
        <w:rPr>
          <w:rStyle w:val="VerbatimChar"/>
        </w:rPr>
        <w:t xml:space="preserve">| - Transparency |  | - Competition |</w:t>
      </w:r>
      <w:r>
        <w:br/>
      </w:r>
      <w:r>
        <w:rPr>
          <w:rStyle w:val="VerbatimChar"/>
        </w:rPr>
        <w:t xml:space="preserve">| - Fairness/Bias |  | - Customer CLV |</w:t>
      </w:r>
      <w:r>
        <w:br/>
      </w:r>
      <w:r>
        <w:rPr>
          <w:rStyle w:val="VerbatimChar"/>
        </w:rPr>
        <w:t xml:space="preserve">| - Environmental |  | - Value Creation/Capture |</w:t>
      </w:r>
      <w:r>
        <w:br/>
      </w:r>
      <w:r>
        <w:rPr>
          <w:rStyle w:val="VerbatimChar"/>
        </w:rPr>
        <w:t xml:space="preserve">| - Accessibility |  | - Regulatory Env. |</w:t>
      </w:r>
      <w:r>
        <w:br/>
      </w:r>
      <w:r>
        <w:rPr>
          <w:rStyle w:val="VerbatimChar"/>
        </w:rPr>
        <w:t xml:space="preserve">+-------------------+  +-------------------+</w:t>
      </w:r>
    </w:p>
    <w:p>
      <w:pPr>
        <w:pStyle w:val="FirstParagraph"/>
      </w:pPr>
      <w:r>
        <w:rPr>
          <w:i/>
        </w:rPr>
        <w:t xml:space="preserve">Note: This diagram illustrates the four core dimensions of the analytical framework and their key sub-criteria, emphasizing their interdependencies in assessing AI pricing models.</w:t>
      </w:r>
    </w:p>
    <w:p>
      <w:pPr>
        <w:pStyle w:val="BodyText"/>
      </w:pPr>
      <w:r>
        <w:rPr>
          <w:b/>
        </w:rPr>
        <w:t xml:space="preserve">Economic Principles.</w:t>
      </w:r>
      <w:r>
        <w:t xml:space="preserve"> </w:t>
      </w:r>
      <w:r>
        <w:t xml:space="preserve">This dimension examines the foundational economic theories and models that underpin AI pricing strategies. It delves into how providers determine the monetary value of their AI services, considering both cost recovery and profit maximization.</w:t>
      </w:r>
      <w:r>
        <w:t xml:space="preserve"> </w:t>
      </w:r>
      <w:r>
        <w:t xml:space="preserve">*</w:t>
      </w:r>
      <w:r>
        <w:t xml:space="preserve"> </w:t>
      </w:r>
      <w:r>
        <w:rPr>
          <w:b/>
        </w:rPr>
        <w:t xml:space="preserve">Cost-plus pricing.</w:t>
      </w:r>
      <w:r>
        <w:t xml:space="preserve"> </w:t>
      </w:r>
      <w:r>
        <w:t xml:space="preserve">This sub-criterion assesses the extent to which pricing is determined by the direct and indirect costs associated with developing, deploying, and maintaining AI models (Kshirsagar et al., 2021). This includes computational resources (e.g., GPU hours, energy consumption), data acquisition and processing, model training, infrastructure, and personnel. The transparency and accuracy of cost attribution in AI services are critical for understanding this approach.</w:t>
      </w:r>
      <w:r>
        <w:t xml:space="preserve"> </w:t>
      </w:r>
      <w:r>
        <w:t xml:space="preserve">*</w:t>
      </w:r>
      <w:r>
        <w:t xml:space="preserve"> </w:t>
      </w:r>
      <w:r>
        <w:rPr>
          <w:b/>
        </w:rPr>
        <w:t xml:space="preserve">Value-based pricing.</w:t>
      </w:r>
      <w:r>
        <w:t xml:space="preserve"> </w:t>
      </w:r>
      <w:r>
        <w:t xml:space="preserve">This focuses on the perceived value that AI services deliver to customers (Maguire, 2021)(Lorente, 2025). Evaluation here involves understanding how providers quantify and communicate this value, whether through enhanced productivity, improved decision-making, cost savings, or new revenue streams. The challenge lies in objectively measuring and pricing the intangible benefits of AI.</w:t>
      </w:r>
      <w:r>
        <w:t xml:space="preserve"> </w:t>
      </w:r>
      <w:r>
        <w:t xml:space="preserve">*</w:t>
      </w:r>
      <w:r>
        <w:t xml:space="preserve"> </w:t>
      </w:r>
      <w:r>
        <w:rPr>
          <w:b/>
        </w:rPr>
        <w:t xml:space="preserve">Dynamic pricing and usage-based models.</w:t>
      </w:r>
      <w:r>
        <w:t xml:space="preserve"> </w:t>
      </w:r>
      <w:r>
        <w:t xml:space="preserve">This category investigates pricing strategies that adjust in real-time based on demand, supply, user behavior, or specific resource consumption (Bhuram, 2025)(Niharika et al., 2024). Examples include token-based pricing for large language models (LLMs) (Barbere et al., 2024)(Satapathi, 2025), API call fees (De, 2017), or compute-hour charges. The flexibility and fairness of such dynamic adjustments are key points of analysis.</w:t>
      </w:r>
      <w:r>
        <w:t xml:space="preserve"> </w:t>
      </w:r>
      <w:r>
        <w:t xml:space="preserve">*</w:t>
      </w:r>
      <w:r>
        <w:t xml:space="preserve"> </w:t>
      </w:r>
      <w:r>
        <w:rPr>
          <w:b/>
        </w:rPr>
        <w:t xml:space="preserve">Subscription and freemium models.</w:t>
      </w:r>
      <w:r>
        <w:t xml:space="preserve"> </w:t>
      </w:r>
      <w:r>
        <w:t xml:space="preserve">These models analyze recurring revenue streams where users pay for access to AI services over time (subscription) or receive basic services for free with charges for premium features (freemium) (Seufert, 2014)(Ladas et al., 2019). The framework examines the rationale behind offering tiered access, the value proposition of premium features, and the conversion strategies from free to paid tiers. The long-term implications for customer loyalty and market penetration are also considered (Siddannavar et al., 2025).</w:t>
      </w:r>
    </w:p>
    <w:p>
      <w:pPr>
        <w:pStyle w:val="BodyText"/>
      </w:pPr>
      <w:r>
        <w:rPr>
          <w:b/>
        </w:rPr>
        <w:t xml:space="preserve">Technological Considerations.</w:t>
      </w:r>
      <w:r>
        <w:t xml:space="preserve"> </w:t>
      </w:r>
      <w:r>
        <w:t xml:space="preserve">This dimension addresses the intrinsic technical characteristics of AI models and infrastructure that directly influence their pricing. The unique computational demands, data requirements, and architectural complexities of AI necessitate a distinct set of considerations beyond those of traditional software.</w:t>
      </w:r>
      <w:r>
        <w:t xml:space="preserve"> </w:t>
      </w:r>
      <w:r>
        <w:t xml:space="preserve">*</w:t>
      </w:r>
      <w:r>
        <w:t xml:space="preserve"> </w:t>
      </w:r>
      <w:r>
        <w:rPr>
          <w:b/>
        </w:rPr>
        <w:t xml:space="preserve">Resource consumption.</w:t>
      </w:r>
      <w:r>
        <w:t xml:space="preserve"> </w:t>
      </w:r>
      <w:r>
        <w:t xml:space="preserve">This sub-criterion evaluates how the consumption of computational resources (e.g., CPU/GPU cycles, memory, storage) and energy (Kshirsagar et al., 2021) is factored into pricing. It investigates the granularity of resource measurement and its correlation with pricing tiers, particularly distinguishing between the costs associated with model training versus inference (Kshirsagar et al., 2021).</w:t>
      </w:r>
      <w:r>
        <w:t xml:space="preserve"> </w:t>
      </w:r>
      <w:r>
        <w:t xml:space="preserve">*</w:t>
      </w:r>
      <w:r>
        <w:t xml:space="preserve"> </w:t>
      </w:r>
      <w:r>
        <w:rPr>
          <w:b/>
        </w:rPr>
        <w:t xml:space="preserve">Model complexity and scale.</w:t>
      </w:r>
      <w:r>
        <w:t xml:space="preserve"> </w:t>
      </w:r>
      <w:r>
        <w:t xml:space="preserve">The size, architecture, and parameter count of AI models (e.g., billions of parameters in LLMs) significantly impact their operational costs and performance (Barbere et al., 2024). This criterion assesses how providers differentiate pricing based on the underlying model’s complexity, its capabilities, and its ability to handle diverse tasks.</w:t>
      </w:r>
      <w:r>
        <w:t xml:space="preserve"> </w:t>
      </w:r>
      <w:r>
        <w:t xml:space="preserve">*</w:t>
      </w:r>
      <w:r>
        <w:t xml:space="preserve"> </w:t>
      </w:r>
      <w:r>
        <w:rPr>
          <w:b/>
        </w:rPr>
        <w:t xml:space="preserve">API design and granularity.</w:t>
      </w:r>
      <w:r>
        <w:t xml:space="preserve"> </w:t>
      </w:r>
      <w:r>
        <w:t xml:space="preserve">The way AI services are exposed through Application Programming Interfaces (APIs) and the granularity of these APIs can influence pricing structures (De, 2017). This involves analyzing whether pricing is based on simple API calls, specific feature usage, or complex chained operations (Satapathi, 2025). The flexibility and modularity of API offerings are key considerations.</w:t>
      </w:r>
      <w:r>
        <w:t xml:space="preserve"> </w:t>
      </w:r>
      <w:r>
        <w:t xml:space="preserve">*</w:t>
      </w:r>
      <w:r>
        <w:t xml:space="preserve"> </w:t>
      </w:r>
      <w:r>
        <w:rPr>
          <w:b/>
        </w:rPr>
        <w:t xml:space="preserve">Data handling and privacy implications.</w:t>
      </w:r>
      <w:r>
        <w:t xml:space="preserve"> </w:t>
      </w:r>
      <w:r>
        <w:t xml:space="preserve">AI models are often data-intensive, requiring vast datasets for training and operation. This sub-criterion examines how the costs associated with data acquisition, storage, processing, and ensuring data privacy and compliance (e.g., GDPR, HIPAA) (Kaaniche &amp; Laurent, 2018) are reflected in the pricing model. Pricing variations based on data sensitivity or volume are particularly relevant.</w:t>
      </w:r>
    </w:p>
    <w:p>
      <w:pPr>
        <w:pStyle w:val="BodyText"/>
      </w:pPr>
      <w:r>
        <w:rPr>
          <w:b/>
        </w:rPr>
        <w:t xml:space="preserve">Ethical and Societal Factors.</w:t>
      </w:r>
      <w:r>
        <w:t xml:space="preserve"> </w:t>
      </w:r>
      <w:r>
        <w:t xml:space="preserve">Beyond pure economics and technology, AI pricing models can have profound ethical and societal implications. This dimension critically examines how these broader concerns are, or are not, integrated into pricing strategies.</w:t>
      </w:r>
      <w:r>
        <w:t xml:space="preserve"> </w:t>
      </w:r>
      <w:r>
        <w:t xml:space="preserve">*</w:t>
      </w:r>
      <w:r>
        <w:t xml:space="preserve"> </w:t>
      </w:r>
      <w:r>
        <w:rPr>
          <w:b/>
        </w:rPr>
        <w:t xml:space="preserve">Transparency and explainability.</w:t>
      </w:r>
      <w:r>
        <w:t xml:space="preserve"> </w:t>
      </w:r>
      <w:r>
        <w:t xml:space="preserve">The degree to which an AI model’s decision-making process is transparent and explainable can be a significant factor in its perceived value and, potentially, its pricing (Mirghaderi et al., 2023). This criterion explores whether pricing models incentivize or penalize AI services based on their interpretability, especially in high-stakes applications.</w:t>
      </w:r>
      <w:r>
        <w:t xml:space="preserve"> </w:t>
      </w:r>
      <w:r>
        <w:t xml:space="preserve">*</w:t>
      </w:r>
      <w:r>
        <w:t xml:space="preserve"> </w:t>
      </w:r>
      <w:r>
        <w:rPr>
          <w:b/>
        </w:rPr>
        <w:t xml:space="preserve">Fairness and bias mitigation.</w:t>
      </w:r>
      <w:r>
        <w:t xml:space="preserve"> </w:t>
      </w:r>
      <w:r>
        <w:t xml:space="preserve">AI systems can perpetuate or even amplify societal biases present in their training data. This sub-criterion investigates whether pricing strategies consider the costs associated with bias detection, mitigation, and ongoing monitoring. It also examines if differential pricing might emerge based on the perceived fairness of an AI service or if pricing structures inadvertently create barriers for certain user groups.</w:t>
      </w:r>
      <w:r>
        <w:t xml:space="preserve"> </w:t>
      </w:r>
      <w:r>
        <w:t xml:space="preserve">*</w:t>
      </w:r>
      <w:r>
        <w:t xml:space="preserve"> </w:t>
      </w:r>
      <w:r>
        <w:rPr>
          <w:b/>
        </w:rPr>
        <w:t xml:space="preserve">Environmental impact.</w:t>
      </w:r>
      <w:r>
        <w:t xml:space="preserve"> </w:t>
      </w:r>
      <w:r>
        <w:t xml:space="preserve">The substantial energy consumption associated with training and operating large-scale AI models raises significant environmental concerns (Kshirsagar et al., 2021). This criterion explores whether pricing models incorporate</w:t>
      </w:r>
      <w:r>
        <w:t xml:space="preserve"> </w:t>
      </w:r>
      <w:r>
        <w:t xml:space="preserve">“</w:t>
      </w:r>
      <w:r>
        <w:t xml:space="preserve">green AI</w:t>
      </w:r>
      <w:r>
        <w:t xml:space="preserve">”</w:t>
      </w:r>
      <w:r>
        <w:t xml:space="preserve"> </w:t>
      </w:r>
      <w:r>
        <w:t xml:space="preserve">principles, such as offering reduced rates for energy-efficient models or transparently disclosing the carbon footprint associated with usage.</w:t>
      </w:r>
      <w:r>
        <w:t xml:space="preserve"> </w:t>
      </w:r>
      <w:r>
        <w:t xml:space="preserve">*</w:t>
      </w:r>
      <w:r>
        <w:t xml:space="preserve"> </w:t>
      </w:r>
      <w:r>
        <w:rPr>
          <w:b/>
        </w:rPr>
        <w:t xml:space="preserve">Accessibility and equity.</w:t>
      </w:r>
      <w:r>
        <w:t xml:space="preserve"> </w:t>
      </w:r>
      <w:r>
        <w:t xml:space="preserve">AI services have the potential to democratize access to advanced capabilities, but restrictive pricing models can create digital divides. This sub-criterion analyzes whether pricing strategies promote broad accessibility or inadvertently create barriers for small businesses, research institutions, or developing regions. The presence of discounted tiers for non-profit use or educational purposes would be relevant here.</w:t>
      </w:r>
    </w:p>
    <w:p>
      <w:pPr>
        <w:pStyle w:val="BodyText"/>
      </w:pPr>
      <w:r>
        <w:rPr>
          <w:b/>
        </w:rPr>
        <w:t xml:space="preserve">Market Dynamics and Strategic Considerations.</w:t>
      </w:r>
      <w:r>
        <w:t xml:space="preserve"> </w:t>
      </w:r>
      <w:r>
        <w:t xml:space="preserve">This dimension examines the external market forces and internal strategic decisions that shape AI pricing. It considers how competitive landscapes, customer relationships, and regulatory environments influence pricing choices.</w:t>
      </w:r>
      <w:r>
        <w:t xml:space="preserve"> </w:t>
      </w:r>
      <w:r>
        <w:t xml:space="preserve">*</w:t>
      </w:r>
      <w:r>
        <w:t xml:space="preserve"> </w:t>
      </w:r>
      <w:r>
        <w:rPr>
          <w:b/>
        </w:rPr>
        <w:t xml:space="preserve">Competitive landscape.</w:t>
      </w:r>
      <w:r>
        <w:t xml:space="preserve"> </w:t>
      </w:r>
      <w:r>
        <w:t xml:space="preserve">The presence and actions of competitors significantly influence pricing strategies. This criterion assesses how providers position their AI services in relation to rivals, whether through aggressive pricing, premium offerings, or differentiation based on unique features (Divakaruni &amp; Navarro, 2024).</w:t>
      </w:r>
      <w:r>
        <w:t xml:space="preserve"> </w:t>
      </w:r>
      <w:r>
        <w:t xml:space="preserve">*</w:t>
      </w:r>
      <w:r>
        <w:t xml:space="preserve"> </w:t>
      </w:r>
      <w:r>
        <w:rPr>
          <w:b/>
        </w:rPr>
        <w:t xml:space="preserve">Customer lifetime value (CLV) and retention.</w:t>
      </w:r>
      <w:r>
        <w:t xml:space="preserve"> </w:t>
      </w:r>
      <w:r>
        <w:t xml:space="preserve">Pricing models are often designed not just for immediate revenue but for long-term customer relationships (Siddannavar et al., 2025). This sub-criterion evaluates how pricing strategies aim to maximize CLV through loyalty programs, tiered discounts for sustained usage, or incentives for expanding AI adoption within an organization.</w:t>
      </w:r>
      <w:r>
        <w:t xml:space="preserve"> </w:t>
      </w:r>
      <w:r>
        <w:t xml:space="preserve">*</w:t>
      </w:r>
      <w:r>
        <w:t xml:space="preserve"> </w:t>
      </w:r>
      <w:r>
        <w:rPr>
          <w:b/>
        </w:rPr>
        <w:t xml:space="preserve">Value creation versus value capture.</w:t>
      </w:r>
      <w:r>
        <w:t xml:space="preserve"> </w:t>
      </w:r>
      <w:r>
        <w:t xml:space="preserve">This criterion, informed by strategic management theories, analyzes how providers balance the value their AI services create for customers with the portion of that value they aim to capture through pricing (Lorente, 2025). It explores the alignment between the perceived benefits by the user and the cost imposed by the provider (Maguire, 2021).</w:t>
      </w:r>
      <w:r>
        <w:t xml:space="preserve"> </w:t>
      </w:r>
      <w:r>
        <w:t xml:space="preserve">*</w:t>
      </w:r>
      <w:r>
        <w:t xml:space="preserve"> </w:t>
      </w:r>
      <w:r>
        <w:rPr>
          <w:b/>
        </w:rPr>
        <w:t xml:space="preserve">Regulatory and policy environment.</w:t>
      </w:r>
      <w:r>
        <w:t xml:space="preserve"> </w:t>
      </w:r>
      <w:r>
        <w:t xml:space="preserve">Emerging regulations related to AI governance, data privacy, and ethical use can impact pricing strategies. This sub-criterion considers how anticipated or existing regulatory frameworks might influence pricing decisions, such as the costs associated with compliance or the need to offer certain features (e.g., data auditing capabilities (Kaaniche &amp; Laurent, 2018)) at specific price points.</w:t>
      </w:r>
    </w:p>
    <w:p>
      <w:pPr>
        <w:pStyle w:val="BodyText"/>
      </w:pPr>
      <w:r>
        <w:t xml:space="preserve">The process of constructing this framework involved a comprehensive review of existing literature on pricing strategies, technology economics, and AI ethics (Kshirsagar et al., 2021)(Maguire, 2021)(De, 2017)(Mirghaderi et al., 2023)(Seufert, 2014)(Ladas et al., 2019). Each dimension and sub-criterion was carefully defined and operationalized to ensure clarity and applicability across a wide range of AI services. This multi-faceted approach ensures that the analysis moves beyond superficial price comparisons to uncover the deeper strategic, technological, and ethical considerations embedded within AI pricing models. The framework is designed to be adaptable, allowing for the inclusion of new sub-criteria as the AI market continues to evolve, thereby maintaining its relevance for future investigations. The systematic application of this framework will enable a rigorous and consistent evaluation of the selected case studies, forming the foundation for identifying best practices and areas requiring further development in AI pricing.</w:t>
      </w:r>
    </w:p>
    <w:p>
      <w:pPr>
        <w:pStyle w:val="Heading2"/>
      </w:pPr>
      <w:bookmarkStart w:id="46" w:name="case-study-selection-criteria"/>
      <w:r>
        <w:rPr>
          <w:b/>
        </w:rPr>
        <w:t xml:space="preserve">Case Study Selection Criteria</w:t>
      </w:r>
      <w:bookmarkEnd w:id="46"/>
    </w:p>
    <w:p>
      <w:pPr>
        <w:pStyle w:val="FirstParagraph"/>
      </w:pPr>
      <w:r>
        <w:t xml:space="preserve">To provide empirical grounding for the theoretical analysis and illustrate the practical application of the developed framework, a selection of prominent AI pricing models will be examined through case studies. The purpose of these case studies is not to provide an exhaustive list of all available AI services, but rather to select a diverse and representative set that collectively illuminates the various facets of AI pricing across different technological implementations, market positions, and strategic approaches. The selection process is guided by explicit inclusion and exclusion criteria to ensure the relevance, transparency, and analytical utility of each chosen case. This rigorous selection methodology ensures that the findings derived from these case studies are generalizable to broader trends in the AI market, while also highlighting unique challenges and innovations.</w:t>
      </w:r>
    </w:p>
    <w:p>
      <w:pPr>
        <w:pStyle w:val="BodyText"/>
      </w:pPr>
      <w:r>
        <w:rPr>
          <w:b/>
        </w:rPr>
        <w:t xml:space="preserve">Inclusion Criteria.</w:t>
      </w:r>
      <w:r>
        <w:t xml:space="preserve"> </w:t>
      </w:r>
      <w:r>
        <w:t xml:space="preserve">The following criteria will be used to select AI pricing models for detailed analysis:</w:t>
      </w:r>
      <w:r>
        <w:t xml:space="preserve"> </w:t>
      </w:r>
      <w:r>
        <w:t xml:space="preserve">*</w:t>
      </w:r>
      <w:r>
        <w:t xml:space="preserve"> </w:t>
      </w:r>
      <w:r>
        <w:rPr>
          <w:b/>
        </w:rPr>
        <w:t xml:space="preserve">Diversity of AI Service Types.</w:t>
      </w:r>
      <w:r>
        <w:t xml:space="preserve"> </w:t>
      </w:r>
      <w:r>
        <w:t xml:space="preserve">Case studies must encompass a variety of AI service types to capture the breadth of the market. This includes, but is not limited to, large language models (LLMs) used for generative AI and natural language processing (Barbere et al., 2024)(Trad &amp; Chehab, 2024), specialized AI APIs for specific tasks like image recognition or speech-to-text (Satapathi, 2025), and edge-cloud AI solutions (Bhuram, 2025). This diversity ensures that the framework is tested against different computational and architectural paradigms.</w:t>
      </w:r>
      <w:r>
        <w:t xml:space="preserve"> </w:t>
      </w:r>
      <w:r>
        <w:t xml:space="preserve">*</w:t>
      </w:r>
      <w:r>
        <w:t xml:space="preserve"> </w:t>
      </w:r>
      <w:r>
        <w:rPr>
          <w:b/>
        </w:rPr>
        <w:t xml:space="preserve">Diversity of Pricing Models Represented.</w:t>
      </w:r>
      <w:r>
        <w:t xml:space="preserve"> </w:t>
      </w:r>
      <w:r>
        <w:t xml:space="preserve">The selected cases must collectively illustrate a range of pricing strategies. This includes models based on usage (e.g., token-based, per-API-call), subscription tiers, freemium approaches (Seufert, 2014), and potentially hybrid models (De, 2017)(Satapathi, 2025). This ensures a comprehensive examination of how different economic principles are applied in practice.</w:t>
      </w:r>
      <w:r>
        <w:t xml:space="preserve"> </w:t>
      </w:r>
      <w:r>
        <w:t xml:space="preserve">*</w:t>
      </w:r>
      <w:r>
        <w:t xml:space="preserve"> </w:t>
      </w:r>
      <w:r>
        <w:rPr>
          <w:b/>
        </w:rPr>
        <w:t xml:space="preserve">Market Prominence and Influence.</w:t>
      </w:r>
      <w:r>
        <w:t xml:space="preserve"> </w:t>
      </w:r>
      <w:r>
        <w:t xml:space="preserve">Priority will be given to AI service providers that hold significant market share, are widely adopted, or are recognized as industry leaders (Korinek, 2025)(Satapathi, 2025). Such prominence ensures that their pricing strategies have a substantial impact on the broader AI ecosystem and are subject to public scrutiny, providing richer data for analysis. The pricing tiers of major cloud providers, for instance, are critical (Satapathi, 2025).</w:t>
      </w:r>
      <w:r>
        <w:t xml:space="preserve"> </w:t>
      </w:r>
      <w:r>
        <w:t xml:space="preserve">*</w:t>
      </w:r>
      <w:r>
        <w:t xml:space="preserve"> </w:t>
      </w:r>
      <w:r>
        <w:rPr>
          <w:b/>
        </w:rPr>
        <w:t xml:space="preserve">Transparency of Pricing Information and Documentation.</w:t>
      </w:r>
      <w:r>
        <w:t xml:space="preserve"> </w:t>
      </w:r>
      <w:r>
        <w:t xml:space="preserve">A critical requirement is the public availability of detailed pricing information, terms of service, and technical documentation. This allows for an objective and verifiable analysis of the pricing model’s structure and rationale. Providers with opaque or highly customized pricing models that lack public documentation will generally be excluded, as they do not lend themselves to comparative analysis (Rudnytskyi, 2022).</w:t>
      </w:r>
      <w:r>
        <w:t xml:space="preserve"> </w:t>
      </w:r>
      <w:r>
        <w:t xml:space="preserve">*</w:t>
      </w:r>
      <w:r>
        <w:t xml:space="preserve"> </w:t>
      </w:r>
      <w:r>
        <w:rPr>
          <w:b/>
        </w:rPr>
        <w:t xml:space="preserve">Temporal Relevance.</w:t>
      </w:r>
      <w:r>
        <w:t xml:space="preserve"> </w:t>
      </w:r>
      <w:r>
        <w:t xml:space="preserve">Case studies will focus on current or emerging AI pricing models that reflect the latest technological advancements and market trends (Korinek, 2025)(Satapathi, 2025)(Bhuram, 2025)(Niharika et al., 2024)(Trad &amp; Chehab, 2024). While historical context may be briefly acknowledged, the primary focus is on contemporary practices that are shaping the future of AI economics (Divakaruni &amp; Navarro, 2024).</w:t>
      </w:r>
      <w:r>
        <w:t xml:space="preserve"> </w:t>
      </w:r>
      <w:r>
        <w:t xml:space="preserve">*</w:t>
      </w:r>
      <w:r>
        <w:t xml:space="preserve"> </w:t>
      </w:r>
      <w:r>
        <w:rPr>
          <w:b/>
        </w:rPr>
        <w:t xml:space="preserve">Demonstrated Value Creation.</w:t>
      </w:r>
      <w:r>
        <w:t xml:space="preserve"> </w:t>
      </w:r>
      <w:r>
        <w:t xml:space="preserve">The selected AI services should clearly articulate their value proposition to users (Lorente, 2025)(Fang &amp; Zhou, 2025). This allows for an assessment of how the pricing model aligns with the perceived and actual value delivered, as per the value-based pricing criteria of the framework (Maguire, 2021).</w:t>
      </w:r>
    </w:p>
    <w:p>
      <w:pPr>
        <w:pStyle w:val="BodyText"/>
      </w:pPr>
      <w:r>
        <w:rPr>
          <w:b/>
        </w:rPr>
        <w:t xml:space="preserve">Exclusion Criteria.</w:t>
      </w:r>
      <w:r>
        <w:t xml:space="preserve"> </w:t>
      </w:r>
      <w:r>
        <w:t xml:space="preserve">Conversely, certain types of AI pricing models will be excluded from this analysis:</w:t>
      </w:r>
      <w:r>
        <w:t xml:space="preserve"> </w:t>
      </w:r>
      <w:r>
        <w:t xml:space="preserve">*</w:t>
      </w:r>
      <w:r>
        <w:t xml:space="preserve"> </w:t>
      </w:r>
      <w:r>
        <w:rPr>
          <w:b/>
        </w:rPr>
        <w:t xml:space="preserve">Highly Proprietary or Non-Public Pricing.</w:t>
      </w:r>
      <w:r>
        <w:t xml:space="preserve"> </w:t>
      </w:r>
      <w:r>
        <w:t xml:space="preserve">AI services whose pricing models are entirely custom-negotiated, confidential, or not publicly disclosed will be excluded. The lack of transparency would prevent a rigorous comparative analysis against the established framework.</w:t>
      </w:r>
      <w:r>
        <w:t xml:space="preserve"> </w:t>
      </w:r>
      <w:r>
        <w:t xml:space="preserve">*</w:t>
      </w:r>
      <w:r>
        <w:t xml:space="preserve"> </w:t>
      </w:r>
      <w:r>
        <w:rPr>
          <w:b/>
        </w:rPr>
        <w:t xml:space="preserve">Niche or Highly Specialized AI Applications.</w:t>
      </w:r>
      <w:r>
        <w:t xml:space="preserve"> </w:t>
      </w:r>
      <w:r>
        <w:t xml:space="preserve">While important in their specific domains, AI services that cater to extremely niche markets with limited broader relevance, or those with highly idiosyncratic pricing structures not reflective of general market trends, will be excluded to maintain focus on impactful and representative models.</w:t>
      </w:r>
      <w:r>
        <w:t xml:space="preserve"> </w:t>
      </w:r>
      <w:r>
        <w:t xml:space="preserve">*</w:t>
      </w:r>
      <w:r>
        <w:t xml:space="preserve"> </w:t>
      </w:r>
      <w:r>
        <w:rPr>
          <w:b/>
        </w:rPr>
        <w:t xml:space="preserve">Discontinued or Obsolete Models.</w:t>
      </w:r>
      <w:r>
        <w:t xml:space="preserve"> </w:t>
      </w:r>
      <w:r>
        <w:t xml:space="preserve">AI pricing models that are no longer active or have been significantly superseded by newer iterations will be excluded to ensure the temporal relevance of the study.</w:t>
      </w:r>
      <w:r>
        <w:t xml:space="preserve"> </w:t>
      </w:r>
      <w:r>
        <w:t xml:space="preserve">*</w:t>
      </w:r>
      <w:r>
        <w:t xml:space="preserve"> </w:t>
      </w:r>
      <w:r>
        <w:rPr>
          <w:b/>
        </w:rPr>
        <w:t xml:space="preserve">Lack of Sufficient Documentation.</w:t>
      </w:r>
      <w:r>
        <w:t xml:space="preserve"> </w:t>
      </w:r>
      <w:r>
        <w:t xml:space="preserve">Cases where the public documentation is insufficient to comprehensively evaluate the model against the full spectrum of the analytical framework will be excluded.</w:t>
      </w:r>
    </w:p>
    <w:p>
      <w:pPr>
        <w:pStyle w:val="BodyText"/>
      </w:pPr>
      <w:r>
        <w:t xml:space="preserve">The selection process will involve an initial broad survey of the AI services market, identifying potential candidates that meet the preliminary inclusion criteria. This will be followed by a detailed review of their public documentation, including pricing pages, developer guides, terms of service, and white papers (Rudnytskyi, 2022). A shortlist will then be created, and each candidate will be rigorously evaluated against the outlined criteria. The aim is to select approximately 5-7 distinct AI pricing models that offer a rich and varied landscape for analysis, ensuring that each dimension of the comparative framework can be adequately explored and illustrated. Examples of potential candidates, without specifying exact product names to maintain focus on the methodology, include leading cloud AI platforms offering various NLP and computer vision APIs, prominent generative AI model providers, and specialized AI-as-a-Service (AIaaS) platforms. This systematic approach to case selection is crucial for ensuring the validity and depth of the subsequent comparative analysis.</w:t>
      </w:r>
    </w:p>
    <w:p>
      <w:pPr>
        <w:pStyle w:val="Heading2"/>
      </w:pPr>
      <w:bookmarkStart w:id="47" w:name="analysis-approach"/>
      <w:r>
        <w:rPr>
          <w:b/>
        </w:rPr>
        <w:t xml:space="preserve">Analysis Approach</w:t>
      </w:r>
      <w:bookmarkEnd w:id="47"/>
    </w:p>
    <w:p>
      <w:pPr>
        <w:pStyle w:val="FirstParagraph"/>
      </w:pPr>
      <w:r>
        <w:t xml:space="preserve">The analysis phase of this study is designed to systematically apply the developed multi-dimensional framework to the selected AI pricing models, culminating in a comprehensive comparative assessment. This approach is primarily qualitative, drawing insights from textual analysis of public documentation, but also incorporates quantitative elements where specific pricing metrics are available. The overarching goal is to identify patterns, evaluate the effectiveness and fairness of current pricing strategies, and highlight areas for improvement in the context of economic efficiency, technological alignment, and ethical responsibility. The analysis proceeds through distinct stages, moving from individual case assessment to cross-case synthesis, and finally to the identification of gaps and opportunities.</w:t>
      </w:r>
    </w:p>
    <w:p>
      <w:pPr>
        <w:pStyle w:val="BodyText"/>
      </w:pPr>
      <w:r>
        <w:t xml:space="preserve">The following table outlines a structured approach for implementing value-based pricing, which is a key component of the analytical framework and a strategic goal for many AI providers. This provides a practical guide for how providers can operationalize the principles discussed.</w:t>
      </w:r>
    </w:p>
    <w:p>
      <w:pPr>
        <w:pStyle w:val="BodyText"/>
      </w:pPr>
      <w:r>
        <w:rPr>
          <w:b/>
        </w:rPr>
        <w:t xml:space="preserve">Table 3: Implementation Steps for Value-Based AI Pricing</w:t>
      </w:r>
    </w:p>
    <w:tbl>
      <w:tblPr>
        <w:tblStyle w:val="Table"/>
        <w:tblW w:type="pct" w:w="5000.0"/>
        <w:tblLook w:firstRow="1"/>
      </w:tblPr>
      <w:tblGrid>
        <w:gridCol w:w="1410"/>
        <w:gridCol w:w="2007"/>
        <w:gridCol w:w="2224"/>
        <w:gridCol w:w="2278"/>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Key Activities</w:t>
            </w:r>
          </w:p>
        </w:tc>
        <w:tc>
          <w:tcPr>
            <w:tcBorders>
              <w:bottom w:val="single"/>
            </w:tcBorders>
            <w:vAlign w:val="bottom"/>
          </w:tcPr>
          <w:p>
            <w:pPr>
              <w:pStyle w:val="Compact"/>
              <w:jc w:val="left"/>
            </w:pPr>
            <w:r>
              <w:t xml:space="preserve">Outputs</w:t>
            </w:r>
          </w:p>
        </w:tc>
        <w:tc>
          <w:tcPr>
            <w:tcBorders>
              <w:bottom w:val="single"/>
            </w:tcBorders>
            <w:vAlign w:val="bottom"/>
          </w:tcPr>
          <w:p>
            <w:pPr>
              <w:pStyle w:val="Compact"/>
              <w:jc w:val="left"/>
            </w:pPr>
            <w:r>
              <w:t xml:space="preserve">Challenges</w:t>
            </w:r>
          </w:p>
        </w:tc>
      </w:tr>
      <w:tr>
        <w:tc>
          <w:p>
            <w:pPr>
              <w:pStyle w:val="Compact"/>
              <w:jc w:val="left"/>
            </w:pPr>
            <w:r>
              <w:rPr>
                <w:b/>
              </w:rPr>
              <w:t xml:space="preserve">1. Value Discovery</w:t>
            </w:r>
          </w:p>
        </w:tc>
        <w:tc>
          <w:p>
            <w:pPr>
              <w:pStyle w:val="Compact"/>
              <w:jc w:val="left"/>
            </w:pPr>
            <w:r>
              <w:t xml:space="preserve">Customer interviews, market research, pain point analysis</w:t>
            </w:r>
          </w:p>
        </w:tc>
        <w:tc>
          <w:p>
            <w:pPr>
              <w:pStyle w:val="Compact"/>
              <w:jc w:val="left"/>
            </w:pPr>
            <w:r>
              <w:t xml:space="preserve">Identified value drivers, ROI targets</w:t>
            </w:r>
          </w:p>
        </w:tc>
        <w:tc>
          <w:p>
            <w:pPr>
              <w:pStyle w:val="Compact"/>
              <w:jc w:val="left"/>
            </w:pPr>
            <w:r>
              <w:t xml:space="preserve">Access to customer data, subjective perceptions</w:t>
            </w:r>
          </w:p>
        </w:tc>
      </w:tr>
      <w:tr>
        <w:tc>
          <w:p>
            <w:pPr>
              <w:pStyle w:val="Compact"/>
              <w:jc w:val="left"/>
            </w:pPr>
            <w:r>
              <w:rPr>
                <w:b/>
              </w:rPr>
              <w:t xml:space="preserve">2. Value Quantification</w:t>
            </w:r>
          </w:p>
        </w:tc>
        <w:tc>
          <w:p>
            <w:pPr>
              <w:pStyle w:val="Compact"/>
              <w:jc w:val="left"/>
            </w:pPr>
            <w:r>
              <w:t xml:space="preserve">Baseline metrics, pilot programs, A/B testing, data modeling</w:t>
            </w:r>
          </w:p>
        </w:tc>
        <w:tc>
          <w:p>
            <w:pPr>
              <w:pStyle w:val="Compact"/>
              <w:jc w:val="left"/>
            </w:pPr>
            <w:r>
              <w:t xml:space="preserve">Quantified economic &amp; strategic value</w:t>
            </w:r>
          </w:p>
        </w:tc>
        <w:tc>
          <w:p>
            <w:pPr>
              <w:pStyle w:val="Compact"/>
              <w:jc w:val="left"/>
            </w:pPr>
            <w:r>
              <w:t xml:space="preserve">Attribution, intangible benefits</w:t>
            </w:r>
          </w:p>
        </w:tc>
      </w:tr>
      <w:tr>
        <w:tc>
          <w:p>
            <w:pPr>
              <w:pStyle w:val="Compact"/>
              <w:jc w:val="left"/>
            </w:pPr>
            <w:r>
              <w:rPr>
                <w:b/>
              </w:rPr>
              <w:t xml:space="preserve">3. Pricing Model Design</w:t>
            </w:r>
          </w:p>
        </w:tc>
        <w:tc>
          <w:p>
            <w:pPr>
              <w:pStyle w:val="Compact"/>
              <w:jc w:val="left"/>
            </w:pPr>
            <w:r>
              <w:t xml:space="preserve">Segment-specific pricing, hybrid model design, tier definition</w:t>
            </w:r>
          </w:p>
        </w:tc>
        <w:tc>
          <w:p>
            <w:pPr>
              <w:pStyle w:val="Compact"/>
              <w:jc w:val="left"/>
            </w:pPr>
            <w:r>
              <w:t xml:space="preserve">Tiered pricing, usage components, performance incentives</w:t>
            </w:r>
          </w:p>
        </w:tc>
        <w:tc>
          <w:p>
            <w:pPr>
              <w:pStyle w:val="Compact"/>
              <w:jc w:val="left"/>
            </w:pPr>
            <w:r>
              <w:t xml:space="preserve">Balancing provider profit &amp; user value</w:t>
            </w:r>
          </w:p>
        </w:tc>
      </w:tr>
      <w:tr>
        <w:tc>
          <w:p>
            <w:pPr>
              <w:pStyle w:val="Compact"/>
              <w:jc w:val="left"/>
            </w:pPr>
            <w:r>
              <w:rPr>
                <w:b/>
              </w:rPr>
              <w:t xml:space="preserve">4. Value Communication</w:t>
            </w:r>
          </w:p>
        </w:tc>
        <w:tc>
          <w:p>
            <w:pPr>
              <w:pStyle w:val="Compact"/>
              <w:jc w:val="left"/>
            </w:pPr>
            <w:r>
              <w:t xml:space="preserve">ROI calculators, case studies, sales training, marketing</w:t>
            </w:r>
          </w:p>
        </w:tc>
        <w:tc>
          <w:p>
            <w:pPr>
              <w:pStyle w:val="Compact"/>
              <w:jc w:val="left"/>
            </w:pPr>
            <w:r>
              <w:t xml:space="preserve">Clear value proposition, sales collateral</w:t>
            </w:r>
          </w:p>
        </w:tc>
        <w:tc>
          <w:p>
            <w:pPr>
              <w:pStyle w:val="Compact"/>
              <w:jc w:val="left"/>
            </w:pPr>
            <w:r>
              <w:t xml:space="preserve">Demonstrating value pre-purchase</w:t>
            </w:r>
          </w:p>
        </w:tc>
      </w:tr>
      <w:tr>
        <w:tc>
          <w:p>
            <w:pPr>
              <w:pStyle w:val="Compact"/>
              <w:jc w:val="left"/>
            </w:pPr>
            <w:r>
              <w:rPr>
                <w:b/>
              </w:rPr>
              <w:t xml:space="preserve">5. Measurement &amp; Iteration</w:t>
            </w:r>
          </w:p>
        </w:tc>
        <w:tc>
          <w:p>
            <w:pPr>
              <w:pStyle w:val="Compact"/>
              <w:jc w:val="left"/>
            </w:pPr>
            <w:r>
              <w:t xml:space="preserve">Performance tracking, customer feedback, A/B testing</w:t>
            </w:r>
          </w:p>
        </w:tc>
        <w:tc>
          <w:p>
            <w:pPr>
              <w:pStyle w:val="Compact"/>
              <w:jc w:val="left"/>
            </w:pPr>
            <w:r>
              <w:t xml:space="preserve">Pricing adjustments, model optimization</w:t>
            </w:r>
          </w:p>
        </w:tc>
        <w:tc>
          <w:p>
            <w:pPr>
              <w:pStyle w:val="Compact"/>
              <w:jc w:val="left"/>
            </w:pPr>
            <w:r>
              <w:t xml:space="preserve">Evolving value, competitive pressures</w:t>
            </w:r>
          </w:p>
        </w:tc>
      </w:tr>
    </w:tbl>
    <w:p>
      <w:pPr>
        <w:pStyle w:val="BodyText"/>
      </w:pPr>
      <w:r>
        <w:rPr>
          <w:i/>
        </w:rPr>
        <w:t xml:space="preserve">Note: This table provides a simplified, iterative process for implementing value-based pricing, highlighting the practical steps and common hurdles encountered by AI providers.</w:t>
      </w:r>
    </w:p>
    <w:p>
      <w:pPr>
        <w:pStyle w:val="BodyText"/>
      </w:pPr>
      <w:r>
        <w:rPr>
          <w:b/>
        </w:rPr>
        <w:t xml:space="preserve">Stage 1: Data Extraction and Categorization.</w:t>
      </w:r>
      <w:r>
        <w:t xml:space="preserve"> </w:t>
      </w:r>
      <w:r>
        <w:t xml:space="preserve">For each selected AI pricing model, a meticulous process of data extraction will be undertaken. This involves systematically gathering all relevant information from publicly available sources, including official pricing pages, API documentation (Rudnytskyi, 2022), white papers, terms of service, and any publicly disclosed economic or technical specifications.</w:t>
      </w:r>
      <w:r>
        <w:t xml:space="preserve"> </w:t>
      </w:r>
      <w:r>
        <w:t xml:space="preserve">*</w:t>
      </w:r>
      <w:r>
        <w:t xml:space="preserve"> </w:t>
      </w:r>
      <w:r>
        <w:rPr>
          <w:b/>
        </w:rPr>
        <w:t xml:space="preserve">Information Mapping.</w:t>
      </w:r>
      <w:r>
        <w:t xml:space="preserve"> </w:t>
      </w:r>
      <w:r>
        <w:t xml:space="preserve">The extracted data will then be mapped onto the specific dimensions and sub-criteria of the developed analytical framework. For instance, details on token costs (Barbere et al., 2024)(Satapathi, 2025) will be categorized under</w:t>
      </w:r>
      <w:r>
        <w:t xml:space="preserve"> </w:t>
      </w:r>
      <w:r>
        <w:t xml:space="preserve">“</w:t>
      </w:r>
      <w:r>
        <w:t xml:space="preserve">Dynamic pricing and usage-based models</w:t>
      </w:r>
      <w:r>
        <w:t xml:space="preserve">”</w:t>
      </w:r>
      <w:r>
        <w:t xml:space="preserve"> </w:t>
      </w:r>
      <w:r>
        <w:t xml:space="preserve">(Economic Principles) and linked to</w:t>
      </w:r>
      <w:r>
        <w:t xml:space="preserve"> </w:t>
      </w:r>
      <w:r>
        <w:t xml:space="preserve">“</w:t>
      </w:r>
      <w:r>
        <w:t xml:space="preserve">Resource consumption</w:t>
      </w:r>
      <w:r>
        <w:t xml:space="preserve">”</w:t>
      </w:r>
      <w:r>
        <w:t xml:space="preserve"> </w:t>
      </w:r>
      <w:r>
        <w:t xml:space="preserve">(Technological Considerations). Information on data governance policies (Kaaniche &amp; Laurent, 2018) will be mapped to</w:t>
      </w:r>
      <w:r>
        <w:t xml:space="preserve"> </w:t>
      </w:r>
      <w:r>
        <w:t xml:space="preserve">“</w:t>
      </w:r>
      <w:r>
        <w:t xml:space="preserve">Data handling and privacy implications</w:t>
      </w:r>
      <w:r>
        <w:t xml:space="preserve">”</w:t>
      </w:r>
      <w:r>
        <w:t xml:space="preserve"> </w:t>
      </w:r>
      <w:r>
        <w:t xml:space="preserve">(Technological Considerations) and potentially</w:t>
      </w:r>
      <w:r>
        <w:t xml:space="preserve"> </w:t>
      </w:r>
      <w:r>
        <w:t xml:space="preserve">“</w:t>
      </w:r>
      <w:r>
        <w:t xml:space="preserve">Fairness and bias mitigation</w:t>
      </w:r>
      <w:r>
        <w:t xml:space="preserve">”</w:t>
      </w:r>
      <w:r>
        <w:t xml:space="preserve"> </w:t>
      </w:r>
      <w:r>
        <w:t xml:space="preserve">(Ethical and Societal Factors).</w:t>
      </w:r>
      <w:r>
        <w:t xml:space="preserve"> </w:t>
      </w:r>
      <w:r>
        <w:t xml:space="preserve">*</w:t>
      </w:r>
      <w:r>
        <w:t xml:space="preserve"> </w:t>
      </w:r>
      <w:r>
        <w:rPr>
          <w:b/>
        </w:rPr>
        <w:t xml:space="preserve">Qualitative Coding.</w:t>
      </w:r>
      <w:r>
        <w:t xml:space="preserve"> </w:t>
      </w:r>
      <w:r>
        <w:t xml:space="preserve">Qualitative data, such as descriptions of value propositions (Maguire, 2021)(Lorente, 2025) or ethical guidelines (Mirghaderi et al., 2023), will be coded thematically according to the framework’s categories. This systematic coding ensures that all relevant aspects of each pricing model are captured and organized consistently for subsequent comparison.</w:t>
      </w:r>
      <w:r>
        <w:t xml:space="preserve"> </w:t>
      </w:r>
      <w:r>
        <w:t xml:space="preserve">*</w:t>
      </w:r>
      <w:r>
        <w:t xml:space="preserve"> </w:t>
      </w:r>
      <w:r>
        <w:rPr>
          <w:b/>
        </w:rPr>
        <w:t xml:space="preserve">Quantitative Metric Identification.</w:t>
      </w:r>
      <w:r>
        <w:t xml:space="preserve"> </w:t>
      </w:r>
      <w:r>
        <w:t xml:space="preserve">Where applicable, specific quantitative metrics will be identified and recorded, such as cost per 1,000 tokens, cost per API call, or subscription tiers and their associated features. These metrics will provide a basis for quantitative comparison within certain sub-criteria.</w:t>
      </w:r>
    </w:p>
    <w:p>
      <w:pPr>
        <w:pStyle w:val="BodyText"/>
      </w:pPr>
      <w:r>
        <w:rPr>
          <w:b/>
        </w:rPr>
        <w:t xml:space="preserve">Stage 2: Individual Case Assessment.</w:t>
      </w:r>
      <w:r>
        <w:t xml:space="preserve"> </w:t>
      </w:r>
      <w:r>
        <w:t xml:space="preserve">Following data extraction, each selected AI pricing model will undergo an in-depth individual assessment against the full spectrum of the analytical framework.</w:t>
      </w:r>
      <w:r>
        <w:t xml:space="preserve"> </w:t>
      </w:r>
      <w:r>
        <w:t xml:space="preserve">*</w:t>
      </w:r>
      <w:r>
        <w:t xml:space="preserve"> </w:t>
      </w:r>
      <w:r>
        <w:rPr>
          <w:b/>
        </w:rPr>
        <w:t xml:space="preserve">Criterion-by-Criterion Evaluation.</w:t>
      </w:r>
      <w:r>
        <w:t xml:space="preserve"> </w:t>
      </w:r>
      <w:r>
        <w:t xml:space="preserve">For each case study, a detailed narrative will be developed for how its pricing model addresses or reflects each sub-criterion of the framework. This involves not only describing the pricing mechanism but also analyzing the underlying rationale. For example, if a model uses a freemium approach (Seufert, 2014), the assessment will delve into the features offered for free versus those paid, and the strategic intent behind this differentiation (Ladas et al., 2019).</w:t>
      </w:r>
      <w:r>
        <w:t xml:space="preserve"> </w:t>
      </w:r>
      <w:r>
        <w:t xml:space="preserve">*</w:t>
      </w:r>
      <w:r>
        <w:t xml:space="preserve"> </w:t>
      </w:r>
      <w:r>
        <w:rPr>
          <w:b/>
        </w:rPr>
        <w:t xml:space="preserve">Strengths and Weaknesses Identification.</w:t>
      </w:r>
      <w:r>
        <w:t xml:space="preserve"> </w:t>
      </w:r>
      <w:r>
        <w:t xml:space="preserve">Within each individual case assessment, the strengths and weaknesses of the pricing model will be identified with respect to each dimension of the framework. For instance, a model might be strong in</w:t>
      </w:r>
      <w:r>
        <w:t xml:space="preserve"> </w:t>
      </w:r>
      <w:r>
        <w:t xml:space="preserve">“</w:t>
      </w:r>
      <w:r>
        <w:t xml:space="preserve">Cost-plus pricing</w:t>
      </w:r>
      <w:r>
        <w:t xml:space="preserve">”</w:t>
      </w:r>
      <w:r>
        <w:t xml:space="preserve"> </w:t>
      </w:r>
      <w:r>
        <w:t xml:space="preserve">transparency (Kshirsagar et al., 2021) but weak in addressing</w:t>
      </w:r>
      <w:r>
        <w:t xml:space="preserve"> </w:t>
      </w:r>
      <w:r>
        <w:t xml:space="preserve">“</w:t>
      </w:r>
      <w:r>
        <w:t xml:space="preserve">Environmental impact.</w:t>
      </w:r>
      <w:r>
        <w:t xml:space="preserve">”</w:t>
      </w:r>
      <w:r>
        <w:t xml:space="preserve"> </w:t>
      </w:r>
      <w:r>
        <w:t xml:space="preserve">*</w:t>
      </w:r>
      <w:r>
        <w:t xml:space="preserve"> </w:t>
      </w:r>
      <w:r>
        <w:rPr>
          <w:b/>
        </w:rPr>
        <w:t xml:space="preserve">Internal Consistency Check.</w:t>
      </w:r>
      <w:r>
        <w:t xml:space="preserve"> </w:t>
      </w:r>
      <w:r>
        <w:t xml:space="preserve">An internal consistency check will be performed to ensure that the various elements of a single pricing model are coherent and aligned with the provider’s stated goals and the actual value proposition (Lorente, 2025).</w:t>
      </w:r>
    </w:p>
    <w:p>
      <w:pPr>
        <w:pStyle w:val="BodyText"/>
      </w:pPr>
      <w:r>
        <w:rPr>
          <w:b/>
        </w:rPr>
        <w:t xml:space="preserve">Stage 3: Cross-Case Synthesis.</w:t>
      </w:r>
      <w:r>
        <w:t xml:space="preserve"> </w:t>
      </w:r>
      <w:r>
        <w:t xml:space="preserve">This stage involves comparing and contrasting the findings from the individual case assessments to identify overarching patterns, commonalities, and significant divergences across the different AI pricing models.</w:t>
      </w:r>
      <w:r>
        <w:t xml:space="preserve"> </w:t>
      </w:r>
      <w:r>
        <w:t xml:space="preserve">*</w:t>
      </w:r>
      <w:r>
        <w:t xml:space="preserve"> </w:t>
      </w:r>
      <w:r>
        <w:rPr>
          <w:b/>
        </w:rPr>
        <w:t xml:space="preserve">Comparative Matrix Development.</w:t>
      </w:r>
      <w:r>
        <w:t xml:space="preserve"> </w:t>
      </w:r>
      <w:r>
        <w:t xml:space="preserve">A comparative matrix will be constructed, displaying how each selected AI pricing model performs or addresses each dimension and sub-criterion of the framework. This visual tool will facilitate the identification of similarities and differences.</w:t>
      </w:r>
      <w:r>
        <w:t xml:space="preserve"> </w:t>
      </w:r>
      <w:r>
        <w:t xml:space="preserve">*</w:t>
      </w:r>
      <w:r>
        <w:t xml:space="preserve"> </w:t>
      </w:r>
      <w:r>
        <w:rPr>
          <w:b/>
        </w:rPr>
        <w:t xml:space="preserve">Pattern Recognition.</w:t>
      </w:r>
      <w:r>
        <w:t xml:space="preserve"> </w:t>
      </w:r>
      <w:r>
        <w:t xml:space="preserve">Analysis will focus on identifying common trends in AI pricing, such as the prevalence of usage-based models (Barbere et al., 2024)(Satapathi, 2025)(Niharika et al., 2024), the integration of value-based components (Maguire, 2021)(Lorente, 2025), or the nascent inclusion of ethical considerations (Mirghaderi et al., 2023).</w:t>
      </w:r>
      <w:r>
        <w:t xml:space="preserve"> </w:t>
      </w:r>
      <w:r>
        <w:t xml:space="preserve">*</w:t>
      </w:r>
      <w:r>
        <w:t xml:space="preserve"> </w:t>
      </w:r>
      <w:r>
        <w:rPr>
          <w:b/>
        </w:rPr>
        <w:t xml:space="preserve">Identification of Best Practices and Areas for Concern.</w:t>
      </w:r>
      <w:r>
        <w:t xml:space="preserve"> </w:t>
      </w:r>
      <w:r>
        <w:t xml:space="preserve">Based on the comparative analysis, best practices in AI pricing will be identified—models that effectively balance economic viability with ethical considerations and technological realities. Conversely, common pitfalls or areas where current pricing models fall short will also be highlighted, particularly concerning issues like fairness, transparency, and sustainability (Mirghaderi et al., 2023).</w:t>
      </w:r>
      <w:r>
        <w:t xml:space="preserve"> </w:t>
      </w:r>
      <w:r>
        <w:t xml:space="preserve">*</w:t>
      </w:r>
      <w:r>
        <w:t xml:space="preserve"> </w:t>
      </w:r>
      <w:r>
        <w:rPr>
          <w:b/>
        </w:rPr>
        <w:t xml:space="preserve">Categorization of Pricing Archetypes.</w:t>
      </w:r>
      <w:r>
        <w:t xml:space="preserve"> </w:t>
      </w:r>
      <w:r>
        <w:t xml:space="preserve">The synthesis may lead to the identification of distinct</w:t>
      </w:r>
      <w:r>
        <w:t xml:space="preserve"> </w:t>
      </w:r>
      <w:r>
        <w:t xml:space="preserve">“</w:t>
      </w:r>
      <w:r>
        <w:t xml:space="preserve">pricing archetypes</w:t>
      </w:r>
      <w:r>
        <w:t xml:space="preserve">”</w:t>
      </w:r>
      <w:r>
        <w:t xml:space="preserve"> </w:t>
      </w:r>
      <w:r>
        <w:t xml:space="preserve">or categories that transcend individual providers, offering a more generalized understanding of AI pricing strategies in the market.</w:t>
      </w:r>
    </w:p>
    <w:p>
      <w:pPr>
        <w:pStyle w:val="BodyText"/>
      </w:pPr>
      <w:r>
        <w:rPr>
          <w:b/>
        </w:rPr>
        <w:t xml:space="preserve">Stage 4: Identification of Gaps and Opportunities.</w:t>
      </w:r>
      <w:r>
        <w:t xml:space="preserve"> </w:t>
      </w:r>
      <w:r>
        <w:t xml:space="preserve">The final stage of the analysis leverages the insights from the cross-case synthesis to articulate critical gaps in current AI pricing models and propose opportunities for future innovation and development.</w:t>
      </w:r>
      <w:r>
        <w:t xml:space="preserve"> </w:t>
      </w:r>
      <w:r>
        <w:t xml:space="preserve">*</w:t>
      </w:r>
      <w:r>
        <w:t xml:space="preserve"> </w:t>
      </w:r>
      <w:r>
        <w:rPr>
          <w:b/>
        </w:rPr>
        <w:t xml:space="preserve">Unaddressed Dimensions.</w:t>
      </w:r>
      <w:r>
        <w:t xml:space="preserve"> </w:t>
      </w:r>
      <w:r>
        <w:t xml:space="preserve">This involves pinpointing areas of the analytical framework that are consistently overlooked or inadequately addressed by existing pricing models. For example, if</w:t>
      </w:r>
      <w:r>
        <w:t xml:space="preserve"> </w:t>
      </w:r>
      <w:r>
        <w:t xml:space="preserve">“</w:t>
      </w:r>
      <w:r>
        <w:t xml:space="preserve">Environmental impact</w:t>
      </w:r>
      <w:r>
        <w:t xml:space="preserve">”</w:t>
      </w:r>
      <w:r>
        <w:t xml:space="preserve"> </w:t>
      </w:r>
      <w:r>
        <w:t xml:space="preserve">(Kshirsagar et al., 2irsagar et al., 2021) or</w:t>
      </w:r>
      <w:r>
        <w:t xml:space="preserve"> </w:t>
      </w:r>
      <w:r>
        <w:t xml:space="preserve">“</w:t>
      </w:r>
      <w:r>
        <w:t xml:space="preserve">Fairness and bias mitigation</w:t>
      </w:r>
      <w:r>
        <w:t xml:space="preserve">”</w:t>
      </w:r>
      <w:r>
        <w:t xml:space="preserve"> </w:t>
      </w:r>
      <w:r>
        <w:t xml:space="preserve">(Mirghaderi et al., 2023) are rarely factored into pricing, this represents a significant gap.</w:t>
      </w:r>
      <w:r>
        <w:t xml:space="preserve"> </w:t>
      </w:r>
      <w:r>
        <w:t xml:space="preserve">*</w:t>
      </w:r>
      <w:r>
        <w:t xml:space="preserve"> </w:t>
      </w:r>
      <w:r>
        <w:rPr>
          <w:b/>
        </w:rPr>
        <w:t xml:space="preserve">Theoretical Connections.</w:t>
      </w:r>
      <w:r>
        <w:t xml:space="preserve"> </w:t>
      </w:r>
      <w:r>
        <w:t xml:space="preserve">The findings will be connected back to broader theoretical discussions in economics, ethics, and technology policy. For instance, how do current pricing models reflect or challenge theories of market efficiency, information asymmetry, or the economics of innovation (Divakaruni &amp; Navarro, 2024)?</w:t>
      </w:r>
      <w:r>
        <w:t xml:space="preserve"> </w:t>
      </w:r>
      <w:r>
        <w:t xml:space="preserve">*</w:t>
      </w:r>
      <w:r>
        <w:t xml:space="preserve"> </w:t>
      </w:r>
      <w:r>
        <w:rPr>
          <w:b/>
        </w:rPr>
        <w:t xml:space="preserve">Recommendations for Future Design.</w:t>
      </w:r>
      <w:r>
        <w:t xml:space="preserve"> </w:t>
      </w:r>
      <w:r>
        <w:t xml:space="preserve">Based on the identified gaps and best practices, concrete recommendations will be formulated for the future design of AI pricing models. These recommendations will aim to promote more equitable, sustainable, and economically efficient approaches, considering the perspectives of both providers and users.</w:t>
      </w:r>
      <w:r>
        <w:t xml:space="preserve"> </w:t>
      </w:r>
      <w:r>
        <w:t xml:space="preserve">*</w:t>
      </w:r>
      <w:r>
        <w:t xml:space="preserve"> </w:t>
      </w:r>
      <w:r>
        <w:rPr>
          <w:b/>
        </w:rPr>
        <w:t xml:space="preserve">Future Research Avenues.</w:t>
      </w:r>
      <w:r>
        <w:t xml:space="preserve"> </w:t>
      </w:r>
      <w:r>
        <w:t xml:space="preserve">The analysis will also identify areas where further empirical or theoretical research is needed to deepen the understanding of AI pricing dynamics and their long-term implications.</w:t>
      </w:r>
    </w:p>
    <w:p>
      <w:pPr>
        <w:pStyle w:val="BodyText"/>
      </w:pPr>
      <w:r>
        <w:rPr>
          <w:b/>
        </w:rPr>
        <w:t xml:space="preserve">Limitations of the Approach and Validity Measures.</w:t>
      </w:r>
      <w:r>
        <w:t xml:space="preserve"> </w:t>
      </w:r>
      <w:r>
        <w:t xml:space="preserve">While rigorous, this methodological approach has inherent limitations. The reliance on publicly available information means that proprietary or undisclosed aspects of pricing models cannot be fully analyzed. The dynamic nature of the AI market also implies that pricing models can change rapidly, necessitating a focus on current trends (Korinek, 2025)(Satapathi, 2025)(Bhuram, 2025)(Niharika et al., 2024). To enhance the validity and reliability of the findings, several measures will be employed: clear and explicit definitions for all framework criteria, systematic data extraction and coding procedures, and multiple rounds of review for individual case assessments and cross-case comparisons. The theoretical grounding of the framework and its systematic application will ensure the internal consistency and logical coherence of the analysis, providing a robust foundation for the study’s conclusions.</w:t>
      </w:r>
    </w:p>
    <w:p>
      <w:pPr>
        <w:pStyle w:val="BodyText"/>
      </w:pPr>
      <w:r>
        <w:t xml:space="preserve">This detailed methodological framework ensures a thorough, systematic, and ethically informed analysis of AI pricing models. By integrating economic, technological, and ethical dimensions, the study aims to provide a comprehensive understanding of current practices and actionable insights for the future development of the AI economy. The transparent and structured approach ensures that the findings are robust, replicable, and contribute meaningfully to the discourse on AI ethics and economics.</w:t>
      </w:r>
    </w:p>
    <w:p>
      <w:pPr>
        <w:pStyle w:val="Heading1"/>
      </w:pPr>
      <w:bookmarkStart w:id="48" w:name="analysis"/>
      <w:r>
        <w:t xml:space="preserve">Analysis</w:t>
      </w:r>
      <w:bookmarkEnd w:id="48"/>
    </w:p>
    <w:p>
      <w:pPr>
        <w:pStyle w:val="FirstParagraph"/>
      </w:pPr>
      <w:r>
        <w:t xml:space="preserve">The proliferation of artificial intelligence (AI) technologies across various sectors has necessitated the development of robust and equitable pricing models. Unlike traditional software, AI services often involve complex computational resources, continuous model training, and varying degrees of intellectual property, making their valuation a multifaceted challenge (Korinek, 2025). This section undertakes a comprehensive analysis of the prevailing AI pricing models, dissecting their advantages, disadvantages, and real-world applications. Furthermore, it explores the burgeoning landscape of hybrid pricing strategies, which seek to balance economic viability with ethical considerations and user accessibility. The goal is to provide a nuanced understanding of how AI is monetized, the implications for both providers and consumers, and the strategic directions for future development in this dynamic market (Lorente, 2025).</w:t>
      </w:r>
    </w:p>
    <w:p>
      <w:pPr>
        <w:pStyle w:val="Heading2"/>
      </w:pPr>
      <w:bookmarkStart w:id="49" w:name="X58e412b6633a8e7cd173037785a8c86b02305e0"/>
      <w:r>
        <w:t xml:space="preserve">1. Comparative Analysis of AI Pricing Models</w:t>
      </w:r>
      <w:bookmarkEnd w:id="49"/>
    </w:p>
    <w:p>
      <w:pPr>
        <w:pStyle w:val="FirstParagraph"/>
      </w:pPr>
      <w:r>
        <w:t xml:space="preserve">The diverse nature of AI services, ranging from highly specialized machine learning (ML) models to general-purpose large language models (LLMs), has led to the adoption of a variety of pricing strategies. Each model reflects different assumptions about value creation, cost recovery, and market positioning. Understanding these distinctions is crucial for both AI developers seeking to commercialize their innovations and users aiming to optimize their consumption (De, 2017).</w:t>
      </w:r>
    </w:p>
    <w:p>
      <w:pPr>
        <w:pStyle w:val="Heading3"/>
      </w:pPr>
      <w:bookmarkStart w:id="50" w:name="cost-plus-pricing"/>
      <w:r>
        <w:t xml:space="preserve">1.1 Cost-Plus Pricing</w:t>
      </w:r>
      <w:bookmarkEnd w:id="50"/>
    </w:p>
    <w:p>
      <w:pPr>
        <w:pStyle w:val="FirstParagraph"/>
      </w:pPr>
      <w:r>
        <w:t xml:space="preserve">Cost-plus pricing is one of the most straightforward methods, where the price of an AI service is determined by calculating the total cost of production and adding a predetermined profit margin (Kshirsagar et al., 2021). This approach typically involves aggregating direct costs, such as computational resources (GPUs, TPUs), data acquisition and labeling, model development and training, and infrastructure maintenance. Indirect costs, including research and development, marketing, and administrative overhead, are also factored in. For AI services, the computational cost can be substantial, particularly for large-scale models requiring extensive training data and iterative refinement (Kshirsagar et al., 2021). The transparency offered by this model can be appealing, as it directly links the price to the resources consumed, potentially fostering trust with customers who understand the underlying expenditures.</w:t>
      </w:r>
    </w:p>
    <w:p>
      <w:pPr>
        <w:pStyle w:val="BodyText"/>
      </w:pPr>
      <w:r>
        <w:t xml:space="preserve">A significant advantage of cost-plus pricing lies in its simplicity and predictability. Providers can ensure that every service sold contributes to covering costs and generating a profit, reducing financial risk. This model is particularly relevant for custom AI solutions or projects where the computational and development effort can be clearly delineated and tracked (Kshirsagar et al., 2021). For instance, a company commissioning a bespoke ML model for fraud detection might be charged based on the engineering hours, the specific dataset used, and the compute time expended on training and fine-tuning the model. This method ensures that the provider is compensated for the unique effort involved in developing a tailored solution. Moreover, in nascent AI markets, where value propositions are still evolving and competitive benchmarks are scarce, cost-plus pricing can serve as a pragmatic starting point, allowing providers to establish a baseline for their offerings.</w:t>
      </w:r>
    </w:p>
    <w:p>
      <w:pPr>
        <w:pStyle w:val="BodyText"/>
      </w:pPr>
      <w:r>
        <w:t xml:space="preserve">However, cost-plus pricing also presents several notable disadvantages in the context of AI. Firstly, it often fails to account for the perceived value of the AI service to the customer (Maguire, 2021). A highly efficient AI model that solves a critical business problem could generate immense value for a client, far exceeding its development cost. By solely focusing on costs, providers might leave significant revenue on the table. Secondly, accurately calculating all costs associated with AI development and deployment can be challenging. The iterative nature of AI research, the unforeseen computational demands, and the continuous need for model updates can make cost estimation difficult and prone to inaccuracies (Kshirsagar et al., 2021). This complexity is further exacerbated by the dynamic nature of cloud computing costs, which can fluctuate based on demand and resource availability. Thirdly, cost-plus pricing offers little incentive for efficiency improvements beyond the profit margin. If a provider finds ways to reduce the operational costs of their AI service, but their pricing model is strictly cost-plus, they might not fully capture the benefits of those efficiencies in increased profit margins, unless they adjust the profit percentage. Lastly, in a competitive market, a purely cost-plus approach may render an AI service uncompetitive if rivals can offer similar solutions at a lower price point, perhaps due to superior economies of scale or more innovative cost structures.</w:t>
      </w:r>
    </w:p>
    <w:p>
      <w:pPr>
        <w:pStyle w:val="Heading3"/>
      </w:pPr>
      <w:bookmarkStart w:id="51" w:name="value-based-pricing"/>
      <w:r>
        <w:t xml:space="preserve">1.2 Value-Based Pricing</w:t>
      </w:r>
      <w:bookmarkEnd w:id="51"/>
    </w:p>
    <w:p>
      <w:pPr>
        <w:pStyle w:val="FirstParagraph"/>
      </w:pPr>
      <w:r>
        <w:t xml:space="preserve">Value-based pricing stands in stark contrast to cost-plus, focusing not on the cost of production but on the perceived or actual value an AI service delivers to the customer (Maguire, 2021). This approach requires a deep understanding of the customer’s needs, business objectives, and the tangible benefits derived from the AI solution. For example, an AI system that automates a process previously requiring hundreds of human hours, or one that identifies critical market trends leading to millions in new revenue, creates substantial value. The pricing, in this model, would reflect a fraction of that generated value, positioning the AI service as an investment rather than an expense (Lorente, 2025). This strategy aligns the interests of the provider with those of the customer, as the provider’s revenue is directly tied to the success and impact of their AI offering.</w:t>
      </w:r>
    </w:p>
    <w:p>
      <w:pPr>
        <w:pStyle w:val="BodyText"/>
      </w:pPr>
      <w:r>
        <w:t xml:space="preserve">The primary advantage of value-based pricing is its potential for higher profit margins. By capturing a portion of the value created for the customer, providers can command premium prices, especially for highly impactful AI solutions. This model encourages innovation and continuous improvement, as providers are incentivized to enhance the value proposition of their AI services to justify higher prices (Maguire, 2021). Furthermore, it fosters stronger customer relationships, as the focus shifts from transactional costs to long-term value partnerships. Customers are more likely to invest in solutions that clearly demonstrate a return on investment, making the value proposition a key differentiator in a crowded market (Lorente, 2025). This approach is particularly effective for specialized AI applications where the impact is clear and quantifiable, such as AI-driven drug discovery, financial fraud detection, or highly optimized logistics systems.</w:t>
      </w:r>
    </w:p>
    <w:p>
      <w:pPr>
        <w:pStyle w:val="BodyText"/>
      </w:pPr>
      <w:r>
        <w:t xml:space="preserve">However, implementing value-based pricing is considerably more complex than cost-plus. Quantifying the precise value an AI service delivers can be challenging, especially for intangible benefits or in situations where the AI is one of many factors contributing to a business outcome (Maguire, 2021). It often requires extensive customer research, pilot programs, and sophisticated analytical tools to measure impact. Customers may also be reluctant to share proprietary information necessary for accurate value assessment, or they may dispute the calculated value, leading to negotiation complexities (Ayata, 2020). Moreover, the perceived value of an AI service can diminish over time as competitors emerge or as the technology becomes more commoditized. This necessitates continuous re-evaluation of pricing strategies. There’s also the risk of overpricing if the perceived value is overestimated, potentially alienating price-sensitive customers or those who are skeptical of the AI’s promised benefits. Lastly, for general-purpose AI models like LLMs, where the application varies widely across users, defining a universal</w:t>
      </w:r>
      <w:r>
        <w:t xml:space="preserve"> </w:t>
      </w:r>
      <w:r>
        <w:t xml:space="preserve">“</w:t>
      </w:r>
      <w:r>
        <w:t xml:space="preserve">value</w:t>
      </w:r>
      <w:r>
        <w:t xml:space="preserve">”</w:t>
      </w:r>
      <w:r>
        <w:t xml:space="preserve"> </w:t>
      </w:r>
      <w:r>
        <w:t xml:space="preserve">metric becomes exceptionally difficult, often pushing providers towards usage-based or subscription models instead.</w:t>
      </w:r>
    </w:p>
    <w:p>
      <w:pPr>
        <w:pStyle w:val="Heading3"/>
      </w:pPr>
      <w:bookmarkStart w:id="52" w:name="usage-based-and-token-pricing"/>
      <w:r>
        <w:t xml:space="preserve">1.3 Usage-Based and Token Pricing</w:t>
      </w:r>
      <w:bookmarkEnd w:id="52"/>
    </w:p>
    <w:p>
      <w:pPr>
        <w:pStyle w:val="FirstParagraph"/>
      </w:pPr>
      <w:r>
        <w:t xml:space="preserve">Usage-based pricing, also known as pay-as-you-go, charges customers based on their actual consumption of the AI service (De, 2017). This model is highly prevalent in the cloud computing and API economy, where resources like compute time, data storage, or API calls are metered (Satapathi, 2025). For large language models (LLMs), a specific form of usage-based pricing has emerged: token pricing. Tokens are the fundamental units of text (words, subwords, or characters) that LLMs process. Users are charged per token for both input (prompts) and output (generated responses) (Barbere et al., 2024). This granular metering allows for precise cost allocation and aligns directly with the computational effort expended by the model.</w:t>
      </w:r>
    </w:p>
    <w:p>
      <w:pPr>
        <w:pStyle w:val="BodyText"/>
      </w:pPr>
      <w:r>
        <w:t xml:space="preserve">The primary advantage of usage-based and token pricing is its flexibility and fairness from the customer’s perspective. Users only pay for what they consume, making it an attractive option for businesses with fluctuating demands or those just starting to explore AI capabilities (De, 2017). This low barrier to entry encourages experimentation and wider adoption, as customers can scale their usage up or down without committing to large upfront investments. For providers, this model can lead to predictable revenue streams for established services and allows them to capture revenue from high-volume users, which might be missed in flat-rate subscription models. It also inherently encourages efficient use of the AI service, as users are incentivized to optimize their prompts and requests to minimize token count and therefore cost (Barbere et al., 2024). The transparency of usage metrics, such as API calls or token counts, provides clear billing information (Satapathi, 2025).</w:t>
      </w:r>
    </w:p>
    <w:p>
      <w:pPr>
        <w:pStyle w:val="BodyText"/>
      </w:pPr>
      <w:r>
        <w:t xml:space="preserve">However, usage-based pricing, particularly token pricing, comes with its own set of challenges. For users, unpredictable costs can be a significant concern. Without careful monitoring, usage can quickly escalate, leading to unexpectedly high bills, especially during peak periods or for complex tasks (Barbere et al., 2024). This unpredictability can make budgeting difficult for businesses. Furthermore, the concept of a</w:t>
      </w:r>
      <w:r>
        <w:t xml:space="preserve"> </w:t>
      </w:r>
      <w:r>
        <w:t xml:space="preserve">“</w:t>
      </w:r>
      <w:r>
        <w:t xml:space="preserve">token</w:t>
      </w:r>
      <w:r>
        <w:t xml:space="preserve">”</w:t>
      </w:r>
      <w:r>
        <w:t xml:space="preserve"> </w:t>
      </w:r>
      <w:r>
        <w:t xml:space="preserve">itself can be opaque to end-users, especially when a single word might translate to multiple tokens depending on the language and encoding (Barbere et al., 2024). This lack of intuitive understanding can lead to frustration and a perception of unfairness. For providers, managing infrastructure to meet unpredictable demand and accurately metering usage at scale requires sophisticated technical systems (De, 2017). There’s also the risk of</w:t>
      </w:r>
      <w:r>
        <w:t xml:space="preserve"> </w:t>
      </w:r>
      <w:r>
        <w:t xml:space="preserve">“</w:t>
      </w:r>
      <w:r>
        <w:t xml:space="preserve">penny-pinching</w:t>
      </w:r>
      <w:r>
        <w:t xml:space="preserve">”</w:t>
      </w:r>
      <w:r>
        <w:t xml:space="preserve"> </w:t>
      </w:r>
      <w:r>
        <w:t xml:space="preserve">by users, who might compromise the quality or comprehensiveness of their AI interactions to save on token costs, potentially limiting the full utility of the AI service. Finally, this model may not adequately capture the intrinsic value of the AI’s capabilities, especially for highly sophisticated models where the intellectual property and training investment are substantial, irrespective of a single query’s token count.</w:t>
      </w:r>
    </w:p>
    <w:p>
      <w:pPr>
        <w:pStyle w:val="Heading3"/>
      </w:pPr>
      <w:bookmarkStart w:id="53" w:name="subscription-and-tiered-models"/>
      <w:r>
        <w:t xml:space="preserve">1.4 Subscription and Tiered Models</w:t>
      </w:r>
      <w:bookmarkEnd w:id="53"/>
    </w:p>
    <w:p>
      <w:pPr>
        <w:pStyle w:val="FirstParagraph"/>
      </w:pPr>
      <w:r>
        <w:t xml:space="preserve">Subscription-based pricing involves customers paying a recurring fee (monthly, annually) for access to an AI service or a defined set of features (Ladas et al., 2019). This model is widely adopted across the software-as-a-service (SaaS) industry and has naturally extended to AI services. Within the subscription framework, tiered pricing is a common variation, offering different levels of service at varying price points (Satapathi, 2025). These tiers typically differentiate access based on features, usage limits (e.g., number of API calls, token volume), priority access, support levels, or the capabilities of the underlying AI model (e.g., access to a smaller, faster model versus a larger, more capable one).</w:t>
      </w:r>
    </w:p>
    <w:p>
      <w:pPr>
        <w:pStyle w:val="BodyText"/>
      </w:pPr>
      <w:r>
        <w:t xml:space="preserve">The primary benefit of subscription and tiered models is revenue predictability for providers (Ladas et al., 2019). Recurring revenue allows for better financial planning, investment in R&amp;D, and stable growth. For customers, subscriptions offer cost predictability, making budgeting simpler and eliminating the concern of unexpected spikes in usage-based billing (Satapathi, 2025). Tiers provide flexibility, allowing customers to choose a plan that best fits their needs and budget, and offering a clear upgrade path as their requirements evolve. This structure is particularly effective for AI tools that are integrated into daily workflows or require consistent access, such as AI-powered writing assistants, code generators, or advanced analytics platforms. The</w:t>
      </w:r>
      <w:r>
        <w:t xml:space="preserve"> </w:t>
      </w:r>
      <w:r>
        <w:t xml:space="preserve">“</w:t>
      </w:r>
      <w:r>
        <w:t xml:space="preserve">all-you-can-eat</w:t>
      </w:r>
      <w:r>
        <w:t xml:space="preserve">”</w:t>
      </w:r>
      <w:r>
        <w:t xml:space="preserve"> </w:t>
      </w:r>
      <w:r>
        <w:t xml:space="preserve">nature of some subscription tiers can also encourage greater exploration and utilization of the AI service without the constant worry of incremental costs.</w:t>
      </w:r>
    </w:p>
    <w:p>
      <w:pPr>
        <w:pStyle w:val="BodyText"/>
      </w:pPr>
      <w:r>
        <w:t xml:space="preserve">Despite these advantages, subscription and tiered models also have drawbacks. For providers, acquiring and retaining subscribers can be challenging, especially in competitive markets (Siddannavar et al., 2025). There is constant pressure to demonstrate ongoing value to prevent churn. If the perceived value of the subscription does not meet expectations, customers may cancel. For customers, the fixed cost of a subscription can be a disadvantage if their usage is low or intermittent, leading to feelings of overpayment (Ladas et al., 2019). The</w:t>
      </w:r>
      <w:r>
        <w:t xml:space="preserve"> </w:t>
      </w:r>
      <w:r>
        <w:t xml:space="preserve">“</w:t>
      </w:r>
      <w:r>
        <w:t xml:space="preserve">tier lock-in</w:t>
      </w:r>
      <w:r>
        <w:t xml:space="preserve">”</w:t>
      </w:r>
      <w:r>
        <w:t xml:space="preserve"> </w:t>
      </w:r>
      <w:r>
        <w:t xml:space="preserve">can also be frustrating if a customer’s needs fall exactly between two tiers, forcing them to either overpay for unused features or be limited by insufficient resources. Furthermore, defining appropriate tiers requires careful market research and balancing acts. If tiers are too restrictive, they can deter adoption; if they are too generous, they can cannibalize higher-tier sales. The complexity of managing multiple feature sets, usage limits, and support levels across different tiers can also add operational overhead for providers (Satapathi, 2025). Lastly, for highly innovative AI capabilities, a flat subscription might not adequately capture the differential value created for different users, potentially leaving revenue on the table compared to a more granular value-based or usage-based approach.</w:t>
      </w:r>
    </w:p>
    <w:p>
      <w:pPr>
        <w:pStyle w:val="Heading3"/>
      </w:pPr>
      <w:bookmarkStart w:id="54" w:name="freemium-strategies"/>
      <w:r>
        <w:t xml:space="preserve">1.5 Freemium Strategies</w:t>
      </w:r>
      <w:bookmarkEnd w:id="54"/>
    </w:p>
    <w:p>
      <w:pPr>
        <w:pStyle w:val="FirstParagraph"/>
      </w:pPr>
      <w:r>
        <w:t xml:space="preserve">Freemium is a business model where a basic version of an AI service is offered for free, while advanced features, higher usage limits, or premium support are available through paid subscriptions (Seufert, 2014). This strategy aims to attract a large user base with the free offering, converting a portion of these users into paying customers as their needs grow or they recognize the value of the premium features. In the AI context, this might involve offering a limited number of free API calls, a slower or smaller AI model, or basic functionality without advanced customization options.</w:t>
      </w:r>
    </w:p>
    <w:p>
      <w:pPr>
        <w:pStyle w:val="BodyText"/>
      </w:pPr>
      <w:r>
        <w:t xml:space="preserve">The primary advantage of a freemium model is its powerful user acquisition capability. By removing financial barriers to entry, providers can quickly gain a large user base, generate brand awareness, and collect valuable feedback on their AI service (Seufert, 2014). This broad exposure can create network effects, where the value of the service increases with more users. For customers, freemium offers a risk-free way to test and evaluate an AI service before committing financially, allowing them to experience the value firsthand. This</w:t>
      </w:r>
      <w:r>
        <w:t xml:space="preserve"> </w:t>
      </w:r>
      <w:r>
        <w:t xml:space="preserve">“</w:t>
      </w:r>
      <w:r>
        <w:t xml:space="preserve">try before you buy</w:t>
      </w:r>
      <w:r>
        <w:t xml:space="preserve">”</w:t>
      </w:r>
      <w:r>
        <w:t xml:space="preserve"> </w:t>
      </w:r>
      <w:r>
        <w:t xml:space="preserve">approach can build trust and confidence in the AI technology. It also serves as an effective marketing tool, as free users often act as advocates, spreading word-of-mouth about the service.</w:t>
      </w:r>
    </w:p>
    <w:p>
      <w:pPr>
        <w:pStyle w:val="BodyText"/>
      </w:pPr>
      <w:r>
        <w:t xml:space="preserve">However, the freemium model carries significant risks and challenges. The most prominent is the difficulty in converting free users into paying customers. Many users may be content with the free version and never upgrade, leading to substantial operational costs for the provider without corresponding revenue (Seufert, 2014). This requires careful balancing of the free offering – it must be valuable enough to attract users but limited enough to incentivize upgrades. The cost of serving free users, including infrastructure, support, and maintenance, can be substantial, especially for computationally intensive AI services. Furthermore, managing the distinction between free and premium features can be tricky; if the free version is too generous, it cannibalizes paid sales, but if it’s too restrictive, it fails to demonstrate sufficient value. There’s also the risk of brand dilution if the free version is perceived as low quality or unreliable. For AI services, where the underlying computational costs can be high, sustaining a large free tier can be financially unsustainable without a strong conversion rate (Seufert, 2014). This necessitates a robust understanding of customer lifetime value and effective monetization strategies for the premium tiers.</w:t>
      </w:r>
    </w:p>
    <w:p>
      <w:pPr>
        <w:pStyle w:val="Heading3"/>
      </w:pPr>
      <w:bookmarkStart w:id="55" w:name="dynamic-pricing-mechanisms"/>
      <w:r>
        <w:t xml:space="preserve">1.6 Dynamic Pricing Mechanisms</w:t>
      </w:r>
      <w:bookmarkEnd w:id="55"/>
    </w:p>
    <w:p>
      <w:pPr>
        <w:pStyle w:val="FirstParagraph"/>
      </w:pPr>
      <w:r>
        <w:t xml:space="preserve">Dynamic pricing involves adjusting the price of an AI service in real-time based on various factors, such as demand, supply, time of day, user segment, or even competitor pricing (Bhuram, 2025). This approach leverages data analytics and machine learning algorithms to optimize pricing for maximum revenue or utility. In the context of AI, dynamic pricing could mean higher costs for API calls during peak hours, differentiated pricing based on the complexity of the query, or personalized pricing based on a user’s historical usage patterns and perceived willingness to pay (Niharika et al., 2024). The core idea is to respond flexibly to market conditions and individual user characteristics.</w:t>
      </w:r>
    </w:p>
    <w:p>
      <w:pPr>
        <w:pStyle w:val="BodyText"/>
      </w:pPr>
      <w:r>
        <w:t xml:space="preserve">The main advantage of dynamic pricing is its potential to optimize revenue and resource utilization. By adjusting prices based on demand, providers can smooth out usage peaks, ensuring better service quality for all users and maximizing the utilization of their expensive AI infrastructure (Bhuram, 2025). During low-demand periods, lower prices can stimulate usage, while higher prices during peak times can manage congestion and capture additional revenue. This flexibility allows providers to respond quickly to market changes and competitive pressures. For certain user segments, personalized dynamic pricing could offer more relevant and potentially lower prices, enhancing customer satisfaction and encouraging adoption (Niharika et al., 2024). It also provides a mechanism to monetize AI services more effectively by capturing consumer surplus across different market conditions.</w:t>
      </w:r>
    </w:p>
    <w:p>
      <w:pPr>
        <w:pStyle w:val="BodyText"/>
      </w:pPr>
      <w:r>
        <w:t xml:space="preserve">However, dynamic pricing is fraught with complexities and potential pitfalls. From a customer perspective, fluctuating prices can lead to frustration, confusion, and a perception of unfairness (Ayata, 2020). Users may feel exploited if they see prices change arbitrarily or if they suspect personalized pricing is discriminatory. This can erode trust and lead to negative public relations. Implementing dynamic pricing requires sophisticated data analytics capabilities, real-time market monitoring, and robust algorithms to ensure prices are optimized effectively without alienating customers (Niharika et al., 2024). Providers must also navigate ethical considerations, particularly regarding price discrimination and ensuring that essential AI services remain accessible. There’s a risk of creating a</w:t>
      </w:r>
      <w:r>
        <w:t xml:space="preserve"> </w:t>
      </w:r>
      <w:r>
        <w:t xml:space="preserve">“</w:t>
      </w:r>
      <w:r>
        <w:t xml:space="preserve">black box</w:t>
      </w:r>
      <w:r>
        <w:t xml:space="preserve">”</w:t>
      </w:r>
      <w:r>
        <w:t xml:space="preserve"> </w:t>
      </w:r>
      <w:r>
        <w:t xml:space="preserve">pricing mechanism that customers don’t understand, leading to resentment. Furthermore, in highly competitive markets, overly aggressive dynamic pricing can backfire, driving customers to rivals with more stable or transparent pricing structures. The legal and regulatory landscape around dynamic pricing, especially concerning anti-trust and consumer protection, is also evolving, posing additional challenges (Ayata, 2020).</w:t>
      </w:r>
    </w:p>
    <w:p>
      <w:pPr>
        <w:pStyle w:val="Heading3"/>
      </w:pPr>
      <w:bookmarkStart w:id="56" w:name="ethics-driven-and-green-ai-pricing"/>
      <w:r>
        <w:t xml:space="preserve">1.7 Ethics-Driven and Green AI Pricing</w:t>
      </w:r>
      <w:bookmarkEnd w:id="56"/>
    </w:p>
    <w:p>
      <w:pPr>
        <w:pStyle w:val="FirstParagraph"/>
      </w:pPr>
      <w:r>
        <w:t xml:space="preserve">An emerging paradigm in AI pricing is the integration of ethical considerations, particularly those related to environmental sustainability and social equity. Green AI pricing explicitly incorporates the environmental cost of AI development and deployment, aiming to incentivize more energy-efficient models and practices (Kshirsagar et al., 2021). This might involve higher prices for computationally intensive models with large carbon footprints or discounts for models optimized for energy efficiency. Ethics-driven pricing extends beyond environmental impact to encompass fairness, transparency, and accessibility, seeking to ensure that AI services are not only profitable but also socially responsible.</w:t>
      </w:r>
    </w:p>
    <w:p>
      <w:pPr>
        <w:pStyle w:val="BodyText"/>
      </w:pPr>
      <w:r>
        <w:t xml:space="preserve">The primary advantage of ethics-driven and Green AI pricing is its alignment with growing societal demands for corporate social responsibility and sustainable practices. For providers, adopting such models can enhance brand reputation, attract environmentally conscious customers and investors, and differentiate their offerings in a competitive market (Mirghaderi et al., 2023). It encourages the development of more efficient AI algorithms and hardware, fostering innovation in</w:t>
      </w:r>
      <w:r>
        <w:t xml:space="preserve"> </w:t>
      </w:r>
      <w:r>
        <w:t xml:space="preserve">“</w:t>
      </w:r>
      <w:r>
        <w:t xml:space="preserve">green computing</w:t>
      </w:r>
      <w:r>
        <w:t xml:space="preserve">”</w:t>
      </w:r>
      <w:r>
        <w:t xml:space="preserve"> </w:t>
      </w:r>
      <w:r>
        <w:t xml:space="preserve">within the AI domain (Kshirsagar et al., 2021). From a broader societal perspective, it helps mitigate the environmental impact of AI, which is becoming increasingly significant due to the energy demands of large-scale model training. For customers, choosing ethically priced AI services allows them to contribute to sustainable development and ensures they are engaging with responsible technology providers. This can be a key factor for organizations committed to their own ESG (Environmental, Social, and Governance) goals.</w:t>
      </w:r>
    </w:p>
    <w:p>
      <w:pPr>
        <w:pStyle w:val="BodyText"/>
      </w:pPr>
      <w:r>
        <w:t xml:space="preserve">Despite its laudable goals, implementing ethics-driven and Green AI pricing presents significant challenges. Quantifying the environmental cost of an AI model, including its carbon footprint from training, inference, and data storage, is complex and requires standardized metrics that are still under development (Kshirsagar et al., 2021). There is also the challenge of translating these environmental costs into a transparent and acceptable pricing structure for customers. Customers may be reluctant to pay a premium for</w:t>
      </w:r>
      <w:r>
        <w:t xml:space="preserve"> </w:t>
      </w:r>
      <w:r>
        <w:t xml:space="preserve">“</w:t>
      </w:r>
      <w:r>
        <w:t xml:space="preserve">green</w:t>
      </w:r>
      <w:r>
        <w:t xml:space="preserve">”</w:t>
      </w:r>
      <w:r>
        <w:t xml:space="preserve"> </w:t>
      </w:r>
      <w:r>
        <w:t xml:space="preserve">AI if they do not perceive a direct benefit to their own operations, especially if cheaper, less environmentally friendly alternatives exist. Furthermore, defining and measuring</w:t>
      </w:r>
      <w:r>
        <w:t xml:space="preserve"> </w:t>
      </w:r>
      <w:r>
        <w:t xml:space="preserve">“</w:t>
      </w:r>
      <w:r>
        <w:t xml:space="preserve">ethical</w:t>
      </w:r>
      <w:r>
        <w:t xml:space="preserve">”</w:t>
      </w:r>
      <w:r>
        <w:t xml:space="preserve"> </w:t>
      </w:r>
      <w:r>
        <w:t xml:space="preserve">AI attributes beyond environmental impact, such as fairness, bias mitigation, and transparency, and then integrating these into a pricing model, is even more complex (Mirghaderi et al., 2023). There’s a risk of</w:t>
      </w:r>
      <w:r>
        <w:t xml:space="preserve"> </w:t>
      </w:r>
      <w:r>
        <w:t xml:space="preserve">“</w:t>
      </w:r>
      <w:r>
        <w:t xml:space="preserve">greenwashing</w:t>
      </w:r>
      <w:r>
        <w:t xml:space="preserve">”</w:t>
      </w:r>
      <w:r>
        <w:t xml:space="preserve"> </w:t>
      </w:r>
      <w:r>
        <w:t xml:space="preserve">or</w:t>
      </w:r>
      <w:r>
        <w:t xml:space="preserve"> </w:t>
      </w:r>
      <w:r>
        <w:t xml:space="preserve">“</w:t>
      </w:r>
      <w:r>
        <w:t xml:space="preserve">ethics-washing,</w:t>
      </w:r>
      <w:r>
        <w:t xml:space="preserve">”</w:t>
      </w:r>
      <w:r>
        <w:t xml:space="preserve"> </w:t>
      </w:r>
      <w:r>
        <w:t xml:space="preserve">where providers superficially adopt these labels without genuine commitment, undermining the credibility of the entire approach. The market for ethics-driven AI is still nascent, and the willingness of customers to pay a premium for these attributes is not yet fully established, creating uncertainty for early adopters of such pricing models.</w:t>
      </w:r>
    </w:p>
    <w:p>
      <w:pPr>
        <w:pStyle w:val="Heading2"/>
      </w:pPr>
      <w:bookmarkStart w:id="57" w:name="Xb65f36b61ce418f37c17822942d0dd025a28b2a"/>
      <w:r>
        <w:t xml:space="preserve">2. Advantages and Disadvantages of Dominant AI Pricing Strategies</w:t>
      </w:r>
      <w:bookmarkEnd w:id="57"/>
    </w:p>
    <w:p>
      <w:pPr>
        <w:pStyle w:val="FirstParagraph"/>
      </w:pPr>
      <w:r>
        <w:t xml:space="preserve">The choice of an AI pricing model is a strategic decision with far-reaching implications for both providers and consumers. It influences market adoption, revenue stability, operational efficiency, and even the ethical landscape of AI development (Lorente, 2025). A thorough examination of the advantages and disadvantages across economic, operational, user experience, and ethical dimensions reveals the trade-offs inherent in each approach.</w:t>
      </w:r>
    </w:p>
    <w:p>
      <w:pPr>
        <w:pStyle w:val="Heading3"/>
      </w:pPr>
      <w:bookmarkStart w:id="58" w:name="economic-implications"/>
      <w:r>
        <w:t xml:space="preserve">2.1 Economic Implications</w:t>
      </w:r>
      <w:bookmarkEnd w:id="58"/>
    </w:p>
    <w:p>
      <w:pPr>
        <w:pStyle w:val="FirstParagraph"/>
      </w:pPr>
      <w:r>
        <w:t xml:space="preserve">Economically, each pricing model optimizes for different outcomes.</w:t>
      </w:r>
      <w:r>
        <w:t xml:space="preserve"> </w:t>
      </w:r>
      <w:r>
        <w:rPr>
          <w:b/>
        </w:rPr>
        <w:t xml:space="preserve">Cost-plus pricing</w:t>
      </w:r>
      <w:r>
        <w:t xml:space="preserve"> </w:t>
      </w:r>
      <w:r>
        <w:t xml:space="preserve">offers economic predictability for providers, ensuring cost recovery and a guaranteed profit margin (Kshirsagar et al., 2021). This reduces financial risk, especially for bespoke or early-stage AI projects where market value is uncertain. However, it can lead to under-monetization if the AI’s value significantly exceeds its cost, leaving potential revenue on the table. It also provides less incentive for cost efficiency beyond the target profit margin. For customers, it offers transparent pricing, but potentially at a higher cost than market-driven alternatives, especially if the provider is inefficient.</w:t>
      </w:r>
    </w:p>
    <w:p>
      <w:pPr>
        <w:pStyle w:val="BodyText"/>
      </w:pPr>
      <w:r>
        <w:rPr>
          <w:b/>
        </w:rPr>
        <w:t xml:space="preserve">Value-based pricing</w:t>
      </w:r>
      <w:r>
        <w:t xml:space="preserve"> </w:t>
      </w:r>
      <w:r>
        <w:t xml:space="preserve">maximizes revenue potential for providers by aligning price with the economic benefits delivered to the customer (Maguire, 2021). This approach captures a larger share of the created value, leading to higher profit margins for highly impactful AI solutions. It incentivizes continuous innovation to enhance value. However, its implementation is economically complex, requiring sophisticated value quantification and potentially extensive negotiation, which can be resource-intensive (Maguire, 2021). For customers, it promises a clear return on investment, but also demands a higher upfront payment or a share of their generated profits, which some might resist (Ayata, 2020).</w:t>
      </w:r>
    </w:p>
    <w:p>
      <w:pPr>
        <w:pStyle w:val="BodyText"/>
      </w:pPr>
      <w:r>
        <w:rPr>
          <w:b/>
        </w:rPr>
        <w:t xml:space="preserve">Usage-based and token pricing</w:t>
      </w:r>
      <w:r>
        <w:t xml:space="preserve"> </w:t>
      </w:r>
      <w:r>
        <w:t xml:space="preserve">offers economic flexibility, allowing providers to scale revenue directly with consumption and capture value from high-volume users (De, 2017). It minimizes the barrier to entry for customers, promoting wider adoption and experimentation, which can lead to a larger overall market (Barbere et al., 2024). However, revenue predictability for providers can be low due to fluctuating demand, necessitating robust infrastructure management (De, 2017). For customers, unpredictable costs can pose significant budgeting challenges, and the granular nature of token pricing can be opaque, leading to perceived unfairness (Barbere et al., 2024).</w:t>
      </w:r>
    </w:p>
    <w:p>
      <w:pPr>
        <w:pStyle w:val="BodyText"/>
      </w:pPr>
      <w:r>
        <w:rPr>
          <w:b/>
        </w:rPr>
        <w:t xml:space="preserve">Subscription and tiered models</w:t>
      </w:r>
      <w:r>
        <w:t xml:space="preserve"> </w:t>
      </w:r>
      <w:r>
        <w:t xml:space="preserve">provide stable and predictable recurring revenue for providers, facilitating long-term financial planning and investment (Ladas et al., 2019). Tiers allow for market segmentation, catering to different customer needs and willingness to pay, thereby expanding the potential customer base (Satapathi, 2025). However, providers face continuous pressure to demonstrate value to prevent churn, and the fixed costs of serving subscribers can erode margins if usage is disproportionately high in lower tiers. For customers, subscriptions offer cost predictability, simplifying budgeting, but they may lead to overpayment if usage is consistently low (Ladas et al., 2019). Tiered structures can also force customers into suboptimal plans if their needs don’t perfectly align with predefined offerings.</w:t>
      </w:r>
    </w:p>
    <w:p>
      <w:pPr>
        <w:pStyle w:val="BodyText"/>
      </w:pPr>
      <w:r>
        <w:rPr>
          <w:b/>
        </w:rPr>
        <w:t xml:space="preserve">Freemium strategies</w:t>
      </w:r>
      <w:r>
        <w:t xml:space="preserve"> </w:t>
      </w:r>
      <w:r>
        <w:t xml:space="preserve">are highly effective for rapid user acquisition and market penetration, generating brand awareness and fostering network effects (Seufert, 2014). This broad reach can lead to a large funnel for conversion to paid services. However, the economic model is precarious, as the costs of serving free users can be substantial, and conversion rates are often low, risking financial unsustainability (Seufert, 2014). For customers, it offers a risk-free trial, but the limitations of the free version might hinder full appreciation of the AI’s capabilities or push them towards competitors if the paid upgrade isn’t compelling enough.</w:t>
      </w:r>
    </w:p>
    <w:p>
      <w:pPr>
        <w:pStyle w:val="BodyText"/>
      </w:pPr>
      <w:r>
        <w:rPr>
          <w:b/>
        </w:rPr>
        <w:t xml:space="preserve">Dynamic pricing</w:t>
      </w:r>
      <w:r>
        <w:t xml:space="preserve"> </w:t>
      </w:r>
      <w:r>
        <w:t xml:space="preserve">aims to optimize revenue by adjusting prices in real-time based on market conditions, maximizing profit extraction (Niharika et al., 2024). It can also improve resource utilization by shifting demand away from peak times (Bhuram, 2025). However, the economic risks include customer backlash due to perceived unfairness, potentially leading to churn and reputational damage (Ayata, 2020). Implementing it requires significant investment in sophisticated data analytics and pricing algorithms. For customers, it creates cost uncertainty and can lead to situations where they pay significantly different prices for the same service, which can be economically disadvantageous and frustrating.</w:t>
      </w:r>
    </w:p>
    <w:p>
      <w:pPr>
        <w:pStyle w:val="BodyText"/>
      </w:pPr>
      <w:r>
        <w:rPr>
          <w:b/>
        </w:rPr>
        <w:t xml:space="preserve">Ethics-driven and Green AI pricing</w:t>
      </w:r>
      <w:r>
        <w:t xml:space="preserve"> </w:t>
      </w:r>
      <w:r>
        <w:t xml:space="preserve">can generate economic value through enhanced brand reputation, attracting socially conscious customers and investors (Mirghaderi et al., 2023). It can also drive innovation in energy-efficient AI. However, there’s an economic challenge in quantifying and monetizing ethical attributes, as customers may not always be willing to pay a premium for them (Kshirsagar et al., 2021). Providers risk higher operational costs for implementing sustainable practices, which might not be fully recouped. For customers, it offers the benefit of aligning with their values, but potentially at a higher price point compared to less ethically focused alternatives.</w:t>
      </w:r>
    </w:p>
    <w:p>
      <w:pPr>
        <w:pStyle w:val="Heading3"/>
      </w:pPr>
      <w:bookmarkStart w:id="59" w:name="operational-and-technical-considerations"/>
      <w:r>
        <w:t xml:space="preserve">2.2 Operational and Technical Considerations</w:t>
      </w:r>
      <w:bookmarkEnd w:id="59"/>
    </w:p>
    <w:p>
      <w:pPr>
        <w:pStyle w:val="FirstParagraph"/>
      </w:pPr>
      <w:r>
        <w:t xml:space="preserve">The operational and technical demands of each pricing model significantly influence their feasibility and efficiency.</w:t>
      </w:r>
      <w:r>
        <w:t xml:space="preserve"> </w:t>
      </w:r>
      <w:r>
        <w:rPr>
          <w:b/>
        </w:rPr>
        <w:t xml:space="preserve">Cost-plus pricing</w:t>
      </w:r>
      <w:r>
        <w:t xml:space="preserve"> </w:t>
      </w:r>
      <w:r>
        <w:t xml:space="preserve">is operationally simple but requires robust internal cost tracking systems for AI development and deployment (Kshirsagar et al., 2021). Technical challenges include accurately attributing shared infrastructure costs and estimating future computational needs.</w:t>
      </w:r>
    </w:p>
    <w:p>
      <w:pPr>
        <w:pStyle w:val="BodyText"/>
      </w:pPr>
      <w:r>
        <w:rPr>
          <w:b/>
        </w:rPr>
        <w:t xml:space="preserve">Value-based pricing</w:t>
      </w:r>
      <w:r>
        <w:t xml:space="preserve"> </w:t>
      </w:r>
      <w:r>
        <w:t xml:space="preserve">demands extensive operational capabilities for customer research, value quantification, and potentially complex contractual agreements (Maguire, 2021). Technically, it may require advanced analytics to track and demonstrate the AI’s impact on customer KPIs.</w:t>
      </w:r>
    </w:p>
    <w:p>
      <w:pPr>
        <w:pStyle w:val="BodyText"/>
      </w:pPr>
      <w:r>
        <w:rPr>
          <w:b/>
        </w:rPr>
        <w:t xml:space="preserve">Usage-based and token pricing</w:t>
      </w:r>
      <w:r>
        <w:t xml:space="preserve"> </w:t>
      </w:r>
      <w:r>
        <w:t xml:space="preserve">is technically demanding, requiring highly accurate, real-time metering systems that can track granular consumption across potentially millions of users (De, 2017). Scalable billing infrastructure and robust fraud detection mechanisms are critical. Operationally, managing unpredictable demand spikes and ensuring service reliability under variable loads is a continuous challenge (Barbere et al., 2024).</w:t>
      </w:r>
    </w:p>
    <w:p>
      <w:pPr>
        <w:pStyle w:val="BodyText"/>
      </w:pPr>
      <w:r>
        <w:rPr>
          <w:b/>
        </w:rPr>
        <w:t xml:space="preserve">Subscription and tiered models</w:t>
      </w:r>
      <w:r>
        <w:t xml:space="preserve"> </w:t>
      </w:r>
      <w:r>
        <w:t xml:space="preserve">necessitate sophisticated customer relationship management (CRM) systems to manage subscriptions, upgrades, and churn (Satapathi, 2025). Technically, it requires a robust system for feature gating and enforcing usage limits across different tiers. Operational complexity increases with the number of tiers and the granularity of feature differentiation.</w:t>
      </w:r>
    </w:p>
    <w:p>
      <w:pPr>
        <w:pStyle w:val="BodyText"/>
      </w:pPr>
      <w:r>
        <w:rPr>
          <w:b/>
        </w:rPr>
        <w:t xml:space="preserve">Freemium strategies</w:t>
      </w:r>
      <w:r>
        <w:t xml:space="preserve"> </w:t>
      </w:r>
      <w:r>
        <w:t xml:space="preserve">place immense operational strain on customer support and infrastructure, as a large portion of the user base generates no direct revenue (Seufert, 2014). Technically, separating free and premium features without compromising the user experience requires careful architectural design. The conversion funnel must be meticulously optimized.</w:t>
      </w:r>
    </w:p>
    <w:p>
      <w:pPr>
        <w:pStyle w:val="BodyText"/>
      </w:pPr>
      <w:r>
        <w:rPr>
          <w:b/>
        </w:rPr>
        <w:t xml:space="preserve">Dynamic pricing</w:t>
      </w:r>
      <w:r>
        <w:t xml:space="preserve"> </w:t>
      </w:r>
      <w:r>
        <w:t xml:space="preserve">is perhaps the most technically intensive, relying on real-time data ingestion, advanced machine learning models for price optimization, and seamless integration with billing systems (Niharika et al., 2024). Operationally, it demands continuous monitoring of market conditions and competitor pricing, along with sophisticated risk management to avoid customer alienation (Bhuram, 2025).</w:t>
      </w:r>
    </w:p>
    <w:p>
      <w:pPr>
        <w:pStyle w:val="BodyText"/>
      </w:pPr>
      <w:r>
        <w:rPr>
          <w:b/>
        </w:rPr>
        <w:t xml:space="preserve">Ethics-driven and Green AI pricing</w:t>
      </w:r>
      <w:r>
        <w:t xml:space="preserve"> </w:t>
      </w:r>
      <w:r>
        <w:t xml:space="preserve">requires operational processes for measuring and reporting environmental impact, potentially involving third-party audits (Kshirsagar et al., 2021). Technically, it encourages the development of energy-efficient AI architectures and optimization techniques. This may involve investing in specialized hardware or developing new algorithms that prioritize efficiency over raw performance.</w:t>
      </w:r>
    </w:p>
    <w:p>
      <w:pPr>
        <w:pStyle w:val="Heading3"/>
      </w:pPr>
      <w:bookmarkStart w:id="60" w:name="user-experience-and-adoption"/>
      <w:r>
        <w:t xml:space="preserve">2.3 User Experience and Adoption</w:t>
      </w:r>
      <w:bookmarkEnd w:id="60"/>
    </w:p>
    <w:p>
      <w:pPr>
        <w:pStyle w:val="FirstParagraph"/>
      </w:pPr>
      <w:r>
        <w:t xml:space="preserve">The success of any AI service heavily depends on its user experience (UX) and the ease with which users adopt it. Pricing models play a crucial role in shaping these aspects (Fang &amp; Zhou, 2025).</w:t>
      </w:r>
    </w:p>
    <w:p>
      <w:pPr>
        <w:pStyle w:val="BodyText"/>
      </w:pPr>
      <w:r>
        <w:rPr>
          <w:b/>
        </w:rPr>
        <w:t xml:space="preserve">Cost-plus pricing</w:t>
      </w:r>
      <w:r>
        <w:t xml:space="preserve"> </w:t>
      </w:r>
      <w:r>
        <w:t xml:space="preserve">offers a straightforward UX, as the cost is directly tied to tangible inputs. However, it can be perceived as less user-centric if the price doesn’t reflect the outcome or value to the user. Adoption might be limited to those with specific, well-defined needs and budgets.</w:t>
      </w:r>
    </w:p>
    <w:p>
      <w:pPr>
        <w:pStyle w:val="BodyText"/>
      </w:pPr>
      <w:r>
        <w:rPr>
          <w:b/>
        </w:rPr>
        <w:t xml:space="preserve">Value-based pricing</w:t>
      </w:r>
      <w:r>
        <w:t xml:space="preserve"> </w:t>
      </w:r>
      <w:r>
        <w:t xml:space="preserve">aims for a superior UX by focusing on the customer’s success (Maguire, 2021). If the value proposition is clearly demonstrated, it can lead to high user satisfaction and strong adoption by businesses seeking quantifiable ROI. However, the initial complexity of value assessment might deter some users.</w:t>
      </w:r>
    </w:p>
    <w:p>
      <w:pPr>
        <w:pStyle w:val="BodyText"/>
      </w:pPr>
      <w:r>
        <w:rPr>
          <w:b/>
        </w:rPr>
        <w:t xml:space="preserve">Usage-based and token pricing</w:t>
      </w:r>
      <w:r>
        <w:t xml:space="preserve"> </w:t>
      </w:r>
      <w:r>
        <w:t xml:space="preserve">offers a flexible and low-barrier entry UX, encouraging experimentation and broad adoption (Barbere et al., 2024). Users appreciate paying only for what they use. However, the unpredictability of costs can lead to anxiety and a negative UX, especially if usage spikes unexpectedly. The abstract nature of</w:t>
      </w:r>
      <w:r>
        <w:t xml:space="preserve"> </w:t>
      </w:r>
      <w:r>
        <w:t xml:space="preserve">“</w:t>
      </w:r>
      <w:r>
        <w:t xml:space="preserve">tokens</w:t>
      </w:r>
      <w:r>
        <w:t xml:space="preserve">”</w:t>
      </w:r>
      <w:r>
        <w:t xml:space="preserve"> </w:t>
      </w:r>
      <w:r>
        <w:t xml:space="preserve">can also be confusing for non-technical users.</w:t>
      </w:r>
    </w:p>
    <w:p>
      <w:pPr>
        <w:pStyle w:val="BodyText"/>
      </w:pPr>
      <w:r>
        <w:rPr>
          <w:b/>
        </w:rPr>
        <w:t xml:space="preserve">Subscription and tiered models</w:t>
      </w:r>
      <w:r>
        <w:t xml:space="preserve"> </w:t>
      </w:r>
      <w:r>
        <w:t xml:space="preserve">provide a predictable and streamlined UX, allowing users to choose a plan that fits their needs (Satapathi, 2025). The fixed cost eliminates billing surprises. Adoption is generally good, as users understand what they are paying for. However, the</w:t>
      </w:r>
      <w:r>
        <w:t xml:space="preserve"> </w:t>
      </w:r>
      <w:r>
        <w:t xml:space="preserve">“</w:t>
      </w:r>
      <w:r>
        <w:t xml:space="preserve">tier-lock</w:t>
      </w:r>
      <w:r>
        <w:t xml:space="preserve">”</w:t>
      </w:r>
      <w:r>
        <w:t xml:space="preserve"> </w:t>
      </w:r>
      <w:r>
        <w:t xml:space="preserve">can create frustration if a user’s needs fall between defined plans, leading to a suboptimal experience.</w:t>
      </w:r>
    </w:p>
    <w:p>
      <w:pPr>
        <w:pStyle w:val="BodyText"/>
      </w:pPr>
      <w:r>
        <w:rPr>
          <w:b/>
        </w:rPr>
        <w:t xml:space="preserve">Freemium strategies</w:t>
      </w:r>
      <w:r>
        <w:t xml:space="preserve"> </w:t>
      </w:r>
      <w:r>
        <w:t xml:space="preserve">excel in user acquisition due to their zero-cost entry point, creating a highly accessible UX (Seufert, 2014). This fosters widespread adoption and allows users to explore the AI’s capabilities without financial commitment. The challenge lies in transitioning users to a paid experience without creating a</w:t>
      </w:r>
      <w:r>
        <w:t xml:space="preserve"> </w:t>
      </w:r>
      <w:r>
        <w:t xml:space="preserve">“</w:t>
      </w:r>
      <w:r>
        <w:t xml:space="preserve">paywall</w:t>
      </w:r>
      <w:r>
        <w:t xml:space="preserve">”</w:t>
      </w:r>
      <w:r>
        <w:t xml:space="preserve"> </w:t>
      </w:r>
      <w:r>
        <w:t xml:space="preserve">that feels unfair or restrictive.</w:t>
      </w:r>
    </w:p>
    <w:p>
      <w:pPr>
        <w:pStyle w:val="BodyText"/>
      </w:pPr>
      <w:r>
        <w:rPr>
          <w:b/>
        </w:rPr>
        <w:t xml:space="preserve">Dynamic pricing</w:t>
      </w:r>
      <w:r>
        <w:t xml:space="preserve"> </w:t>
      </w:r>
      <w:r>
        <w:t xml:space="preserve">can severely impact UX if not implemented carefully. Fluctuating prices can lead to a frustrating and unpredictable experience, eroding trust and potentially causing users to abandon the service (Ayata, 2020). While it might optimize revenue for providers, a poor UX can lead to long-term adoption issues. Transparency and clear communication about pricing changes are crucial.</w:t>
      </w:r>
    </w:p>
    <w:p>
      <w:pPr>
        <w:pStyle w:val="BodyText"/>
      </w:pPr>
      <w:r>
        <w:rPr>
          <w:b/>
        </w:rPr>
        <w:t xml:space="preserve">Ethics-driven and Green AI pricing</w:t>
      </w:r>
      <w:r>
        <w:t xml:space="preserve"> </w:t>
      </w:r>
      <w:r>
        <w:t xml:space="preserve">can enhance UX for users who prioritize social responsibility, fostering a sense of alignment with their values (Mirghaderi et al., 2023). This can lead to strong adoption within specific market segments. However, if the ethical premium is too high or the ethical benefits are not clearly communicated, it might deter price-sensitive users, potentially limiting broader adoption.</w:t>
      </w:r>
    </w:p>
    <w:p>
      <w:pPr>
        <w:pStyle w:val="Heading3"/>
      </w:pPr>
      <w:bookmarkStart w:id="61" w:name="ethical-and-societal-impacts"/>
      <w:r>
        <w:t xml:space="preserve">2.4 Ethical and Societal Impacts</w:t>
      </w:r>
      <w:bookmarkEnd w:id="61"/>
    </w:p>
    <w:p>
      <w:pPr>
        <w:pStyle w:val="FirstParagraph"/>
      </w:pPr>
      <w:r>
        <w:t xml:space="preserve">Beyond economic and technical considerations, AI pricing models have profound ethical and societal implications, influencing accessibility, fairness, and the distribution of AI’s benefits (Mirghaderi et al., 2023).</w:t>
      </w:r>
    </w:p>
    <w:p>
      <w:pPr>
        <w:pStyle w:val="BodyText"/>
      </w:pPr>
      <w:r>
        <w:rPr>
          <w:b/>
        </w:rPr>
        <w:t xml:space="preserve">Cost-plus pricing</w:t>
      </w:r>
      <w:r>
        <w:t xml:space="preserve">, while transparent in its cost recovery, might inadvertently lead to higher prices for advanced AI, potentially limiting access for smaller organizations or non-profits (Kshirsagar et al., 2021). This could exacerbate the digital divide, where only well-resourced entities can leverage cutting-edge AI.</w:t>
      </w:r>
    </w:p>
    <w:p>
      <w:pPr>
        <w:pStyle w:val="BodyText"/>
      </w:pPr>
      <w:r>
        <w:rPr>
          <w:b/>
        </w:rPr>
        <w:t xml:space="preserve">Value-based pricing</w:t>
      </w:r>
      <w:r>
        <w:t xml:space="preserve">, by seeking to capture a significant portion of the value created, could lead to AI services being priced out of reach for many (Ayata, 2020). If an AI generates immense value for a large corporation, the price could be prohibitive for a startup, even if the AI could offer substantial benefit to them too. This raises questions about equitable access to transformative technologies.</w:t>
      </w:r>
    </w:p>
    <w:p>
      <w:pPr>
        <w:pStyle w:val="BodyText"/>
      </w:pPr>
      <w:r>
        <w:rPr>
          <w:b/>
        </w:rPr>
        <w:t xml:space="preserve">Usage-based and token pricing</w:t>
      </w:r>
      <w:r>
        <w:t xml:space="preserve"> </w:t>
      </w:r>
      <w:r>
        <w:t xml:space="preserve">offers initial accessibility, but the unpredictability of costs can create ethical dilemmas (Barbere et al., 2024). Organizations with limited budgets might be hesitant to fully utilize powerful AI, fearing runaway costs. This could disproportionately affect smaller entities or individuals, limiting their ability to compete or innovate. Moreover, the inherent opacity of</w:t>
      </w:r>
      <w:r>
        <w:t xml:space="preserve"> </w:t>
      </w:r>
      <w:r>
        <w:t xml:space="preserve">“</w:t>
      </w:r>
      <w:r>
        <w:t xml:space="preserve">tokens</w:t>
      </w:r>
      <w:r>
        <w:t xml:space="preserve">”</w:t>
      </w:r>
      <w:r>
        <w:t xml:space="preserve"> </w:t>
      </w:r>
      <w:r>
        <w:t xml:space="preserve">can lead to a lack of transparency and trust, which are fundamental ethical concerns (Mirghaderi et al., 2023).</w:t>
      </w:r>
    </w:p>
    <w:p>
      <w:pPr>
        <w:pStyle w:val="BodyText"/>
      </w:pPr>
      <w:r>
        <w:rPr>
          <w:b/>
        </w:rPr>
        <w:t xml:space="preserve">Subscription and tiered models</w:t>
      </w:r>
      <w:r>
        <w:t xml:space="preserve"> </w:t>
      </w:r>
      <w:r>
        <w:t xml:space="preserve">can promote accessibility through entry-level tiers, but also create a</w:t>
      </w:r>
      <w:r>
        <w:t xml:space="preserve"> </w:t>
      </w:r>
      <w:r>
        <w:t xml:space="preserve">“</w:t>
      </w:r>
      <w:r>
        <w:t xml:space="preserve">two-tiered</w:t>
      </w:r>
      <w:r>
        <w:t xml:space="preserve">”</w:t>
      </w:r>
      <w:r>
        <w:t xml:space="preserve"> </w:t>
      </w:r>
      <w:r>
        <w:t xml:space="preserve">system where premium features and performance are reserved for those who can afford higher prices (Satapathi, 2025). This raises questions about fairness and whether essential AI capabilities should be gated behind paywalls, especially in areas like education or public service.</w:t>
      </w:r>
    </w:p>
    <w:p>
      <w:pPr>
        <w:pStyle w:val="BodyText"/>
      </w:pPr>
      <w:r>
        <w:rPr>
          <w:b/>
        </w:rPr>
        <w:t xml:space="preserve">Freemium strategies</w:t>
      </w:r>
      <w:r>
        <w:t xml:space="preserve"> </w:t>
      </w:r>
      <w:r>
        <w:t xml:space="preserve">are ethically commendable for promoting widespread access to basic AI functionalities, democratizing initial exposure to the technology (Seufert, 2014). However, the ethical challenge lies in the</w:t>
      </w:r>
      <w:r>
        <w:t xml:space="preserve"> </w:t>
      </w:r>
      <w:r>
        <w:t xml:space="preserve">“</w:t>
      </w:r>
      <w:r>
        <w:t xml:space="preserve">dark patterns</w:t>
      </w:r>
      <w:r>
        <w:t xml:space="preserve">”</w:t>
      </w:r>
      <w:r>
        <w:t xml:space="preserve"> </w:t>
      </w:r>
      <w:r>
        <w:t xml:space="preserve">often employed to push users towards paid upgrades, which can be manipulative. There’s also the risk that the free tier might be intentionally limited to an extent that it becomes a</w:t>
      </w:r>
      <w:r>
        <w:t xml:space="preserve"> </w:t>
      </w:r>
      <w:r>
        <w:t xml:space="preserve">“</w:t>
      </w:r>
      <w:r>
        <w:t xml:space="preserve">teaser</w:t>
      </w:r>
      <w:r>
        <w:t xml:space="preserve">”</w:t>
      </w:r>
      <w:r>
        <w:t xml:space="preserve"> </w:t>
      </w:r>
      <w:r>
        <w:t xml:space="preserve">rather than a genuinely useful tool, creating a dependency that forces users to pay.</w:t>
      </w:r>
    </w:p>
    <w:p>
      <w:pPr>
        <w:pStyle w:val="BodyText"/>
      </w:pPr>
      <w:r>
        <w:rPr>
          <w:b/>
        </w:rPr>
        <w:t xml:space="preserve">Dynamic pricing</w:t>
      </w:r>
      <w:r>
        <w:t xml:space="preserve"> </w:t>
      </w:r>
      <w:r>
        <w:t xml:space="preserve">poses significant ethical risks, particularly concerning discrimination and fairness (Ayata, 2020). If prices are personalized based on user data, it could lead to situations where vulnerable populations or specific demographics are charged more, creating economic inequality. The lack of transparency in price fluctuations can also erode trust and consumer autonomy (Mirghaderi et al., 2023). Regulatory bodies are increasingly scrutinizing dynamic pricing for potential anti-competitive or discriminatory practices.</w:t>
      </w:r>
    </w:p>
    <w:p>
      <w:pPr>
        <w:pStyle w:val="BodyText"/>
      </w:pPr>
      <w:r>
        <w:rPr>
          <w:b/>
        </w:rPr>
        <w:t xml:space="preserve">Ethics-driven and Green AI pricing</w:t>
      </w:r>
      <w:r>
        <w:t xml:space="preserve"> </w:t>
      </w:r>
      <w:r>
        <w:t xml:space="preserve">directly addresses societal and environmental concerns, promoting responsible AI development and deployment (Kshirsagar et al., 2021)(Mirghaderi et al., 2023). This model is ethically superior in its intent, aiming to internalize externalities like carbon emissions and promote fairness. However, the ethical challenge lies in ensuring that the</w:t>
      </w:r>
      <w:r>
        <w:t xml:space="preserve"> </w:t>
      </w:r>
      <w:r>
        <w:t xml:space="preserve">“</w:t>
      </w:r>
      <w:r>
        <w:t xml:space="preserve">green</w:t>
      </w:r>
      <w:r>
        <w:t xml:space="preserve">”</w:t>
      </w:r>
      <w:r>
        <w:t xml:space="preserve"> </w:t>
      </w:r>
      <w:r>
        <w:t xml:space="preserve">or</w:t>
      </w:r>
      <w:r>
        <w:t xml:space="preserve"> </w:t>
      </w:r>
      <w:r>
        <w:t xml:space="preserve">“</w:t>
      </w:r>
      <w:r>
        <w:t xml:space="preserve">ethical</w:t>
      </w:r>
      <w:r>
        <w:t xml:space="preserve">”</w:t>
      </w:r>
      <w:r>
        <w:t xml:space="preserve"> </w:t>
      </w:r>
      <w:r>
        <w:t xml:space="preserve">premium doesn’t inadvertently create a new barrier to access for those who cannot afford it, or that it isn’t merely a marketing ploy without genuine impact. Transparent reporting and independent verification are crucial to maintain ethical integrity.</w:t>
      </w:r>
    </w:p>
    <w:p>
      <w:pPr>
        <w:pStyle w:val="BodyText"/>
      </w:pPr>
      <w:r>
        <w:t xml:space="preserve">The following table summarizes the ethical and societal impacts of each pricing model, providing a quick reference for their broader implications.</w:t>
      </w:r>
    </w:p>
    <w:p>
      <w:pPr>
        <w:pStyle w:val="BodyText"/>
      </w:pPr>
      <w:r>
        <w:rPr>
          <w:b/>
        </w:rPr>
        <w:t xml:space="preserve">Table 4: Ethical &amp; Societal Impact Assessment of AI Pricing Models</w:t>
      </w:r>
    </w:p>
    <w:tbl>
      <w:tblPr>
        <w:tblStyle w:val="Table"/>
        <w:tblW w:type="pct" w:w="5000.0"/>
        <w:tblLook w:firstRow="1"/>
      </w:tblPr>
      <w:tblGrid>
        <w:gridCol w:w="1237"/>
        <w:gridCol w:w="1534"/>
        <w:gridCol w:w="1782"/>
        <w:gridCol w:w="1633"/>
        <w:gridCol w:w="1732"/>
      </w:tblGrid>
      <w:tr>
        <w:trPr>
          <w:cnfStyle w:firstRow="1"/>
        </w:trPr>
        <w:tc>
          <w:tcPr>
            <w:tcBorders>
              <w:bottom w:val="single"/>
            </w:tcBorders>
            <w:vAlign w:val="bottom"/>
          </w:tcPr>
          <w:p>
            <w:pPr>
              <w:pStyle w:val="Compact"/>
              <w:jc w:val="left"/>
            </w:pPr>
            <w:r>
              <w:t xml:space="preserve">Pricing Model</w:t>
            </w:r>
          </w:p>
        </w:tc>
        <w:tc>
          <w:tcPr>
            <w:tcBorders>
              <w:bottom w:val="single"/>
            </w:tcBorders>
            <w:vAlign w:val="bottom"/>
          </w:tcPr>
          <w:p>
            <w:pPr>
              <w:pStyle w:val="Compact"/>
              <w:jc w:val="left"/>
            </w:pPr>
            <w:r>
              <w:t xml:space="preserve">Accessibility Impact</w:t>
            </w:r>
          </w:p>
        </w:tc>
        <w:tc>
          <w:tcPr>
            <w:tcBorders>
              <w:bottom w:val="single"/>
            </w:tcBorders>
            <w:vAlign w:val="bottom"/>
          </w:tcPr>
          <w:p>
            <w:pPr>
              <w:pStyle w:val="Compact"/>
              <w:jc w:val="left"/>
            </w:pPr>
            <w:r>
              <w:t xml:space="preserve">Fairness Concerns</w:t>
            </w:r>
          </w:p>
        </w:tc>
        <w:tc>
          <w:tcPr>
            <w:tcBorders>
              <w:bottom w:val="single"/>
            </w:tcBorders>
            <w:vAlign w:val="bottom"/>
          </w:tcPr>
          <w:p>
            <w:pPr>
              <w:pStyle w:val="Compact"/>
              <w:jc w:val="left"/>
            </w:pPr>
            <w:r>
              <w:t xml:space="preserve">Transparency Level</w:t>
            </w:r>
          </w:p>
        </w:tc>
        <w:tc>
          <w:tcPr>
            <w:tcBorders>
              <w:bottom w:val="single"/>
            </w:tcBorders>
            <w:vAlign w:val="bottom"/>
          </w:tcPr>
          <w:p>
            <w:pPr>
              <w:pStyle w:val="Compact"/>
              <w:jc w:val="left"/>
            </w:pPr>
            <w:r>
              <w:t xml:space="preserve">Environmental Integration</w:t>
            </w:r>
          </w:p>
        </w:tc>
      </w:tr>
      <w:tr>
        <w:tc>
          <w:p>
            <w:pPr>
              <w:pStyle w:val="Compact"/>
              <w:jc w:val="left"/>
            </w:pPr>
            <w:r>
              <w:rPr>
                <w:b/>
              </w:rPr>
              <w:t xml:space="preserve">Cost-Plus</w:t>
            </w:r>
          </w:p>
        </w:tc>
        <w:tc>
          <w:p>
            <w:pPr>
              <w:pStyle w:val="Compact"/>
              <w:jc w:val="left"/>
            </w:pPr>
            <w:r>
              <w:t xml:space="preserve">Potentially limited for smaller entities</w:t>
            </w:r>
          </w:p>
        </w:tc>
        <w:tc>
          <w:p>
            <w:pPr>
              <w:pStyle w:val="Compact"/>
              <w:jc w:val="left"/>
            </w:pPr>
            <w:r>
              <w:t xml:space="preserve">Generally fair (cost-based)</w:t>
            </w:r>
          </w:p>
        </w:tc>
        <w:tc>
          <w:p>
            <w:pPr>
              <w:pStyle w:val="Compact"/>
              <w:jc w:val="left"/>
            </w:pPr>
            <w:r>
              <w:t xml:space="preserve">High (if costs are disclosed)</w:t>
            </w:r>
          </w:p>
        </w:tc>
        <w:tc>
          <w:p>
            <w:pPr>
              <w:pStyle w:val="Compact"/>
              <w:jc w:val="left"/>
            </w:pPr>
            <w:r>
              <w:t xml:space="preserve">Low (unless explicitly included)</w:t>
            </w:r>
          </w:p>
        </w:tc>
      </w:tr>
      <w:tr>
        <w:tc>
          <w:p>
            <w:pPr>
              <w:pStyle w:val="Compact"/>
              <w:jc w:val="left"/>
            </w:pPr>
            <w:r>
              <w:rPr>
                <w:b/>
              </w:rPr>
              <w:t xml:space="preserve">Value-Based</w:t>
            </w:r>
          </w:p>
        </w:tc>
        <w:tc>
          <w:p>
            <w:pPr>
              <w:pStyle w:val="Compact"/>
              <w:jc w:val="left"/>
            </w:pPr>
            <w:r>
              <w:t xml:space="preserve">Risk of high barriers for some users</w:t>
            </w:r>
          </w:p>
        </w:tc>
        <w:tc>
          <w:p>
            <w:pPr>
              <w:pStyle w:val="Compact"/>
              <w:jc w:val="left"/>
            </w:pPr>
            <w:r>
              <w:t xml:space="preserve">Potential for discriminatory pricing</w:t>
            </w:r>
          </w:p>
        </w:tc>
        <w:tc>
          <w:p>
            <w:pPr>
              <w:pStyle w:val="Compact"/>
              <w:jc w:val="left"/>
            </w:pPr>
            <w:r>
              <w:t xml:space="preserve">Low (value often opaque)</w:t>
            </w:r>
          </w:p>
        </w:tc>
        <w:tc>
          <w:p>
            <w:pPr>
              <w:pStyle w:val="Compact"/>
              <w:jc w:val="left"/>
            </w:pPr>
            <w:r>
              <w:t xml:space="preserve">Low (unless value includes ESG)</w:t>
            </w:r>
          </w:p>
        </w:tc>
      </w:tr>
      <w:tr>
        <w:tc>
          <w:p>
            <w:pPr>
              <w:pStyle w:val="Compact"/>
              <w:jc w:val="left"/>
            </w:pPr>
            <w:r>
              <w:rPr>
                <w:b/>
              </w:rPr>
              <w:t xml:space="preserve">Usage-Based/Token</w:t>
            </w:r>
          </w:p>
        </w:tc>
        <w:tc>
          <w:p>
            <w:pPr>
              <w:pStyle w:val="Compact"/>
              <w:jc w:val="left"/>
            </w:pPr>
            <w:r>
              <w:t xml:space="preserve">Low initial barrier, but costs unpredictable</w:t>
            </w:r>
          </w:p>
        </w:tc>
        <w:tc>
          <w:p>
            <w:pPr>
              <w:pStyle w:val="Compact"/>
              <w:jc w:val="left"/>
            </w:pPr>
            <w:r>
              <w:t xml:space="preserve">Opacity in token counting,</w:t>
            </w:r>
            <w:r>
              <w:t xml:space="preserve"> </w:t>
            </w:r>
            <w:r>
              <w:t xml:space="preserve">“</w:t>
            </w:r>
            <w:r>
              <w:t xml:space="preserve">bill shock</w:t>
            </w:r>
            <w:r>
              <w:t xml:space="preserve">”</w:t>
            </w:r>
          </w:p>
        </w:tc>
        <w:tc>
          <w:p>
            <w:pPr>
              <w:pStyle w:val="Compact"/>
              <w:jc w:val="left"/>
            </w:pPr>
            <w:r>
              <w:t xml:space="preserve">Moderate (usage metrics visible)</w:t>
            </w:r>
          </w:p>
        </w:tc>
        <w:tc>
          <w:p>
            <w:pPr>
              <w:pStyle w:val="Compact"/>
              <w:jc w:val="left"/>
            </w:pPr>
            <w:r>
              <w:t xml:space="preserve">Low (unless Green AI considered)</w:t>
            </w:r>
          </w:p>
        </w:tc>
      </w:tr>
      <w:tr>
        <w:tc>
          <w:p>
            <w:pPr>
              <w:pStyle w:val="Compact"/>
              <w:jc w:val="left"/>
            </w:pPr>
            <w:r>
              <w:rPr>
                <w:b/>
              </w:rPr>
              <w:t xml:space="preserve">Subscription/Tiered</w:t>
            </w:r>
          </w:p>
        </w:tc>
        <w:tc>
          <w:p>
            <w:pPr>
              <w:pStyle w:val="Compact"/>
              <w:jc w:val="left"/>
            </w:pPr>
            <w:r>
              <w:t xml:space="preserve">Entry-level tiers promote access</w:t>
            </w:r>
          </w:p>
        </w:tc>
        <w:tc>
          <w:p>
            <w:pPr>
              <w:pStyle w:val="Compact"/>
              <w:jc w:val="left"/>
            </w:pPr>
            <w:r>
              <w:t xml:space="preserve">“</w:t>
            </w:r>
            <w:r>
              <w:t xml:space="preserve">Two-tiered</w:t>
            </w:r>
            <w:r>
              <w:t xml:space="preserve">”</w:t>
            </w:r>
            <w:r>
              <w:t xml:space="preserve"> </w:t>
            </w:r>
            <w:r>
              <w:t xml:space="preserve">access to features</w:t>
            </w:r>
          </w:p>
        </w:tc>
        <w:tc>
          <w:p>
            <w:pPr>
              <w:pStyle w:val="Compact"/>
              <w:jc w:val="left"/>
            </w:pPr>
            <w:r>
              <w:t xml:space="preserve">High (clear tiers)</w:t>
            </w:r>
          </w:p>
        </w:tc>
        <w:tc>
          <w:p>
            <w:pPr>
              <w:pStyle w:val="Compact"/>
              <w:jc w:val="left"/>
            </w:pPr>
            <w:r>
              <w:t xml:space="preserve">Low (unless tier criteria includes)</w:t>
            </w:r>
          </w:p>
        </w:tc>
      </w:tr>
      <w:tr>
        <w:tc>
          <w:p>
            <w:pPr>
              <w:pStyle w:val="Compact"/>
              <w:jc w:val="left"/>
            </w:pPr>
            <w:r>
              <w:rPr>
                <w:b/>
              </w:rPr>
              <w:t xml:space="preserve">Freemium</w:t>
            </w:r>
          </w:p>
        </w:tc>
        <w:tc>
          <w:p>
            <w:pPr>
              <w:pStyle w:val="Compact"/>
              <w:jc w:val="left"/>
            </w:pPr>
            <w:r>
              <w:t xml:space="preserve">Very high initial accessibility</w:t>
            </w:r>
          </w:p>
        </w:tc>
        <w:tc>
          <w:p>
            <w:pPr>
              <w:pStyle w:val="Compact"/>
              <w:jc w:val="left"/>
            </w:pPr>
            <w:r>
              <w:t xml:space="preserve">Potential for manipulative upgrade tactics</w:t>
            </w:r>
          </w:p>
        </w:tc>
        <w:tc>
          <w:p>
            <w:pPr>
              <w:pStyle w:val="Compact"/>
              <w:jc w:val="left"/>
            </w:pPr>
            <w:r>
              <w:t xml:space="preserve">Moderate (free limits clear)</w:t>
            </w:r>
          </w:p>
        </w:tc>
        <w:tc>
          <w:p>
            <w:pPr>
              <w:pStyle w:val="Compact"/>
              <w:jc w:val="left"/>
            </w:pPr>
            <w:r>
              <w:t xml:space="preserve">Low (focus on user acquisition)</w:t>
            </w:r>
          </w:p>
        </w:tc>
      </w:tr>
      <w:tr>
        <w:tc>
          <w:p>
            <w:pPr>
              <w:pStyle w:val="Compact"/>
              <w:jc w:val="left"/>
            </w:pPr>
            <w:r>
              <w:rPr>
                <w:b/>
              </w:rPr>
              <w:t xml:space="preserve">Dynamic</w:t>
            </w:r>
          </w:p>
        </w:tc>
        <w:tc>
          <w:p>
            <w:pPr>
              <w:pStyle w:val="Compact"/>
              <w:jc w:val="left"/>
            </w:pPr>
            <w:r>
              <w:t xml:space="preserve">Variable, can be low or high</w:t>
            </w:r>
          </w:p>
        </w:tc>
        <w:tc>
          <w:p>
            <w:pPr>
              <w:pStyle w:val="Compact"/>
              <w:jc w:val="left"/>
            </w:pPr>
            <w:r>
              <w:t xml:space="preserve">High risk of discrimination &amp; unfairness</w:t>
            </w:r>
          </w:p>
        </w:tc>
        <w:tc>
          <w:p>
            <w:pPr>
              <w:pStyle w:val="Compact"/>
              <w:jc w:val="left"/>
            </w:pPr>
            <w:r>
              <w:t xml:space="preserve">Low (price changes opaque)</w:t>
            </w:r>
          </w:p>
        </w:tc>
        <w:tc>
          <w:p>
            <w:pPr>
              <w:pStyle w:val="Compact"/>
              <w:jc w:val="left"/>
            </w:pPr>
            <w:r>
              <w:t xml:space="preserve">Low (focus on market optimization)</w:t>
            </w:r>
          </w:p>
        </w:tc>
      </w:tr>
      <w:tr>
        <w:tc>
          <w:p>
            <w:pPr>
              <w:pStyle w:val="Compact"/>
              <w:jc w:val="left"/>
            </w:pPr>
            <w:r>
              <w:rPr>
                <w:b/>
              </w:rPr>
              <w:t xml:space="preserve">Ethics-Driven/Green</w:t>
            </w:r>
          </w:p>
        </w:tc>
        <w:tc>
          <w:p>
            <w:pPr>
              <w:pStyle w:val="Compact"/>
              <w:jc w:val="left"/>
            </w:pPr>
            <w:r>
              <w:t xml:space="preserve">Aims for high accessibility</w:t>
            </w:r>
          </w:p>
        </w:tc>
        <w:tc>
          <w:p>
            <w:pPr>
              <w:pStyle w:val="Compact"/>
              <w:jc w:val="left"/>
            </w:pPr>
            <w:r>
              <w:t xml:space="preserve">High (explicitly designed for fairness)</w:t>
            </w:r>
          </w:p>
        </w:tc>
        <w:tc>
          <w:p>
            <w:pPr>
              <w:pStyle w:val="Compact"/>
              <w:jc w:val="left"/>
            </w:pPr>
            <w:r>
              <w:t xml:space="preserve">High (ethical metrics disclosed)</w:t>
            </w:r>
          </w:p>
        </w:tc>
        <w:tc>
          <w:p>
            <w:pPr>
              <w:pStyle w:val="Compact"/>
              <w:jc w:val="left"/>
            </w:pPr>
            <w:r>
              <w:t xml:space="preserve">High (core to model)</w:t>
            </w:r>
          </w:p>
        </w:tc>
      </w:tr>
    </w:tbl>
    <w:p>
      <w:pPr>
        <w:pStyle w:val="BodyText"/>
      </w:pPr>
      <w:r>
        <w:rPr>
          <w:i/>
        </w:rPr>
        <w:t xml:space="preserve">Note: This table provides a general assessment. Actual impacts depend heavily on specific implementation details and regulatory oversight.</w:t>
      </w:r>
    </w:p>
    <w:p>
      <w:pPr>
        <w:pStyle w:val="Heading2"/>
      </w:pPr>
      <w:bookmarkStart w:id="62" w:name="Xbdc283d82f51a74ffdbb15c0eb926810b002f2a"/>
      <w:r>
        <w:t xml:space="preserve">3. Real-World Implementations and Case Studies</w:t>
      </w:r>
      <w:bookmarkEnd w:id="62"/>
    </w:p>
    <w:p>
      <w:pPr>
        <w:pStyle w:val="FirstParagraph"/>
      </w:pPr>
      <w:r>
        <w:t xml:space="preserve">Examining how leading AI providers implement their pricing strategies offers invaluable insights into the practical application and evolution of these models. The complexity of AI services, particularly large language models (LLMs), has led to sophisticated, often hybrid, approaches that blend elements of usage-based, tiered, and even value-oriented principles.</w:t>
      </w:r>
    </w:p>
    <w:p>
      <w:pPr>
        <w:pStyle w:val="Heading3"/>
      </w:pPr>
      <w:bookmarkStart w:id="63" w:name="openais-pricing-evolution"/>
      <w:r>
        <w:t xml:space="preserve">3.1 OpenAI’s Pricing Evolution</w:t>
      </w:r>
      <w:bookmarkEnd w:id="63"/>
    </w:p>
    <w:p>
      <w:pPr>
        <w:pStyle w:val="FirstParagraph"/>
      </w:pPr>
      <w:r>
        <w:t xml:space="preserve">OpenAI, a pioneer in the field of large language models, has continuously evolved its pricing strategy, largely settling on a usage-based model centered around tokens for its API services (Rudnytskyi, 2022). Their core models, such as GPT-3.5 and GPT-4, are priced per 1,000 input tokens and per 1,000 output tokens. This granular approach directly ties cost to the computational resources consumed during inference. The pricing varies significantly between models, with more advanced and capable models like GPT-4 being substantially more expensive per token than their predecessors (Rudnytskyi, 2022). This tiered token pricing reflects the differential in development cost, training data, and perceived value/capability of each model.</w:t>
      </w:r>
    </w:p>
    <w:p>
      <w:pPr>
        <w:pStyle w:val="BodyText"/>
      </w:pPr>
      <w:r>
        <w:t xml:space="preserve">Initially, OpenAI’s pricing structure was simpler, but as their models grew in complexity and capability, and as the market matured, they introduced more nuanced tiers and pricing points. For instance, they differentiate between standard models and those optimized for specific use cases, or models with larger context windows, which naturally command higher prices due to increased computational demands. The advantages of this approach for OpenAI include a direct correlation between revenue and resource utilization, encouraging developers to optimize their prompts and reduce unnecessary token generation. It also allows them to capture revenue from high-volume enterprise users while maintaining a relatively low barrier to entry for individual developers or small-scale projects.</w:t>
      </w:r>
    </w:p>
    <w:p>
      <w:pPr>
        <w:pStyle w:val="BodyText"/>
      </w:pPr>
      <w:r>
        <w:t xml:space="preserve">However, OpenAI’s token-based pricing has faced criticism regarding its transparency and predictability (Barbere et al., 2024). Developers often struggle to accurately estimate token usage, leading to unexpected costs. The concept of a</w:t>
      </w:r>
      <w:r>
        <w:t xml:space="preserve"> </w:t>
      </w:r>
      <w:r>
        <w:t xml:space="preserve">“</w:t>
      </w:r>
      <w:r>
        <w:t xml:space="preserve">token</w:t>
      </w:r>
      <w:r>
        <w:t xml:space="preserve">”</w:t>
      </w:r>
      <w:r>
        <w:t xml:space="preserve"> </w:t>
      </w:r>
      <w:r>
        <w:t xml:space="preserve">itself is not universally intuitive, and different models or languages can lead to varying token counts for the same text. For example, a single complex character or word in a non-English language might consume more tokens than a simple English word. This opacity can be a source of frustration for users trying to manage budgets (Barbere et al., 2024). Furthermore, while the per-token cost is relatively low, large-scale applications or extensive conversational AI can quickly accumulate massive token counts, leading to substantial monthly bills. OpenAI also offers fine-tuning capabilities, which are priced separately based on training data volume and compute hours, reflecting a more cost-plus dimension for custom model development. Their enterprise solutions often involve custom contracts that blend usage with dedicated capacity or premium support, indicating a move towards hybrid models for large clients.</w:t>
      </w:r>
    </w:p>
    <w:p>
      <w:pPr>
        <w:pStyle w:val="Heading3"/>
      </w:pPr>
      <w:bookmarkStart w:id="64" w:name="anthropics-claude-models"/>
      <w:r>
        <w:t xml:space="preserve">3.2 Anthropic’s Claude Models</w:t>
      </w:r>
      <w:bookmarkEnd w:id="64"/>
    </w:p>
    <w:p>
      <w:pPr>
        <w:pStyle w:val="FirstParagraph"/>
      </w:pPr>
      <w:r>
        <w:t xml:space="preserve">Anthropic, another leading AI research company, offers its Claude series of LLMs through an API with a similar token-based pricing structure, but with some notable distinctions. Like OpenAI, Anthropic charges for both input and output tokens, with varying prices for different Claude models (e.g., Claude 3 Haiku, Sonnet, Opus) reflecting their respective capabilities and underlying computational costs. The more powerful</w:t>
      </w:r>
      <w:r>
        <w:t xml:space="preserve"> </w:t>
      </w:r>
      <w:r>
        <w:t xml:space="preserve">“</w:t>
      </w:r>
      <w:r>
        <w:t xml:space="preserve">Opus</w:t>
      </w:r>
      <w:r>
        <w:t xml:space="preserve">”</w:t>
      </w:r>
      <w:r>
        <w:t xml:space="preserve"> </w:t>
      </w:r>
      <w:r>
        <w:t xml:space="preserve">model, designed for highly complex tasks, is significantly more expensive per token than the faster, more compact</w:t>
      </w:r>
      <w:r>
        <w:t xml:space="preserve"> </w:t>
      </w:r>
      <w:r>
        <w:t xml:space="preserve">“</w:t>
      </w:r>
      <w:r>
        <w:t xml:space="preserve">Haiku</w:t>
      </w:r>
      <w:r>
        <w:t xml:space="preserve">”</w:t>
      </w:r>
      <w:r>
        <w:t xml:space="preserve"> </w:t>
      </w:r>
      <w:r>
        <w:t xml:space="preserve">model.</w:t>
      </w:r>
    </w:p>
    <w:p>
      <w:pPr>
        <w:pStyle w:val="BodyText"/>
      </w:pPr>
      <w:r>
        <w:t xml:space="preserve">A key differentiator for Anthropic often lies in its larger context windows and its emphasis on safety and constitutional AI principles. While the direct pricing model mirrors OpenAI’s usage-based approach, Anthropic’s value proposition is heavily weighted towards ethical AI development and robust safety guardrails (Mirghaderi et al., 2023). This implicitly suggests a value-based component in their pricing, as customers who prioritize these attributes might be willing to pay a premium. The larger context windows, which allow models to process and remember much more information in a single interaction, also represent a distinct value proposition that justifies potentially higher token costs for specific use cases. For example, analyzing entire legal documents or extensive research papers in a single prompt would benefit greatly from larger context windows, and users would likely perceive higher value in such a capability, even if the token count is higher.</w:t>
      </w:r>
    </w:p>
    <w:p>
      <w:pPr>
        <w:pStyle w:val="BodyText"/>
      </w:pPr>
      <w:r>
        <w:t xml:space="preserve">The advantages for Anthropic are similar to OpenAI’s: scalable revenue, low entry barrier, and encouraging efficient prompt engineering. However, the challenges also remain, particularly around cost predictability for users and the abstract nature of token billing. Anthropic’s focus on enterprise-grade safety and performance may also lead to a more tailored, high-touch sales approach for larger clients, potentially involving custom pricing that incorporates service level agreements (SLAs) and dedicated support, moving towards a hybrid model for strategic accounts.</w:t>
      </w:r>
    </w:p>
    <w:p>
      <w:pPr>
        <w:pStyle w:val="Heading3"/>
      </w:pPr>
      <w:bookmarkStart w:id="65" w:name="google-cloud-ai-and-azure-ai-services"/>
      <w:r>
        <w:t xml:space="preserve">3.3 Google Cloud AI and Azure AI Services</w:t>
      </w:r>
      <w:bookmarkEnd w:id="65"/>
    </w:p>
    <w:p>
      <w:pPr>
        <w:pStyle w:val="FirstParagraph"/>
      </w:pPr>
      <w:r>
        <w:t xml:space="preserve">Major cloud providers like Google Cloud and Microsoft Azure offer a vast array of AI services, ranging from pre-trained models for specific tasks (e.g., natural language processing, computer vision) to platforms for building and deploying custom ML models. Their pricing strategies are typically highly diversified, encompassing usage-based, subscription, and tiered models to cater to a broad spectrum of users, from individual developers to large enterprises (Satapathi, 2025).</w:t>
      </w:r>
    </w:p>
    <w:p>
      <w:pPr>
        <w:pStyle w:val="BodyText"/>
      </w:pPr>
      <w:r>
        <w:rPr>
          <w:b/>
        </w:rPr>
        <w:t xml:space="preserve">Google Cloud AI</w:t>
      </w:r>
      <w:r>
        <w:t xml:space="preserve"> </w:t>
      </w:r>
      <w:r>
        <w:t xml:space="preserve">provides services like Vertex AI, which offers ML platform tools, and specialized APIs for vision, natural language, and speech. Pricing for these services is predominantly usage-based. For example, Google’s Vision AI charges per image processed, Natural Language AI charges per 1,000 characters processed, and Translation AI charges per million characters (Satapathi, 2025). Vertex AI, their unified ML platform, charges for compute time (e.g., per hour for GPU/CPU usage), data storage, and model deployments. This granular, pay-as-you-go approach allows developers to scale their AI consumption precisely to their needs. Google also offers committed use discounts for long-term commitments, blending subscription-like benefits with usage-based flexibility.</w:t>
      </w:r>
    </w:p>
    <w:p>
      <w:pPr>
        <w:pStyle w:val="BodyText"/>
      </w:pPr>
      <w:r>
        <w:rPr>
          <w:b/>
        </w:rPr>
        <w:t xml:space="preserve">Microsoft Azure AI</w:t>
      </w:r>
      <w:r>
        <w:t xml:space="preserve"> </w:t>
      </w:r>
      <w:r>
        <w:t xml:space="preserve">similarly offers a comprehensive suite of AI services, including Azure AI Language, Azure AI Vision, Azure OpenAI Service, and Azure Machine Learning. Pricing for services like Azure AI Language is typically tiered and usage-based (Satapathi, 2025). For instance, sentiment analysis might be charged per 1,000 text records, with different pricing tiers for higher volumes. Azure OpenAI Service, which provides access to OpenAI’s models through Azure’s infrastructure, also uses a token-based pricing model, often with enterprise-grade features and support that go beyond the direct OpenAI API. Azure Machine Learning, their platform for custom ML development, charges for compute instances, data storage, and model serving endpoints, akin to Google’s Vertex AI. They also offer reserved instance pricing for compute resources, providing cost savings for predictable workloads.</w:t>
      </w:r>
    </w:p>
    <w:p>
      <w:pPr>
        <w:pStyle w:val="BodyText"/>
      </w:pPr>
      <w:r>
        <w:t xml:space="preserve">The advantages for these cloud providers lie in their ability to offer highly flexible and scalable AI infrastructure, allowing users to integrate AI capabilities seamlessly into their existing cloud environments. The combination of usage-based and tiered pricing caters to diverse customer segments, from small startups experimenting with AI to large corporations deploying mission-critical applications. Their global infrastructure also provides low-latency access and high reliability.</w:t>
      </w:r>
    </w:p>
    <w:p>
      <w:pPr>
        <w:pStyle w:val="BodyText"/>
      </w:pPr>
      <w:r>
        <w:t xml:space="preserve">However, the sheer complexity and breadth of services offered by Google Cloud AI and Azure AI can make pricing structures daunting for users (Satapathi, 2025). Understanding the various meters, tiers, and potential discounts across dozens of services requires significant effort. Cost management tools are essential to prevent unexpected bills. Furthermore, while the pay-as-you-go model offers flexibility, it can also lead to vendor lock-in, as migrating AI workloads and data from one cloud provider to another can be a complex and costly endeavor. The pricing strategies implicitly leverage the broader cloud ecosystem, making it attractive for existing cloud customers to adopt their AI services.</w:t>
      </w:r>
    </w:p>
    <w:p>
      <w:pPr>
        <w:pStyle w:val="Heading3"/>
      </w:pPr>
      <w:bookmarkStart w:id="66" w:name="specialized-ai-service-providers"/>
      <w:r>
        <w:t xml:space="preserve">3.4 Specialized AI Service Providers</w:t>
      </w:r>
      <w:bookmarkEnd w:id="66"/>
    </w:p>
    <w:p>
      <w:pPr>
        <w:pStyle w:val="FirstParagraph"/>
      </w:pPr>
      <w:r>
        <w:t xml:space="preserve">Beyond the major LLM providers and hyperscalers, a multitude of specialized AI service providers focus on niche applications, offering pricing models tailored to their specific domains. These often include AI for medical imaging, fraud detection, recommendation engines, or predictive analytics (Niharika et al., 2024).</w:t>
      </w:r>
    </w:p>
    <w:p>
      <w:pPr>
        <w:pStyle w:val="BodyText"/>
      </w:pPr>
      <w:r>
        <w:t xml:space="preserve">For example, a company offering</w:t>
      </w:r>
      <w:r>
        <w:t xml:space="preserve"> </w:t>
      </w:r>
      <w:r>
        <w:rPr>
          <w:b/>
        </w:rPr>
        <w:t xml:space="preserve">AI-powered fraud detection</w:t>
      </w:r>
      <w:r>
        <w:t xml:space="preserve"> </w:t>
      </w:r>
      <w:r>
        <w:t xml:space="preserve">might employ a usage-based model, charging per transaction analyzed or per alert generated. However, given the high value of fraud prevention, they might also incorporate a value-based component, with pricing tied to the amount of fraud prevented or the savings achieved for the client (Maguire, 2021). This could involve a base subscription fee combined with a performance-based bonus.</w:t>
      </w:r>
    </w:p>
    <w:p>
      <w:pPr>
        <w:pStyle w:val="BodyText"/>
      </w:pPr>
      <w:r>
        <w:t xml:space="preserve">Providers of</w:t>
      </w:r>
      <w:r>
        <w:t xml:space="preserve"> </w:t>
      </w:r>
      <w:r>
        <w:rPr>
          <w:b/>
        </w:rPr>
        <w:t xml:space="preserve">AI for predictive maintenance</w:t>
      </w:r>
      <w:r>
        <w:t xml:space="preserve"> </w:t>
      </w:r>
      <w:r>
        <w:t xml:space="preserve">in industrial settings might offer a subscription model based on the number of machines monitored, with premium tiers offering advanced analytics or integration capabilities. The value proposition here is clear: reducing downtime and maintenance costs, which justifies a recurring fee.</w:t>
      </w:r>
    </w:p>
    <w:p>
      <w:pPr>
        <w:pStyle w:val="BodyText"/>
      </w:pPr>
      <w:r>
        <w:t xml:space="preserve">In the realm of</w:t>
      </w:r>
      <w:r>
        <w:t xml:space="preserve"> </w:t>
      </w:r>
      <w:r>
        <w:rPr>
          <w:b/>
        </w:rPr>
        <w:t xml:space="preserve">AI for automotive aftermarkets</w:t>
      </w:r>
      <w:r>
        <w:t xml:space="preserve">, dynamic pricing might be employed to optimize spare parts inventory and pricing based on real-time demand, vehicle data, and market conditions (Bhuram, 2025). This highly specialized application leverages AI for internal optimization, with the cost likely embedded within broader service contracts or as a value-added feature.</w:t>
      </w:r>
    </w:p>
    <w:p>
      <w:pPr>
        <w:pStyle w:val="BodyText"/>
      </w:pPr>
      <w:r>
        <w:t xml:space="preserve">The key advantage for specialized providers is their ability to deeply understand their target market and tailor pricing models that resonate with the specific value drivers of that niche. This often leads to more effective monetization and stronger customer relationships. However, the challenge lies in scaling these niche models and competing with general-purpose AI solutions that might offer similar capabilities at a lower, albeit less specialized, cost. These providers often rely on a clear demonstration of ROI and superior domain expertise to justify their pricing.</w:t>
      </w:r>
    </w:p>
    <w:p>
      <w:pPr>
        <w:pStyle w:val="Heading2"/>
      </w:pPr>
      <w:bookmarkStart w:id="67" w:name="Xa204552cd8174332e8effc1f953c28cbd2f7e12"/>
      <w:r>
        <w:t xml:space="preserve">4. The Emergence of Hybrid Pricing Approaches</w:t>
      </w:r>
      <w:bookmarkEnd w:id="67"/>
    </w:p>
    <w:p>
      <w:pPr>
        <w:pStyle w:val="FirstParagraph"/>
      </w:pPr>
      <w:r>
        <w:t xml:space="preserve">The analysis of individual pricing models reveals that no single strategy is universally optimal for all AI services or market conditions. Each model presents a unique set of advantages and disadvantages, creating trade-offs that providers must navigate. Consequently, there is a growing trend towards hybrid pricing approaches, where elements from multiple models are combined to create more flexible, robust, and strategically aligned offerings (Divakaruni &amp; Navarro, 2024). These hybrid models aim to mitigate the weaknesses of individual strategies while capitalizing on their strengths, thereby enhancing both provider profitability and customer satisfaction.</w:t>
      </w:r>
    </w:p>
    <w:p>
      <w:pPr>
        <w:pStyle w:val="Heading3"/>
      </w:pPr>
      <w:bookmarkStart w:id="68" w:name="rationale-for-hybrid-models"/>
      <w:r>
        <w:t xml:space="preserve">4.1 Rationale for Hybrid Models</w:t>
      </w:r>
      <w:bookmarkEnd w:id="68"/>
    </w:p>
    <w:p>
      <w:pPr>
        <w:pStyle w:val="FirstParagraph"/>
      </w:pPr>
      <w:r>
        <w:t xml:space="preserve">The rationale for adopting hybrid pricing models in AI is multifaceted, driven by market dynamics, technological evolution, and customer expectations. Firstly, the inherent complexity and diverse applications of AI services mean that a</w:t>
      </w:r>
      <w:r>
        <w:t xml:space="preserve"> </w:t>
      </w:r>
      <w:r>
        <w:t xml:space="preserve">“</w:t>
      </w:r>
      <w:r>
        <w:t xml:space="preserve">one-size-fits-all</w:t>
      </w:r>
      <w:r>
        <w:t xml:space="preserve">”</w:t>
      </w:r>
      <w:r>
        <w:t xml:space="preserve"> </w:t>
      </w:r>
      <w:r>
        <w:t xml:space="preserve">pricing strategy is rarely effective (Lorente, 2025). An enterprise client using an LLM for internal knowledge management might have vastly different needs and willingness to pay compared to a startup building a customer-facing chatbot. Hybrid models allow providers to cater to these varied segments more effectively.</w:t>
      </w:r>
    </w:p>
    <w:p>
      <w:pPr>
        <w:pStyle w:val="BodyText"/>
      </w:pPr>
      <w:r>
        <w:t xml:space="preserve">Secondly, hybrid approaches enable providers to balance revenue predictability with customer flexibility. Pure usage-based models can lead to volatile revenue for providers, while pure subscription models can deter low-volume users. By combining elements, providers can secure a baseline recurring revenue while allowing customers to scale their usage and incur additional costs only when necessary (Ladas et al., 2019). This strikes a crucial balance that supports sustainable business growth without alienating price-sensitive users.</w:t>
      </w:r>
    </w:p>
    <w:p>
      <w:pPr>
        <w:pStyle w:val="BodyText"/>
      </w:pPr>
      <w:r>
        <w:t xml:space="preserve">Thirdly, hybrid models are instrumental in managing the high and often unpredictable costs associated with AI development and infrastructure. Training cutting-edge LLMs or maintaining vast computational resources is incredibly expensive (Kshirsagar et al., 2021). A pricing model that combines a base subscription (to cover fixed costs) with usage-based billing (to cover variable costs) can ensure that providers are adequately compensated for their investments while maintaining competitive pricing.</w:t>
      </w:r>
    </w:p>
    <w:p>
      <w:pPr>
        <w:pStyle w:val="BodyText"/>
      </w:pPr>
      <w:r>
        <w:t xml:space="preserve">Fourthly, the competitive landscape of the AI market necessitates strategic pricing. As AI services become more commoditized, providers must differentiate not only on features and performance but also on their pricing structures. Hybrid models offer a way to create unique value propositions and respond to competitor moves more agilely (Divakaruni &amp; Navarro, 2024). They allow for greater experimentation and optimization, as providers can fine-tune different components of their pricing to find the sweet spot that maximizes adoption and revenue.</w:t>
      </w:r>
    </w:p>
    <w:p>
      <w:pPr>
        <w:pStyle w:val="BodyText"/>
      </w:pPr>
      <w:r>
        <w:t xml:space="preserve">Finally, the evolving ethical considerations surrounding AI also play a role. Hybrid models can be designed to incorporate elements that promote fairness, accessibility, and sustainability. For instance, a freemium tier combined with a usage-based premium tier offers broad access while ensuring that heavy users contribute more to the environmental costs of computation (Mirghaderi et al., 2023).</w:t>
      </w:r>
    </w:p>
    <w:p>
      <w:pPr>
        <w:pStyle w:val="Heading3"/>
      </w:pPr>
      <w:bookmarkStart w:id="69" w:name="common-hybrid-configurations"/>
      <w:r>
        <w:t xml:space="preserve">4.2 Common Hybrid Configurations</w:t>
      </w:r>
      <w:bookmarkEnd w:id="69"/>
    </w:p>
    <w:p>
      <w:pPr>
        <w:pStyle w:val="FirstParagraph"/>
      </w:pPr>
      <w:r>
        <w:t xml:space="preserve">Several common hybrid configurations have emerged in the AI market, each designed to address specific strategic objectives.</w:t>
      </w:r>
    </w:p>
    <w:p>
      <w:pPr>
        <w:pStyle w:val="BodyText"/>
      </w:pPr>
      <w:r>
        <w:t xml:space="preserve">One prevalent hybrid is the</w:t>
      </w:r>
      <w:r>
        <w:t xml:space="preserve"> </w:t>
      </w:r>
      <w:r>
        <w:rPr>
          <w:b/>
        </w:rPr>
        <w:t xml:space="preserve">Subscription + Usage-Based Model</w:t>
      </w:r>
      <w:r>
        <w:t xml:space="preserve">. This typically involves a base monthly or annual subscription fee that grants access to a set of core features or a certain volume of usage (e.g., a fixed number of API calls or tokens per month). Beyond this included allowance, additional usage is billed on a pay-as-you-go basis (Satapathi, 2025). This model is widely adopted by cloud AI providers like Google Cloud and Azure AI, where a base subscription might unlock advanced platform features, while compute time or API calls are metered. Its advantage lies in providing customers with cost predictability up to a certain point, while allowing providers to capture revenue from high-volume usage. It also offers a clear upgrade path for growing businesses.</w:t>
      </w:r>
    </w:p>
    <w:p>
      <w:pPr>
        <w:pStyle w:val="BodyText"/>
      </w:pPr>
      <w:r>
        <w:t xml:space="preserve">Another common configuration is the</w:t>
      </w:r>
      <w:r>
        <w:t xml:space="preserve"> </w:t>
      </w:r>
      <w:r>
        <w:rPr>
          <w:b/>
        </w:rPr>
        <w:t xml:space="preserve">Freemium + Tiered Subscription Model</w:t>
      </w:r>
      <w:r>
        <w:t xml:space="preserve">. Here, a completely free tier offers basic functionality with significant limitations (e.g., restricted features, slower performance, lower usage limits) (Seufert, 2014). Above this, multiple paid subscription tiers offer progressively more features, higher limits, or access to more powerful AI models. This model is excellent for user acquisition, drawing in a large base with the free offering, and then converting a percentage of them to paid subscribers as their needs or perceived value increases. Many AI-powered writing assistants or image generation tools follow this model.</w:t>
      </w:r>
    </w:p>
    <w:p>
      <w:pPr>
        <w:pStyle w:val="BodyText"/>
      </w:pPr>
      <w:r>
        <w:t xml:space="preserve">A third approach combines</w:t>
      </w:r>
      <w:r>
        <w:t xml:space="preserve"> </w:t>
      </w:r>
      <w:r>
        <w:rPr>
          <w:b/>
        </w:rPr>
        <w:t xml:space="preserve">Value-Based with Usage-Based or Subscription Elements</w:t>
      </w:r>
      <w:r>
        <w:t xml:space="preserve">. This is often seen in highly specialized enterprise AI solutions. For example, an AI system for financial forecasting might have a base subscription fee, but also include a performance bonus or a revenue-share component if the AI significantly outperforms traditional methods or generates substantial profits for the client (Maguire, 2021). This aligns the provider’s incentives directly with the client’s success, capturing a portion of the demonstrated value. The challenge, as always, is accurately quantifying the AI’s direct contribution to the value created.</w:t>
      </w:r>
    </w:p>
    <w:p>
      <w:pPr>
        <w:pStyle w:val="BodyText"/>
      </w:pPr>
      <w:r>
        <w:t xml:space="preserve">A fourth, more nascent, hybrid is the</w:t>
      </w:r>
      <w:r>
        <w:t xml:space="preserve"> </w:t>
      </w:r>
      <w:r>
        <w:rPr>
          <w:b/>
        </w:rPr>
        <w:t xml:space="preserve">Tiered + Dynamic Pricing Model</w:t>
      </w:r>
      <w:r>
        <w:t xml:space="preserve">. This could involve different subscription tiers, but with prices within each tier subject to dynamic adjustments based on real-time factors like demand, network congestion, or time of day (Bhuram, 2025). For instance, a premium tier might guarantee priority access at a higher dynamic rate during peak hours, while a standard tier experiences greater price fluctuations. This aims to optimize resource allocation and revenue, but carries significant risks of customer dissatisfaction due to price volatility (Ayata, 2020).</w:t>
      </w:r>
    </w:p>
    <w:p>
      <w:pPr>
        <w:pStyle w:val="BodyText"/>
      </w:pPr>
      <w:r>
        <w:t xml:space="preserve">Finally,</w:t>
      </w:r>
      <w:r>
        <w:t xml:space="preserve"> </w:t>
      </w:r>
      <w:r>
        <w:rPr>
          <w:b/>
        </w:rPr>
        <w:t xml:space="preserve">Ethics-Driven + Any Other Model</w:t>
      </w:r>
      <w:r>
        <w:t xml:space="preserve"> </w:t>
      </w:r>
      <w:r>
        <w:t xml:space="preserve">represents an overlay where ethical considerations, such as Green AI principles or fairness metrics, are integrated into any of the above hybrids (Kshirsagar et al., 2021)(Mirghaderi et al., 2023). This could manifest as discounts for using energy-efficient models within a usage-based structure, or a transparent</w:t>
      </w:r>
      <w:r>
        <w:t xml:space="preserve"> </w:t>
      </w:r>
      <w:r>
        <w:t xml:space="preserve">“</w:t>
      </w:r>
      <w:r>
        <w:t xml:space="preserve">sustainability premium</w:t>
      </w:r>
      <w:r>
        <w:t xml:space="preserve">”</w:t>
      </w:r>
      <w:r>
        <w:t xml:space="preserve"> </w:t>
      </w:r>
      <w:r>
        <w:t xml:space="preserve">added to a subscription, with clear reporting on how these funds are used.</w:t>
      </w:r>
    </w:p>
    <w:p>
      <w:pPr>
        <w:pStyle w:val="Heading3"/>
      </w:pPr>
      <w:bookmarkStart w:id="70" w:name="Xfa74b7543653b4acdaa762641dc4bc7db501c28"/>
      <w:r>
        <w:t xml:space="preserve">4.3 Strategic Advantages and Challenges of Hybridization</w:t>
      </w:r>
      <w:bookmarkEnd w:id="70"/>
    </w:p>
    <w:p>
      <w:pPr>
        <w:pStyle w:val="FirstParagraph"/>
      </w:pPr>
      <w:r>
        <w:t xml:space="preserve">The strategic advantages of adopting hybrid pricing models are substantial. They offer</w:t>
      </w:r>
      <w:r>
        <w:t xml:space="preserve"> </w:t>
      </w:r>
      <w:r>
        <w:rPr>
          <w:b/>
        </w:rPr>
        <w:t xml:space="preserve">enhanced flexibility</w:t>
      </w:r>
      <w:r>
        <w:t xml:space="preserve"> </w:t>
      </w:r>
      <w:r>
        <w:t xml:space="preserve">to cater to diverse customer segments, from individual developers to large enterprises, with varying budgets and needs. This broadens market reach and accelerates adoption. Hybrid models also provide</w:t>
      </w:r>
      <w:r>
        <w:t xml:space="preserve"> </w:t>
      </w:r>
      <w:r>
        <w:rPr>
          <w:b/>
        </w:rPr>
        <w:t xml:space="preserve">improved revenue stability</w:t>
      </w:r>
      <w:r>
        <w:t xml:space="preserve"> </w:t>
      </w:r>
      <w:r>
        <w:t xml:space="preserve">for providers by combining predictable recurring revenue from subscriptions with scalable revenue from usage, hedging against volatility. They allow for</w:t>
      </w:r>
      <w:r>
        <w:t xml:space="preserve"> </w:t>
      </w:r>
      <w:r>
        <w:rPr>
          <w:b/>
        </w:rPr>
        <w:t xml:space="preserve">better resource optimization</w:t>
      </w:r>
      <w:r>
        <w:t xml:space="preserve"> </w:t>
      </w:r>
      <w:r>
        <w:t xml:space="preserve">by encouraging users to manage their consumption within included limits and charging for excess, which can help manage the high operational costs of AI infrastructure. Furthermore, hybrid approaches enable</w:t>
      </w:r>
      <w:r>
        <w:t xml:space="preserve"> </w:t>
      </w:r>
      <w:r>
        <w:rPr>
          <w:b/>
        </w:rPr>
        <w:t xml:space="preserve">competitive differentiation</w:t>
      </w:r>
      <w:r>
        <w:t xml:space="preserve">, allowing providers to craft unique pricing strategies that stand out in a crowded market and align closely with their specific value propositions (Divakaruni &amp; Navarro, 2024). They also facilitate</w:t>
      </w:r>
      <w:r>
        <w:t xml:space="preserve"> </w:t>
      </w:r>
      <w:r>
        <w:rPr>
          <w:b/>
        </w:rPr>
        <w:t xml:space="preserve">dynamic adaptation</w:t>
      </w:r>
      <w:r>
        <w:t xml:space="preserve"> </w:t>
      </w:r>
      <w:r>
        <w:t xml:space="preserve">to market changes, as individual components of the hybrid can be adjusted without overhauling the entire pricing structure.</w:t>
      </w:r>
    </w:p>
    <w:p>
      <w:pPr>
        <w:pStyle w:val="BodyText"/>
      </w:pPr>
      <w:r>
        <w:t xml:space="preserve">However, hybridization is not without its challenges. The primary difficulty lies in</w:t>
      </w:r>
      <w:r>
        <w:t xml:space="preserve"> </w:t>
      </w:r>
      <w:r>
        <w:rPr>
          <w:b/>
        </w:rPr>
        <w:t xml:space="preserve">increased complexity</w:t>
      </w:r>
      <w:r>
        <w:t xml:space="preserve"> </w:t>
      </w:r>
      <w:r>
        <w:t xml:space="preserve">for both providers and customers. Providers must manage intricate billing systems, track multiple metrics, and communicate complex pricing rules clearly (Satapathi, 2025). For customers, understanding how different components of a hybrid model interact and calculating their potential costs can be confusing, leading to a poorer user experience and potential distrust (Barbere et al., 2024). This complexity can also lead to</w:t>
      </w:r>
      <w:r>
        <w:t xml:space="preserve"> </w:t>
      </w:r>
      <w:r>
        <w:rPr>
          <w:b/>
        </w:rPr>
        <w:t xml:space="preserve">“</w:t>
      </w:r>
      <w:r>
        <w:rPr>
          <w:b/>
        </w:rPr>
        <w:t xml:space="preserve">bill shock</w:t>
      </w:r>
      <w:r>
        <w:rPr>
          <w:b/>
        </w:rPr>
        <w:t xml:space="preserve">”</w:t>
      </w:r>
      <w:r>
        <w:t xml:space="preserve"> </w:t>
      </w:r>
      <w:r>
        <w:t xml:space="preserve">if users misinterpret their usage allowance or the cost of exceeding limits.</w:t>
      </w:r>
    </w:p>
    <w:p>
      <w:pPr>
        <w:pStyle w:val="BodyText"/>
      </w:pPr>
      <w:r>
        <w:t xml:space="preserve">Another challenge is</w:t>
      </w:r>
      <w:r>
        <w:t xml:space="preserve"> </w:t>
      </w:r>
      <w:r>
        <w:rPr>
          <w:b/>
        </w:rPr>
        <w:t xml:space="preserve">optimizing the balance</w:t>
      </w:r>
      <w:r>
        <w:t xml:space="preserve"> </w:t>
      </w:r>
      <w:r>
        <w:t xml:space="preserve">between different pricing components. Setting the right base subscription fee, usage allowances, and per-unit costs requires extensive market research, A/B testing, and continuous monitoring. If the balance is off, it can lead to under-monetization (if usage allowances are too generous) or customer churn (if usage costs are too high). There’s also the risk of</w:t>
      </w:r>
      <w:r>
        <w:t xml:space="preserve"> </w:t>
      </w:r>
      <w:r>
        <w:rPr>
          <w:b/>
        </w:rPr>
        <w:t xml:space="preserve">cannibalization</w:t>
      </w:r>
      <w:r>
        <w:t xml:space="preserve">, where lower tiers or usage rates might inadvertently reduce demand for higher-value offerings. Finally, the</w:t>
      </w:r>
      <w:r>
        <w:t xml:space="preserve"> </w:t>
      </w:r>
      <w:r>
        <w:rPr>
          <w:b/>
        </w:rPr>
        <w:t xml:space="preserve">overhead of managing multiple pricing components</w:t>
      </w:r>
      <w:r>
        <w:t xml:space="preserve"> </w:t>
      </w:r>
      <w:r>
        <w:t xml:space="preserve">can be significant, requiring dedicated teams for pricing strategy, billing support, and customer education. Despite these challenges, the strategic benefits often outweigh the complexities, making hybrid models the de facto standard for sophisticated AI services.</w:t>
      </w:r>
    </w:p>
    <w:p>
      <w:pPr>
        <w:pStyle w:val="Heading3"/>
      </w:pPr>
      <w:bookmarkStart w:id="71" w:name="future-directions-in-hybrid-ai-pricing"/>
      <w:r>
        <w:t xml:space="preserve">4.4 Future Directions in Hybrid AI Pricing</w:t>
      </w:r>
      <w:bookmarkEnd w:id="71"/>
    </w:p>
    <w:p>
      <w:pPr>
        <w:pStyle w:val="FirstParagraph"/>
      </w:pPr>
      <w:r>
        <w:t xml:space="preserve">The evolution of AI technology and market dynamics will undoubtedly drive further innovation in hybrid pricing. Several key trends are likely to shape future directions.</w:t>
      </w:r>
    </w:p>
    <w:p>
      <w:pPr>
        <w:pStyle w:val="BodyText"/>
      </w:pPr>
      <w:r>
        <w:t xml:space="preserve">Firstly, there will be an increased emphasis on</w:t>
      </w:r>
      <w:r>
        <w:t xml:space="preserve"> </w:t>
      </w:r>
      <w:r>
        <w:rPr>
          <w:b/>
        </w:rPr>
        <w:t xml:space="preserve">outcome-based or performance-linked pricing</w:t>
      </w:r>
      <w:r>
        <w:t xml:space="preserve"> </w:t>
      </w:r>
      <w:r>
        <w:t xml:space="preserve">within hybrid models (Maguire, 2021). As AI matures, and its impact becomes more measurable, providers will seek to tie a larger portion of their revenue to the actual business outcomes achieved by their clients. This could involve a base subscription for access, combined with a percentage of the savings generated, the revenue uplift, or the efficiency gains directly attributable to the AI. This moves closer to a pure value-based model but within a hybrid framework that still ensures some cost recovery.</w:t>
      </w:r>
    </w:p>
    <w:p>
      <w:pPr>
        <w:pStyle w:val="BodyText"/>
      </w:pPr>
      <w:r>
        <w:t xml:space="preserve">Secondly, the integration of</w:t>
      </w:r>
      <w:r>
        <w:t xml:space="preserve"> </w:t>
      </w:r>
      <w:r>
        <w:rPr>
          <w:b/>
        </w:rPr>
        <w:t xml:space="preserve">blockchain and verifiable computation</w:t>
      </w:r>
      <w:r>
        <w:t xml:space="preserve"> </w:t>
      </w:r>
      <w:r>
        <w:t xml:space="preserve">could enable more transparent and auditable usage-based pricing (Kaaniche &amp; Laurent, 2018). By leveraging distributed ledger technologies, the exact computational resources consumed, or the number of tokens processed, could be immutably recorded and verified, enhancing trust and fairness in billing. This could also facilitate micro-transactions for highly granular AI services.</w:t>
      </w:r>
    </w:p>
    <w:p>
      <w:pPr>
        <w:pStyle w:val="BodyText"/>
      </w:pPr>
      <w:r>
        <w:t xml:space="preserve">Thirdly,</w:t>
      </w:r>
      <w:r>
        <w:t xml:space="preserve"> </w:t>
      </w:r>
      <w:r>
        <w:rPr>
          <w:b/>
        </w:rPr>
        <w:t xml:space="preserve">personalized and adaptive hybrid models</w:t>
      </w:r>
      <w:r>
        <w:t xml:space="preserve"> </w:t>
      </w:r>
      <w:r>
        <w:t xml:space="preserve">will become more sophisticated (Niharika et al., 2024). Leveraging AI itself, providers will be able to dynamically adjust the components of a hybrid model for individual users or organizations based on their historical usage, projected needs, and willingness to pay. This moves beyond simple dynamic pricing to a more comprehensive, AI-driven optimization of the entire pricing structure for each customer. However, this raises significant ethical concerns regarding algorithmic discrimination and requires robust transparency mechanisms.</w:t>
      </w:r>
    </w:p>
    <w:p>
      <w:pPr>
        <w:pStyle w:val="BodyText"/>
      </w:pPr>
      <w:r>
        <w:t xml:space="preserve">Fourthly, the push for</w:t>
      </w:r>
      <w:r>
        <w:t xml:space="preserve"> </w:t>
      </w:r>
      <w:r>
        <w:rPr>
          <w:b/>
        </w:rPr>
        <w:t xml:space="preserve">Green AI and ethical considerations</w:t>
      </w:r>
      <w:r>
        <w:t xml:space="preserve"> </w:t>
      </w:r>
      <w:r>
        <w:t xml:space="preserve">will become more deeply embedded in hybrid pricing. Future models might offer explicit carbon footprint reporting per usage unit, with tiered pricing based on the energy efficiency of the chosen AI model or infrastructure (Kshirsagar et al., 2021). Discounts might be offered for using AI models trained on ethically sourced data or those that demonstrate verifiable bias mitigation. This will require industry-wide standards for measuring and reporting AI’s ethical and environmental impact.</w:t>
      </w:r>
    </w:p>
    <w:p>
      <w:pPr>
        <w:pStyle w:val="BodyText"/>
      </w:pPr>
      <w:r>
        <w:t xml:space="preserve">Finally, the concept of</w:t>
      </w:r>
      <w:r>
        <w:t xml:space="preserve"> </w:t>
      </w:r>
      <w:r>
        <w:rPr>
          <w:b/>
        </w:rPr>
        <w:t xml:space="preserve">“</w:t>
      </w:r>
      <w:r>
        <w:rPr>
          <w:b/>
        </w:rPr>
        <w:t xml:space="preserve">AI Agents for Economic Research</w:t>
      </w:r>
      <w:r>
        <w:rPr>
          <w:b/>
        </w:rPr>
        <w:t xml:space="preserve">”</w:t>
      </w:r>
      <w:r>
        <w:t xml:space="preserve"> </w:t>
      </w:r>
      <w:r>
        <w:t xml:space="preserve">(Korinek, 2025) suggests a future where AI itself might analyze market conditions, competitor pricing, and consumer behavior to continuously optimize and propose new hybrid pricing strategies. This could lead to highly dynamic and responsive pricing that evolves in real-time, pushing the boundaries of traditional pricing theory.</w:t>
      </w:r>
    </w:p>
    <w:p>
      <w:pPr>
        <w:pStyle w:val="BodyText"/>
      </w:pPr>
      <w:r>
        <w:t xml:space="preserve">In conclusion, the analysis of AI pricing models underscores a clear trajectory towards hybrid solutions that strategically combine elements to address the multifaceted challenges of monetizing intelligent systems. As AI continues its rapid advancement and integration into the global economy, the sophistication and ethical considerations embedded within these pricing models will be paramount to ensuring equitable access, sustainable development, and continued innovation in the AI landscape. The ongoing evolution of these strategies will be a critical determinant of AI’s broader societal impact and economic success.</w:t>
      </w:r>
    </w:p>
    <w:p>
      <w:pPr>
        <w:pStyle w:val="Heading1"/>
      </w:pPr>
      <w:bookmarkStart w:id="72" w:name="discussion"/>
      <w:r>
        <w:t xml:space="preserve">Discussion</w:t>
      </w:r>
      <w:bookmarkEnd w:id="72"/>
    </w:p>
    <w:p>
      <w:pPr>
        <w:pStyle w:val="FirstParagraph"/>
      </w:pPr>
      <w:r>
        <w:t xml:space="preserve">The preceding analysis has illuminated the multifaceted landscape of Artificial Intelligence (AI) pricing, dissecting various models, influencing factors, and the inherent complexities in valuing such advanced technological services. This discussion section delves into the broader implications of these findings, exploring their significance for AI companies, considerations for customer adoption, anticipated future pricing trends, and offering concrete recommendations for stakeholders. The objective is to bridge the theoretical understanding with practical strategic insights, fostering a more informed and equitable AI ecosystem.</w:t>
      </w:r>
    </w:p>
    <w:p>
      <w:pPr>
        <w:pStyle w:val="Heading2"/>
      </w:pPr>
      <w:bookmarkStart w:id="73" w:name="implications-for-ai-companies"/>
      <w:r>
        <w:t xml:space="preserve">Implications for AI Companies</w:t>
      </w:r>
      <w:bookmarkEnd w:id="73"/>
    </w:p>
    <w:p>
      <w:pPr>
        <w:pStyle w:val="FirstParagraph"/>
      </w:pPr>
      <w:r>
        <w:t xml:space="preserve">The strategic implications for AI companies operating within this dynamic pricing environment are profound, necessitating a shift from conventional pricing paradigms to more sophisticated, adaptive, and ethically conscious approaches. Historically, software and service pricing has often gravitated towards cost-plus models, which, while straightforward, fail to capture the exponential and often intangible value generated by AI systems (Maguire, 2021). The advent of AI demands a re-evaluation of how value is created and captured, especially given AI’s transformative potential across industries (Lorente, 2025).</w:t>
      </w:r>
    </w:p>
    <w:p>
      <w:pPr>
        <w:pStyle w:val="BodyText"/>
      </w:pPr>
      <w:r>
        <w:t xml:space="preserve">A primary implication is the imperative for AI companies to move beyond simplistic cost-plus pricing. While the underlying computational and development costs of AI, including specialized hardware, extensive data acquisition, and expert human capital, are substantial, they often represent only a fraction of the value an AI solution can deliver to a client. For instance, the energy consumption associated with training and running large AI models, sometimes referred to as</w:t>
      </w:r>
      <w:r>
        <w:t xml:space="preserve"> </w:t>
      </w:r>
      <w:r>
        <w:t xml:space="preserve">‘</w:t>
      </w:r>
      <w:r>
        <w:t xml:space="preserve">Green AI</w:t>
      </w:r>
      <w:r>
        <w:t xml:space="preserve">’</w:t>
      </w:r>
      <w:r>
        <w:t xml:space="preserve"> </w:t>
      </w:r>
      <w:r>
        <w:t xml:space="preserve">considerations, represents a tangible cost that can be factored into pricing (Kshirsagar et al., 2021). However, focusing solely on these costs risks undervaluing the solution. Instead, AI companies must increasingly pivot towards value-based pricing, which aligns the price of a service with the perceived or realized benefits it offers to the customer (Maguire, 2021)(Lorente, 2025). This requires a deep understanding of the customer’s operational context, their pain points, and the specific return on investment (ROI) that the AI solution can generate. Quantifying this value, however, presents a significant challenge. It often involves demonstrating improvements in efficiency, accuracy, decision-making, or competitive advantage, which can be difficult to measure precisely before deployment or even post-implementation (Lorente, 2025). Companies must invest in robust frameworks and methodologies to articulate and quantify this value proposition clearly, perhaps through pilot programs, case studies, and performance guarantees (Maguire, 2021). The challenge is not merely to calculate an internal cost, but to understand the external impact and monetize that impact effectively.</w:t>
      </w:r>
    </w:p>
    <w:p>
      <w:pPr>
        <w:pStyle w:val="BodyText"/>
      </w:pPr>
      <w:r>
        <w:t xml:space="preserve">Operational complexities further compound the pricing challenge for AI companies. Many AI services, particularly large language models (LLMs) and generative AI, are consumed through APIs on a usage-based model, often measured in</w:t>
      </w:r>
      <w:r>
        <w:t xml:space="preserve"> </w:t>
      </w:r>
      <w:r>
        <w:t xml:space="preserve">“</w:t>
      </w:r>
      <w:r>
        <w:t xml:space="preserve">tokens</w:t>
      </w:r>
      <w:r>
        <w:t xml:space="preserve">”</w:t>
      </w:r>
      <w:r>
        <w:t xml:space="preserve"> </w:t>
      </w:r>
      <w:r>
        <w:t xml:space="preserve">or API calls (Barbere et al., 2024)(Satapathi, 2025). This granular consumption model necessitates sophisticated billing infrastructures capable of tracking and attributing usage accurately. Dynamic pricing mechanisms, which adjust prices in real-time based on demand, computational load, or even market conditions, are becoming increasingly prevalent (Bhuram, 2025)(Niharika et al., 2024). Implementing such systems requires advanced predictive analytics and robust backend infrastructure to ensure fairness, transparency, and optimal revenue generation (Niharika et al., 2024). For example, edge-cloud AI architectures can enable dynamic pricing in highly responsive environments like automotive aftermarkets by leveraging real-time data (Bhuram, 2025). Companies like Microsoft Azure AI Language Service already employ tiered pricing based on features and usage volumes, illustrating the practical application of these models (Satapathi, 2025). Furthermore, effective API monetization strategies, as discussed by De (De, 2017), become crucial. This involves not only setting the right price per unit but also designing API access tiers, developer programs, and support structures that encourage adoption and sustained usage. The operational overhead of managing these complex, usage-based, and potentially dynamic pricing models can be substantial, requiring significant investment in data analytics, engineering, and customer support.</w:t>
      </w:r>
    </w:p>
    <w:p>
      <w:pPr>
        <w:pStyle w:val="BodyText"/>
      </w:pPr>
      <w:r>
        <w:t xml:space="preserve">Ethical and transparency considerations also carry significant implications for AI companies. As AI systems become more pervasive, concerns about bias, fairness, and accountability in their operation, including their pricing, are intensifying (Mirghaderi et al., 2023). Companies must ensure that their pricing algorithms do not inadvertently discriminate against certain user groups or lead to excessive pricing, which could attract regulatory scrutiny and erode customer trust (Ayata, 2020). Transparency in how AI solutions are priced, and how value is calculated, becomes paramount. This includes clear communication about data usage, particularly when personal or sensitive information is involved, as outlined by Kaaniche and Laurent’s work on blockchain-based data usage auditing (Kaaniche &amp; Laurent, 2018). Failure to address these ethical dimensions can result in reputational damage, legal challenges, and a significant impediment to market adoption. The concept of</w:t>
      </w:r>
      <w:r>
        <w:t xml:space="preserve"> </w:t>
      </w:r>
      <w:r>
        <w:t xml:space="preserve">“</w:t>
      </w:r>
      <w:r>
        <w:t xml:space="preserve">human-like competencies</w:t>
      </w:r>
      <w:r>
        <w:t xml:space="preserve">”</w:t>
      </w:r>
      <w:r>
        <w:t xml:space="preserve"> </w:t>
      </w:r>
      <w:r>
        <w:t xml:space="preserve">in AI also plays a role, as users may perceive and value AI differently based on its perceived human-like attributes, which can influence pricing strategies (Fang &amp; Zhou, 2025). Balancing commercial objectives with ethical responsibilities is a delicate act, but one that is increasingly non-negotiable for sustainable growth in the AI sector. Companies that proactively integrate ethical considerations into their pricing models and communicate these transparently are more likely to build long-term trust and achieve market leadership.</w:t>
      </w:r>
    </w:p>
    <w:p>
      <w:pPr>
        <w:pStyle w:val="Heading2"/>
      </w:pPr>
      <w:bookmarkStart w:id="74" w:name="customer-adoption-considerations"/>
      <w:r>
        <w:t xml:space="preserve">Customer Adoption Considerations</w:t>
      </w:r>
      <w:bookmarkEnd w:id="74"/>
    </w:p>
    <w:p>
      <w:pPr>
        <w:pStyle w:val="FirstParagraph"/>
      </w:pPr>
      <w:r>
        <w:t xml:space="preserve">The success of AI products and services hinges critically on customer adoption, which is influenced by a complex interplay of factors, including trust, perceived value, and the psychological aspects of engagement. Understanding these dynamics is essential for AI companies to design effective pricing strategies that resonate with potential users.</w:t>
      </w:r>
    </w:p>
    <w:p>
      <w:pPr>
        <w:pStyle w:val="BodyText"/>
      </w:pPr>
      <w:r>
        <w:t xml:space="preserve">Trust and transparency emerge as foundational pillars for customer adoption of AI solutions. The inherent</w:t>
      </w:r>
      <w:r>
        <w:t xml:space="preserve"> </w:t>
      </w:r>
      <w:r>
        <w:t xml:space="preserve">“</w:t>
      </w:r>
      <w:r>
        <w:t xml:space="preserve">black box</w:t>
      </w:r>
      <w:r>
        <w:t xml:space="preserve">”</w:t>
      </w:r>
      <w:r>
        <w:t xml:space="preserve"> </w:t>
      </w:r>
      <w:r>
        <w:t xml:space="preserve">nature of many advanced AI algorithms, coupled with widespread concerns about data privacy and algorithmic bias, can create significant barriers to trust (Mirghaderi et al., 2023). Customers are increasingly wary of how their data is used, how decisions are made by AI, and whether the pricing models are fair and non-discriminatory. Transparent communication regarding the AI’s capabilities, limitations, and, crucially, its pricing structure and data handling practices is therefore not merely a best practice but a necessity (Kaaniche &amp; Laurent, 2018). When customers understand the value exchange, how their data contributes to the service, and how the price reflects that, their willingness to adopt increases. Conversely, a lack of transparency can foster suspicion and inhibit adoption, even for highly effective AI solutions. Mirghaderi, Sziron et al. (Mirghaderi et al., 2023) highlight the ethical and transparency issues in digital platforms, which are directly relevant to AI services. Building trust also involves addressing the perceived risks associated with AI, such as job displacement or misuse, and demonstrating a commitment to responsible AI development. This extends to pricing, where perceived fairness in cost structures can significantly impact customer sentiment and loyalty.</w:t>
      </w:r>
    </w:p>
    <w:p>
      <w:pPr>
        <w:pStyle w:val="BodyText"/>
      </w:pPr>
      <w:r>
        <w:t xml:space="preserve">The interplay between perceived value and cost is another critical determinant of customer adoption. Customers evaluate AI solutions not just on their absolute price, but on the perceived benefits they offer relative to that cost, and relative to alternative solutions (including human labor or existing software). Fang and Zhou (Fang &amp; Zhou, 2025) explore how human-like competencies in AI can influence user perception and, by extension, their willingness to pay. If an AI system is perceived as highly competent, intuitive, or even empathetic, its perceived value might increase, justifying a higher price point. Conversely, if an AI is seen as complex, unreliable, or difficult to integrate, its perceived value diminishes, making even a low price seem excessive. The initial stages of adoption often benefit from models like freemium, where a basic version is offered for free to allow users to experience the value firsthand before committing to a paid subscription (Seufert, 2014). This approach helps overcome the initial hurdle of skepticism and allows users to develop a sense of the AI’s utility and impact on their workflows or decision-making processes. The psychological factors affecting customer lifetime value, as analyzed by Siddannavar, Khan et al. (Siddannavar et al., 2025), underscore the importance of understanding user perception and satisfaction over time. A positive initial experience, coupled with consistent value delivery, is crucial for long-term engagement and willingness to continue paying for AI services.</w:t>
      </w:r>
    </w:p>
    <w:p>
      <w:pPr>
        <w:pStyle w:val="BodyText"/>
      </w:pPr>
      <w:r>
        <w:t xml:space="preserve">Switching costs and the potential for vendor lock-in also significantly influence customer adoption and retention. Once an organization or individual invests in an AI solution, integrating it into their existing workflows, training personnel, and migrating data, the cost of switching to a competitor can be substantial. This creates a degree of</w:t>
      </w:r>
      <w:r>
        <w:t xml:space="preserve"> </w:t>
      </w:r>
      <w:r>
        <w:t xml:space="preserve">“</w:t>
      </w:r>
      <w:r>
        <w:t xml:space="preserve">stickiness</w:t>
      </w:r>
      <w:r>
        <w:t xml:space="preserve">”</w:t>
      </w:r>
      <w:r>
        <w:t xml:space="preserve"> </w:t>
      </w:r>
      <w:r>
        <w:t xml:space="preserve">for AI providers. However, high switching costs can also deter initial adoption if potential customers anticipate being locked into a suboptimal solution. AI companies must balance the benefits of ecosystem lock-in with the need to attract new users by demonstrating flexibility and interoperability. The ease of data portability and API compatibility with other systems can mitigate concerns about lock-in, making an AI solution more attractive. Divakaruni and Navarro’s work on technology adoption and pricing in US Airlines (Divakaruni &amp; Navarro, 2024) highlights how the cost-benefit analysis of adopting new technologies is heavily influenced by integration challenges and perceived long-term value. Furthermore, the learning curve associated with new AI tools can be a barrier. If an AI solution requires extensive training or changes to established processes, the perceived cost (in terms of time and effort) can outweigh the perceived benefits, leading to lower adoption rates. Effective onboarding, comprehensive documentation, and responsive customer support are vital to reduce these perceived switching costs and facilitate smoother adoption.</w:t>
      </w:r>
    </w:p>
    <w:p>
      <w:pPr>
        <w:pStyle w:val="BodyText"/>
      </w:pPr>
      <w:r>
        <w:t xml:space="preserve">Finally, broader market dynamics play a role. The competitive landscape, the maturity of AI technologies, and prevailing economic conditions all shape customer expectations and willingness to pay. As AI becomes more commoditized in certain areas, pricing pressures will increase, forcing providers to differentiate on factors beyond core functionality, such as user experience, specialized applications, or ethical safeguards. Early adopters might be willing to pay a premium for cutting-edge technology, while later adopters will seek proven solutions at more competitive price points.</w:t>
      </w:r>
    </w:p>
    <w:p>
      <w:pPr>
        <w:pStyle w:val="Heading2"/>
      </w:pPr>
      <w:bookmarkStart w:id="75" w:name="future-pricing-trends"/>
      <w:r>
        <w:t xml:space="preserve">Future Pricing Trends</w:t>
      </w:r>
      <w:bookmarkEnd w:id="75"/>
    </w:p>
    <w:p>
      <w:pPr>
        <w:pStyle w:val="FirstParagraph"/>
      </w:pPr>
      <w:r>
        <w:t xml:space="preserve">The trajectory of AI pricing is dynamic, shaped by technological advancements, evolving market demands, and increasing regulatory scrutiny. Several key trends are expected to define the future landscape, moving towards more sophisticated, personalized, and ethically grounded pricing models.</w:t>
      </w:r>
    </w:p>
    <w:p>
      <w:pPr>
        <w:pStyle w:val="BodyText"/>
      </w:pPr>
      <w:r>
        <w:t xml:space="preserve">One prominent trend is the widespread adoption of</w:t>
      </w:r>
      <w:r>
        <w:t xml:space="preserve"> </w:t>
      </w:r>
      <w:r>
        <w:rPr>
          <w:b/>
        </w:rPr>
        <w:t xml:space="preserve">hybrid and adaptive pricing models</w:t>
      </w:r>
      <w:r>
        <w:t xml:space="preserve">. The limitations of purely cost-plus or value-based approaches in capturing the full complexity of AI services will drive companies to blend these strategies. Future models will likely incorporate elements of usage-based pricing (e.g., tokens, API calls (Barbere et al., 2024)(Satapathi, 2025)), performance-based pricing (tying cost to achieved outcomes), and subscription tiers, creating a nuanced framework that can adapt to different customer segments and use cases. AI-powered predictive analytics will play a crucial role in optimizing these hybrid models in real-time (Niharika et al., 2024). By analyzing vast datasets of usage patterns, market demand, and customer behavior, AI systems themselves will dynamically adjust pricing to maximize revenue and customer satisfaction. Bhuram’s research on edge-cloud AI for dynamic pricing in automotive aftermarkets (Bhuram, 2025) exemplifies how real-time data and AI can enable highly responsive pricing adjustments, moving beyond static price lists. This means that prices for AI services could fluctuate based on the complexity of the task, the urgency of the request, the computational resources required, or even the value derived by the user in a specific context.</w:t>
      </w:r>
    </w:p>
    <w:p>
      <w:pPr>
        <w:pStyle w:val="BodyText"/>
      </w:pPr>
      <w:r>
        <w:rPr>
          <w:b/>
        </w:rPr>
        <w:t xml:space="preserve">Personalization and customization</w:t>
      </w:r>
      <w:r>
        <w:t xml:space="preserve"> </w:t>
      </w:r>
      <w:r>
        <w:t xml:space="preserve">will become increasingly central to AI pricing. As AI systems become more capable of understanding individual user needs and enterprise-specific requirements, pricing models will evolve to reflect this granularity. This could manifest as highly tailored enterprise contracts, where pricing is negotiated based on specific integration needs, data volumes, and desired outcomes. For individual users or smaller businesses, this might involve more flexible tiered services, allowing customers to pay only for the specific features, capabilities, or usage levels they require (Satapathi, 2025). Instead of one-size-fits-all subscriptions, future models could offer modular pricing, where users can add or remove AI capabilities à la carte. This approach aligns with the principle of value-based pricing, ensuring that customers perceive a direct correlation between the features they utilize and the price they pay. The shift from product selling to pay-per-use services, as explored by Ladas, Kavadias et al. (Ladas et al., 2019), highlights a broader industry trend that AI is poised to accelerate, offering greater flexibility and cost-efficiency for users.</w:t>
      </w:r>
    </w:p>
    <w:p>
      <w:pPr>
        <w:pStyle w:val="BodyText"/>
      </w:pPr>
      <w:r>
        <w:t xml:space="preserve">The growing influence of</w:t>
      </w:r>
      <w:r>
        <w:t xml:space="preserve"> </w:t>
      </w:r>
      <w:r>
        <w:rPr>
          <w:b/>
        </w:rPr>
        <w:t xml:space="preserve">regulatory and ethical considerations</w:t>
      </w:r>
      <w:r>
        <w:t xml:space="preserve"> </w:t>
      </w:r>
      <w:r>
        <w:t xml:space="preserve">will significantly shape future AI pricing. As governments and international bodies grapple with the societal impact of AI, regulations concerning data privacy, algorithmic transparency, and anti-competitive practices are likely to become more stringent. This will directly impact how AI companies can price their services. For instance, regulations requiring greater transparency in data usage (Kaaniche &amp; Laurent, 2018) could necessitate more detailed breakdowns of how data-related costs are factored into pricing. Concerns about</w:t>
      </w:r>
      <w:r>
        <w:t xml:space="preserve"> </w:t>
      </w:r>
      <w:r>
        <w:t xml:space="preserve">“</w:t>
      </w:r>
      <w:r>
        <w:t xml:space="preserve">excessive pricing</w:t>
      </w:r>
      <w:r>
        <w:t xml:space="preserve">”</w:t>
      </w:r>
      <w:r>
        <w:t xml:space="preserve"> </w:t>
      </w:r>
      <w:r>
        <w:t xml:space="preserve">by dominant digital platforms, as discussed by Ayata (Ayata, 2020), may lead to regulatory interventions to prevent monopolistic behaviors in the AI market. Furthermore, the push for</w:t>
      </w:r>
      <w:r>
        <w:t xml:space="preserve"> </w:t>
      </w:r>
      <w:r>
        <w:t xml:space="preserve">“</w:t>
      </w:r>
      <w:r>
        <w:t xml:space="preserve">Green AI</w:t>
      </w:r>
      <w:r>
        <w:t xml:space="preserve">”</w:t>
      </w:r>
      <w:r>
        <w:t xml:space="preserve"> </w:t>
      </w:r>
      <w:r>
        <w:t xml:space="preserve">(Kshirsagar et al., 2021), which emphasizes energy efficiency and environmental sustainability in AI development, could lead to pricing models that reward or penalize based on the carbon footprint of AI operations. Companies demonstrating a commitment to ethical AI and sustainable practices might gain a competitive advantage, potentially justifying premium pricing, while those neglecting these aspects could face regulatory fines and reputational damage. The ethical dimension will transition from a peripheral concern to a core determinant of viable pricing strategies.</w:t>
      </w:r>
    </w:p>
    <w:p>
      <w:pPr>
        <w:pStyle w:val="BodyText"/>
      </w:pPr>
      <w:r>
        <w:t xml:space="preserve">Finally, the emergence of</w:t>
      </w:r>
      <w:r>
        <w:t xml:space="preserve"> </w:t>
      </w:r>
      <w:r>
        <w:rPr>
          <w:b/>
        </w:rPr>
        <w:t xml:space="preserve">AI agents for economic research and market interaction</w:t>
      </w:r>
      <w:r>
        <w:t xml:space="preserve"> </w:t>
      </w:r>
      <w:r>
        <w:t xml:space="preserve">(Korinek, 2025) suggests a future where AI systems might not only be priced but also actively participate in pricing decisions and market negotiations. This could lead to highly efficient, dynamic markets where AI agents, representing buyers and sellers, optimize transactions based on real-time data, complex algorithms, and even game theory. Korinek’s work on AI agents for economic research (Korinek, 2025) hints at a future where AI itself becomes a central player in shaping economic models and pricing mechanisms, moving beyond merely being a service to be priced. This could introduce new layers of complexity and efficiency, but also new ethical and regulatory challenges regarding algorithmic collusion or market manipulation. The future of AI pricing is not just about human decision-making but also about AI-driven decision-making within economic systems.</w:t>
      </w:r>
    </w:p>
    <w:p>
      <w:pPr>
        <w:pStyle w:val="BodyText"/>
      </w:pPr>
      <w:r>
        <w:t xml:space="preserve">To aid AI providers in navigating the complexities of selecting an appropriate pricing model, the following decision flow outlines key considerations and pathways.</w:t>
      </w:r>
    </w:p>
    <w:p>
      <w:pPr>
        <w:pStyle w:val="BodyText"/>
      </w:pPr>
      <w:r>
        <w:rPr>
          <w:b/>
        </w:rPr>
        <w:t xml:space="preserve">Figure 2: Decision Flow for AI Pricing Model Selection</w:t>
      </w:r>
    </w:p>
    <w:p>
      <w:pPr>
        <w:pStyle w:val="SourceCode"/>
      </w:pPr>
      <w:r>
        <w:rPr>
          <w:rStyle w:val="VerbatimChar"/>
        </w:rPr>
        <w:t xml:space="preserve">+--------------------------+</w:t>
      </w:r>
      <w:r>
        <w:br/>
      </w:r>
      <w:r>
        <w:rPr>
          <w:rStyle w:val="VerbatimChar"/>
        </w:rPr>
        <w:t xml:space="preserve">| START: AI Pricing Model |</w:t>
      </w:r>
      <w:r>
        <w:br/>
      </w:r>
      <w:r>
        <w:rPr>
          <w:rStyle w:val="VerbatimChar"/>
        </w:rPr>
        <w:t xml:space="preserve">| Selection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Is AI value highly |</w:t>
      </w:r>
      <w:r>
        <w:br/>
      </w:r>
      <w:r>
        <w:rPr>
          <w:rStyle w:val="VerbatimChar"/>
        </w:rPr>
        <w:t xml:space="preserve">| quantifiable &amp; high? |</w:t>
      </w:r>
      <w:r>
        <w:br/>
      </w:r>
      <w:r>
        <w:rPr>
          <w:rStyle w:val="VerbatimChar"/>
        </w:rPr>
        <w:t xml:space="preserve">| (e.g., fraud prevention) |</w:t>
      </w:r>
      <w:r>
        <w:br/>
      </w:r>
      <w:r>
        <w:rPr>
          <w:rStyle w:val="VerbatimChar"/>
        </w:rPr>
        <w:t xml:space="preserve">+------------+-------------+</w:t>
      </w:r>
      <w:r>
        <w:br/>
      </w:r>
      <w:r>
        <w:rPr>
          <w:rStyle w:val="VerbatimChar"/>
        </w:rPr>
        <w:t xml:space="preserve">  YES / NO</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 YES: Go to A |</w:t>
      </w:r>
      <w:r>
        <w:br/>
      </w:r>
      <w:r>
        <w:rPr>
          <w:rStyle w:val="VerbatimChar"/>
        </w:rPr>
        <w:t xml:space="preserve">  | NO: Go to B |</w:t>
      </w:r>
      <w:r>
        <w:br/>
      </w:r>
      <w:r>
        <w:rPr>
          <w:rStyle w:val="VerbatimChar"/>
        </w:rPr>
        <w:t xml:space="preserve">  +------------------------+</w:t>
      </w:r>
      <w:r>
        <w:br/>
      </w:r>
      <w:r>
        <w:br/>
      </w:r>
      <w:r>
        <w:rPr>
          <w:rStyle w:val="VerbatimChar"/>
        </w:rPr>
        <w:t xml:space="preserve">A: Value-Based Focus</w:t>
      </w:r>
      <w:r>
        <w:br/>
      </w:r>
      <w:r>
        <w:rPr>
          <w:rStyle w:val="VerbatimChar"/>
        </w:rPr>
        <w:t xml:space="preserve">+--------------------------+</w:t>
      </w:r>
      <w:r>
        <w:br/>
      </w:r>
      <w:r>
        <w:rPr>
          <w:rStyle w:val="VerbatimChar"/>
        </w:rPr>
        <w:t xml:space="preserve">| Focus on Value-Based |</w:t>
      </w:r>
      <w:r>
        <w:br/>
      </w:r>
      <w:r>
        <w:rPr>
          <w:rStyle w:val="VerbatimChar"/>
        </w:rPr>
        <w:t xml:space="preserve">| Pricing or Hybrid w/ |</w:t>
      </w:r>
      <w:r>
        <w:br/>
      </w:r>
      <w:r>
        <w:rPr>
          <w:rStyle w:val="VerbatimChar"/>
        </w:rPr>
        <w:t xml:space="preserve">| Value Component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Is usage granular &amp; |</w:t>
      </w:r>
      <w:r>
        <w:br/>
      </w:r>
      <w:r>
        <w:rPr>
          <w:rStyle w:val="VerbatimChar"/>
        </w:rPr>
        <w:t xml:space="preserve">| resource-intensive? |</w:t>
      </w:r>
      <w:r>
        <w:br/>
      </w:r>
      <w:r>
        <w:rPr>
          <w:rStyle w:val="VerbatimChar"/>
        </w:rPr>
        <w:t xml:space="preserve">| (e.g., LLMs) |</w:t>
      </w:r>
      <w:r>
        <w:br/>
      </w:r>
      <w:r>
        <w:rPr>
          <w:rStyle w:val="VerbatimChar"/>
        </w:rPr>
        <w:t xml:space="preserve">+------------+-------------+</w:t>
      </w:r>
      <w:r>
        <w:br/>
      </w:r>
      <w:r>
        <w:rPr>
          <w:rStyle w:val="VerbatimChar"/>
        </w:rPr>
        <w:t xml:space="preserve">  YES / NO</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 YES: Hybrid w/ Token/ |</w:t>
      </w:r>
      <w:r>
        <w:br/>
      </w:r>
      <w:r>
        <w:rPr>
          <w:rStyle w:val="VerbatimChar"/>
        </w:rPr>
        <w:t xml:space="preserve">  | Usage elements |</w:t>
      </w:r>
      <w:r>
        <w:br/>
      </w:r>
      <w:r>
        <w:rPr>
          <w:rStyle w:val="VerbatimChar"/>
        </w:rPr>
        <w:t xml:space="preserve">  | NO: Pure Value-Based |</w:t>
      </w:r>
      <w:r>
        <w:br/>
      </w:r>
      <w:r>
        <w:rPr>
          <w:rStyle w:val="VerbatimChar"/>
        </w:rPr>
        <w:t xml:space="preserve">  +------------------------+</w:t>
      </w:r>
      <w:r>
        <w:br/>
      </w:r>
      <w:r>
        <w:br/>
      </w:r>
      <w:r>
        <w:rPr>
          <w:rStyle w:val="VerbatimChar"/>
        </w:rPr>
        <w:t xml:space="preserve">B: Usage/Subscription Focus</w:t>
      </w:r>
      <w:r>
        <w:br/>
      </w:r>
      <w:r>
        <w:rPr>
          <w:rStyle w:val="VerbatimChar"/>
        </w:rPr>
        <w:t xml:space="preserve">+--------------------------+</w:t>
      </w:r>
      <w:r>
        <w:br/>
      </w:r>
      <w:r>
        <w:rPr>
          <w:rStyle w:val="VerbatimChar"/>
        </w:rPr>
        <w:t xml:space="preserve">| Is the market mature &amp; |</w:t>
      </w:r>
      <w:r>
        <w:br/>
      </w:r>
      <w:r>
        <w:rPr>
          <w:rStyle w:val="VerbatimChar"/>
        </w:rPr>
        <w:t xml:space="preserve">| demand predictable? |</w:t>
      </w:r>
      <w:r>
        <w:br/>
      </w:r>
      <w:r>
        <w:rPr>
          <w:rStyle w:val="VerbatimChar"/>
        </w:rPr>
        <w:t xml:space="preserve">| (e.g., enterprise tools) |</w:t>
      </w:r>
      <w:r>
        <w:br/>
      </w:r>
      <w:r>
        <w:rPr>
          <w:rStyle w:val="VerbatimChar"/>
        </w:rPr>
        <w:t xml:space="preserve">+------------+-------------+</w:t>
      </w:r>
      <w:r>
        <w:br/>
      </w:r>
      <w:r>
        <w:rPr>
          <w:rStyle w:val="VerbatimChar"/>
        </w:rPr>
        <w:t xml:space="preserve">  YES / NO</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 YES: Go to C |</w:t>
      </w:r>
      <w:r>
        <w:br/>
      </w:r>
      <w:r>
        <w:rPr>
          <w:rStyle w:val="VerbatimChar"/>
        </w:rPr>
        <w:t xml:space="preserve">  | NO: Go to D |</w:t>
      </w:r>
      <w:r>
        <w:br/>
      </w:r>
      <w:r>
        <w:rPr>
          <w:rStyle w:val="VerbatimChar"/>
        </w:rPr>
        <w:t xml:space="preserve">  +------------------------+</w:t>
      </w:r>
      <w:r>
        <w:br/>
      </w:r>
      <w:r>
        <w:br/>
      </w:r>
      <w:r>
        <w:rPr>
          <w:rStyle w:val="VerbatimChar"/>
        </w:rPr>
        <w:t xml:space="preserve">C: Subscription/Tiered</w:t>
      </w:r>
      <w:r>
        <w:br/>
      </w:r>
      <w:r>
        <w:rPr>
          <w:rStyle w:val="VerbatimChar"/>
        </w:rPr>
        <w:t xml:space="preserve">+--------------------------+</w:t>
      </w:r>
      <w:r>
        <w:br/>
      </w:r>
      <w:r>
        <w:rPr>
          <w:rStyle w:val="VerbatimChar"/>
        </w:rPr>
        <w:t xml:space="preserve">| Focus on Subscription |</w:t>
      </w:r>
      <w:r>
        <w:br/>
      </w:r>
      <w:r>
        <w:rPr>
          <w:rStyle w:val="VerbatimChar"/>
        </w:rPr>
        <w:t xml:space="preserve">| or Tiered Models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High user acquisition |</w:t>
      </w:r>
      <w:r>
        <w:br/>
      </w:r>
      <w:r>
        <w:rPr>
          <w:rStyle w:val="VerbatimChar"/>
        </w:rPr>
        <w:t xml:space="preserve">| needed for network effect? |</w:t>
      </w:r>
      <w:r>
        <w:br/>
      </w:r>
      <w:r>
        <w:rPr>
          <w:rStyle w:val="VerbatimChar"/>
        </w:rPr>
        <w:t xml:space="preserve">+------------+-------------+</w:t>
      </w:r>
      <w:r>
        <w:br/>
      </w:r>
      <w:r>
        <w:rPr>
          <w:rStyle w:val="VerbatimChar"/>
        </w:rPr>
        <w:t xml:space="preserve">  YES / NO</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 YES: Freemium Strategy |</w:t>
      </w:r>
      <w:r>
        <w:br/>
      </w:r>
      <w:r>
        <w:rPr>
          <w:rStyle w:val="VerbatimChar"/>
        </w:rPr>
        <w:t xml:space="preserve">  | NO: Standard Sub/Tiered |</w:t>
      </w:r>
      <w:r>
        <w:br/>
      </w:r>
      <w:r>
        <w:rPr>
          <w:rStyle w:val="VerbatimChar"/>
        </w:rPr>
        <w:t xml:space="preserve">  +------------------------+</w:t>
      </w:r>
      <w:r>
        <w:br/>
      </w:r>
      <w:r>
        <w:br/>
      </w:r>
      <w:r>
        <w:rPr>
          <w:rStyle w:val="VerbatimChar"/>
        </w:rPr>
        <w:t xml:space="preserve">D: Dynamic/Usage Focus</w:t>
      </w:r>
      <w:r>
        <w:br/>
      </w:r>
      <w:r>
        <w:rPr>
          <w:rStyle w:val="VerbatimChar"/>
        </w:rPr>
        <w:t xml:space="preserve">+--------------------------+</w:t>
      </w:r>
      <w:r>
        <w:br/>
      </w:r>
      <w:r>
        <w:rPr>
          <w:rStyle w:val="VerbatimChar"/>
        </w:rPr>
        <w:t xml:space="preserve">| Focus on Usage-Based |</w:t>
      </w:r>
      <w:r>
        <w:br/>
      </w:r>
      <w:r>
        <w:rPr>
          <w:rStyle w:val="VerbatimChar"/>
        </w:rPr>
        <w:t xml:space="preserve">| or Dynamic Pricing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Is real-time market |</w:t>
      </w:r>
      <w:r>
        <w:br/>
      </w:r>
      <w:r>
        <w:rPr>
          <w:rStyle w:val="VerbatimChar"/>
        </w:rPr>
        <w:t xml:space="preserve">| adaptation critical? |</w:t>
      </w:r>
      <w:r>
        <w:br/>
      </w:r>
      <w:r>
        <w:rPr>
          <w:rStyle w:val="VerbatimChar"/>
        </w:rPr>
        <w:t xml:space="preserve">| (e.g., volatile demand) |</w:t>
      </w:r>
      <w:r>
        <w:br/>
      </w:r>
      <w:r>
        <w:rPr>
          <w:rStyle w:val="VerbatimChar"/>
        </w:rPr>
        <w:t xml:space="preserve">+------------+-------------+</w:t>
      </w:r>
      <w:r>
        <w:br/>
      </w:r>
      <w:r>
        <w:rPr>
          <w:rStyle w:val="VerbatimChar"/>
        </w:rPr>
        <w:t xml:space="preserve">  YES / NO</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 YES: Dynamic Pricing |</w:t>
      </w:r>
      <w:r>
        <w:br/>
      </w:r>
      <w:r>
        <w:rPr>
          <w:rStyle w:val="VerbatimChar"/>
        </w:rPr>
        <w:t xml:space="preserve">  | NO: Pure Usage-Based |</w:t>
      </w:r>
      <w:r>
        <w:br/>
      </w:r>
      <w:r>
        <w:rPr>
          <w:rStyle w:val="VerbatimChar"/>
        </w:rPr>
        <w:t xml:space="preserve">  +------------------------+</w:t>
      </w:r>
    </w:p>
    <w:p>
      <w:pPr>
        <w:pStyle w:val="FirstParagraph"/>
      </w:pPr>
      <w:r>
        <w:rPr>
          <w:i/>
        </w:rPr>
        <w:t xml:space="preserve">Note: This flowchart provides a simplified decision path for AI providers to consider different pricing models based on key characteristics of their AI service and target market. Real-world decisions often involve more complex hybridizations.</w:t>
      </w:r>
    </w:p>
    <w:p>
      <w:pPr>
        <w:pStyle w:val="Heading2"/>
      </w:pPr>
      <w:bookmarkStart w:id="76" w:name="recommendations"/>
      <w:r>
        <w:t xml:space="preserve">Recommendations</w:t>
      </w:r>
      <w:bookmarkEnd w:id="76"/>
    </w:p>
    <w:p>
      <w:pPr>
        <w:pStyle w:val="FirstParagraph"/>
      </w:pPr>
      <w:r>
        <w:t xml:space="preserve">Based on the foregoing discussion, several key recommendations can be formulated for AI developers and providers, policymakers and regulators, and the academic research community to navigate the evolving landscape of AI pricing effectively and ethically.</w:t>
      </w:r>
    </w:p>
    <w:p>
      <w:pPr>
        <w:pStyle w:val="BodyText"/>
      </w:pPr>
      <w:r>
        <w:t xml:space="preserve">For</w:t>
      </w:r>
      <w:r>
        <w:t xml:space="preserve"> </w:t>
      </w:r>
      <w:r>
        <w:rPr>
          <w:b/>
        </w:rPr>
        <w:t xml:space="preserve">AI Developers and Providers</w:t>
      </w:r>
      <w:r>
        <w:t xml:space="preserve">, the foremost recommendation is to</w:t>
      </w:r>
      <w:r>
        <w:t xml:space="preserve"> </w:t>
      </w:r>
      <w:r>
        <w:rPr>
          <w:b/>
        </w:rPr>
        <w:t xml:space="preserve">implement robust value quantification frameworks</w:t>
      </w:r>
      <w:r>
        <w:t xml:space="preserve">. Moving beyond cost-plus, companies must invest in methodologies to rigorously measure and articulate the tangible and intangible benefits their AI solutions deliver to customers (Maguire, 2021)(Lorente, 2025). This involves developing metrics that align with customer outcomes, conducting thorough ROI analyses, and providing clear, evidence-based demonstrations of value. This proactive approach not only justifies premium pricing but also fosters stronger customer relationships built on demonstrated impact. Secondly,</w:t>
      </w:r>
      <w:r>
        <w:t xml:space="preserve"> </w:t>
      </w:r>
      <w:r>
        <w:rPr>
          <w:b/>
        </w:rPr>
        <w:t xml:space="preserve">prioritize transparency in pricing and data usage</w:t>
      </w:r>
      <w:r>
        <w:t xml:space="preserve"> </w:t>
      </w:r>
      <w:r>
        <w:t xml:space="preserve">(Kaaniche &amp; Laurent, 2018)(Mirghaderi et al., 2023). Clear, unambiguous communication about how AI services are priced, what data is collected, how it is used, and what security measures are in place is paramount for building trust and mitigating ethical concerns. This includes designing user-friendly dashboards for usage tracking and clear terms of service. Thirdly,</w:t>
      </w:r>
      <w:r>
        <w:t xml:space="preserve"> </w:t>
      </w:r>
      <w:r>
        <w:rPr>
          <w:b/>
        </w:rPr>
        <w:t xml:space="preserve">invest in</w:t>
      </w:r>
      <w:r>
        <w:rPr>
          <w:b/>
        </w:rPr>
        <w:t xml:space="preserve"> </w:t>
      </w:r>
      <w:r>
        <w:rPr>
          <w:b/>
        </w:rPr>
        <w:t xml:space="preserve">‘</w:t>
      </w:r>
      <w:r>
        <w:rPr>
          <w:b/>
        </w:rPr>
        <w:t xml:space="preserve">Green AI</w:t>
      </w:r>
      <w:r>
        <w:rPr>
          <w:b/>
        </w:rPr>
        <w:t xml:space="preserve">’</w:t>
      </w:r>
      <w:r>
        <w:rPr>
          <w:b/>
        </w:rPr>
        <w:t xml:space="preserve"> </w:t>
      </w:r>
      <w:r>
        <w:rPr>
          <w:b/>
        </w:rPr>
        <w:t xml:space="preserve">to manage sustainability costs and enhance brand reputation</w:t>
      </w:r>
      <w:r>
        <w:t xml:space="preserve"> </w:t>
      </w:r>
      <w:r>
        <w:t xml:space="preserve">(Kshirsagar et al., 2021). As environmental concerns grow, optimizing AI models for energy efficiency will become a competitive differentiator and a necessary component of responsible business practices, potentially influencing pricing models and attracting environmentally conscious customers. Finally,</w:t>
      </w:r>
      <w:r>
        <w:t xml:space="preserve"> </w:t>
      </w:r>
      <w:r>
        <w:rPr>
          <w:b/>
        </w:rPr>
        <w:t xml:space="preserve">develop flexible, hybrid pricing models</w:t>
      </w:r>
      <w:r>
        <w:t xml:space="preserve"> </w:t>
      </w:r>
      <w:r>
        <w:t xml:space="preserve">that can adapt to diverse customer needs and market conditions. This involves combining usage-based, subscription, and value-based components, potentially leveraging AI-powered dynamic pricing to optimize revenue and customer satisfaction in real-time (Bhuram, 2025)(Niharika et al., 2024).</w:t>
      </w:r>
    </w:p>
    <w:p>
      <w:pPr>
        <w:pStyle w:val="BodyText"/>
      </w:pPr>
      <w:r>
        <w:t xml:space="preserve">For</w:t>
      </w:r>
      <w:r>
        <w:t xml:space="preserve"> </w:t>
      </w:r>
      <w:r>
        <w:rPr>
          <w:b/>
        </w:rPr>
        <w:t xml:space="preserve">Policymakers and Regulators</w:t>
      </w:r>
      <w:r>
        <w:t xml:space="preserve">, the primary recommendation is to</w:t>
      </w:r>
      <w:r>
        <w:t xml:space="preserve"> </w:t>
      </w:r>
      <w:r>
        <w:rPr>
          <w:b/>
        </w:rPr>
        <w:t xml:space="preserve">establish clear guidelines for ethical AI pricing to prevent abuse</w:t>
      </w:r>
      <w:r>
        <w:t xml:space="preserve"> </w:t>
      </w:r>
      <w:r>
        <w:t xml:space="preserve">(Ayata, 2020)(Mirghaderi et al., 2023). This includes defining what constitutes excessive pricing, preventing algorithmic discrimination, and ensuring fair competition in the AI market. Such guidelines should be developed in consultation with industry experts, ethicists, and consumer advocates to strike a balance between innovation and protection. Secondly,</w:t>
      </w:r>
      <w:r>
        <w:t xml:space="preserve"> </w:t>
      </w:r>
      <w:r>
        <w:rPr>
          <w:b/>
        </w:rPr>
        <w:t xml:space="preserve">promote interoperability and data portability to reduce vendor lock-in</w:t>
      </w:r>
      <w:r>
        <w:t xml:space="preserve">. By encouraging open standards and easy data migration, regulators can empower customers to switch between AI providers, fostering competition and preventing monopolistic control (Divakaruni &amp; Navarro, 2024). This can be achieved through policies that mandate API standards or data exchange protocols. Thirdly,</w:t>
      </w:r>
      <w:r>
        <w:t xml:space="preserve"> </w:t>
      </w:r>
      <w:r>
        <w:rPr>
          <w:b/>
        </w:rPr>
        <w:t xml:space="preserve">encourage responsible AI development and pricing practices through incentives and educational initiatives</w:t>
      </w:r>
      <w:r>
        <w:t xml:space="preserve">. This could include tax breaks for companies investing in ethical AI research or educational programs for businesses on best practices in AI governance and pricing transparency.</w:t>
      </w:r>
    </w:p>
    <w:p>
      <w:pPr>
        <w:pStyle w:val="BodyText"/>
      </w:pPr>
      <w:r>
        <w:t xml:space="preserve">For the</w:t>
      </w:r>
      <w:r>
        <w:t xml:space="preserve"> </w:t>
      </w:r>
      <w:r>
        <w:rPr>
          <w:b/>
        </w:rPr>
        <w:t xml:space="preserve">Academic Research Community</w:t>
      </w:r>
      <w:r>
        <w:t xml:space="preserve">, there is a pressing need for</w:t>
      </w:r>
      <w:r>
        <w:t xml:space="preserve"> </w:t>
      </w:r>
      <w:r>
        <w:rPr>
          <w:b/>
        </w:rPr>
        <w:t xml:space="preserve">further investigation into the long-term psychological impacts of AI pricing on customer behavior and loyalty</w:t>
      </w:r>
      <w:r>
        <w:t xml:space="preserve"> </w:t>
      </w:r>
      <w:r>
        <w:t xml:space="preserve">(Siddannavar et al., 2025). Understanding how pricing strategies influence user perception, trust, and willingness to engage with AI over extended periods is crucial for sustainable market growth. Secondly,</w:t>
      </w:r>
      <w:r>
        <w:t xml:space="preserve"> </w:t>
      </w:r>
      <w:r>
        <w:rPr>
          <w:b/>
        </w:rPr>
        <w:t xml:space="preserve">explore novel metrics and methodologies for value quantification in complex AI systems</w:t>
      </w:r>
      <w:r>
        <w:t xml:space="preserve">. Traditional economic models may not fully capture the nuanced value generated by AI, necessitating interdisciplinary research to develop more comprehensive valuation frameworks (Lorente, 2025). This includes assessing the value of improved decision-making, enhanced creativity, and augmented human capabilities. Finally,</w:t>
      </w:r>
      <w:r>
        <w:t xml:space="preserve"> </w:t>
      </w:r>
      <w:r>
        <w:rPr>
          <w:b/>
        </w:rPr>
        <w:t xml:space="preserve">research the economic implications of AI agents in pricing and market interactions</w:t>
      </w:r>
      <w:r>
        <w:t xml:space="preserve"> </w:t>
      </w:r>
      <w:r>
        <w:t xml:space="preserve">(Korinek, 2025). As AI systems become more autonomous, their role in shaping economic dynamics, including pricing, warrants thorough investigation to anticipate future market structures and potential regulatory challenges.</w:t>
      </w:r>
    </w:p>
    <w:p>
      <w:pPr>
        <w:pStyle w:val="Heading2"/>
      </w:pPr>
      <w:bookmarkStart w:id="77" w:name="limitations-of-the-current-analysis"/>
      <w:r>
        <w:t xml:space="preserve">Limitations of the Current Analysis</w:t>
      </w:r>
      <w:bookmarkEnd w:id="77"/>
    </w:p>
    <w:p>
      <w:pPr>
        <w:pStyle w:val="FirstParagraph"/>
      </w:pPr>
      <w:r>
        <w:t xml:space="preserve">This discussion, while comprehensive in its exploration of AI pricing dynamics, is subject to certain limitations. Primarily, the analysis is largely theoretical, drawing upon existing literature and conceptual frameworks. While the provided citations offer robust foundational evidence, the absence of specific empirical data from a large-scale, real-world AI pricing experiment limits the ability to make definitive quantitative claims about the efficacy of particular pricing models in all contexts. The focus has been primarily on high-level strategic and operational implications, rather than delving into the granular financial modeling or specific industry case studies that might be required for a deeply empirical thesis. Furthermore, the rapid pace of AI development means that some of the discussed trends and technologies are evolving quickly, and their long-term impacts are still emerging. The current analysis provides a snapshot of current understanding and projected trajectories, which may require continuous updating as the field matures. The scope also prioritizes general AI services and models, rather than highly specialized AI applications in niche industries, which might present unique pricing challenges not fully addressed here.</w:t>
      </w:r>
    </w:p>
    <w:p>
      <w:pPr>
        <w:pStyle w:val="Heading2"/>
      </w:pPr>
      <w:bookmarkStart w:id="78" w:name="conclusion-1"/>
      <w:r>
        <w:t xml:space="preserve">Conclusion</w:t>
      </w:r>
      <w:bookmarkEnd w:id="78"/>
    </w:p>
    <w:p>
      <w:pPr>
        <w:pStyle w:val="FirstParagraph"/>
      </w:pPr>
      <w:r>
        <w:t xml:space="preserve">The discourse surrounding AI pricing is complex, reflecting the transformative yet intricate nature of the technology itself. This discussion has underscored that effective AI pricing demands a strategic shift from traditional cost-centric models to value-driven, adaptive, and ethically conscious approaches. For AI companies, this means not only mastering the operational intricacies of dynamic and usage-based billing but also proactively quantifying the intangible benefits of their solutions and ensuring transparency to build enduring customer trust. Customer adoption, in turn, is profoundly influenced by perceived value, the psychological dimensions of engagement, and the critical role of transparency in mitigating concerns about privacy and bias. Looking ahead, the AI pricing landscape is poised for further evolution, characterized by hybrid models, hyper-personalization, and an increasing influence from regulatory and ethical frameworks. The emergence of AI agents as active participants in economic decision-making further hints at a future where pricing mechanisms themselves are dynamically shaped by intelligent systems. By embracing the recommendations outlined—focusing on robust value quantification, transparency, ethical integration, and adaptive strategies—stakeholders across the AI ecosystem can contribute to a more equitable, efficient, and sustainable future for artificial intelligence.</w:t>
      </w:r>
    </w:p>
    <w:p>
      <w:pPr>
        <w:pStyle w:val="Heading2"/>
      </w:pPr>
      <w:bookmarkStart w:id="79" w:name="limitations"/>
      <w:r>
        <w:t xml:space="preserve">Limitations</w:t>
      </w:r>
      <w:bookmarkEnd w:id="79"/>
    </w:p>
    <w:p>
      <w:pPr>
        <w:pStyle w:val="FirstParagraph"/>
      </w:pPr>
      <w:r>
        <w:t xml:space="preserve">While this research makes significant contributions to the understanding of AI pricing models and their implications, it is important to acknowledge several limitations that contextualize the findings and suggest areas for refinement in future studies. These limitations primarily stem from the nascent and rapidly evolving nature of the AI market, as well as the inherent complexities of multidisciplinary inquiry.</w:t>
      </w:r>
    </w:p>
    <w:p>
      <w:pPr>
        <w:pStyle w:val="Heading3"/>
      </w:pPr>
      <w:bookmarkStart w:id="80" w:name="methodological-limitations"/>
      <w:r>
        <w:t xml:space="preserve">Methodological Limitations</w:t>
      </w:r>
      <w:bookmarkEnd w:id="80"/>
    </w:p>
    <w:p>
      <w:pPr>
        <w:pStyle w:val="FirstParagraph"/>
      </w:pPr>
      <w:r>
        <w:t xml:space="preserve">The primary methodological limitation of this study lies in its reliance on a qualitative, comparative analysis of publicly available documentation and academic literature. While this approach allowed for a comprehensive synthesis of existing knowledge and the development of a robust analytical framework, it inherently restricts the depth of empirical validation. The absence of primary data collection, such as interviews with AI pricing strategists or quantitative analysis of real-world pricing data from a large sample of providers, means that some conclusions are drawn from theoretical inference and documented practices rather than direct empirical evidence. This can limit the generalizability of specific findings, particularly concerning the practical challenges and success factors in implementing complex hybrid or value-based pricing models. Furthermore, the dynamic nature of the AI market means that pricing strategies are constantly evolving, and documented practices may not always reflect the most current, nuanced approaches.</w:t>
      </w:r>
    </w:p>
    <w:p>
      <w:pPr>
        <w:pStyle w:val="Heading3"/>
      </w:pPr>
      <w:bookmarkStart w:id="81" w:name="scope-and-generalizability"/>
      <w:r>
        <w:t xml:space="preserve">Scope and Generalizability</w:t>
      </w:r>
      <w:bookmarkEnd w:id="81"/>
    </w:p>
    <w:p>
      <w:pPr>
        <w:pStyle w:val="FirstParagraph"/>
      </w:pPr>
      <w:r>
        <w:t xml:space="preserve">This research focused broadly on pricing models for agentic AI systems, encompassing generative AI and cloud AI services. While this broad scope provides a comprehensive overview, it necessarily limits the in-depth analysis of highly specialized AI applications or niche industry contexts. For instance, AI pricing in sectors like defense, highly regulated healthcare, or bespoke scientific research might involve unique contractual structures, regulatory compliance costs, and value metrics that were not exhaustively covered. Consequently, the generalizability of some recommendations to these highly specialized domains may require further adaptation. The study also prioritized prominent market players, potentially overlooking innovative pricing strategies employed by smaller startups or open-source AI initiatives that operate under different economic pressures and ethical frameworks.</w:t>
      </w:r>
    </w:p>
    <w:p>
      <w:pPr>
        <w:pStyle w:val="Heading3"/>
      </w:pPr>
      <w:bookmarkStart w:id="82" w:name="temporal-and-contextual-constraints"/>
      <w:r>
        <w:t xml:space="preserve">Temporal and Contextual Constraints</w:t>
      </w:r>
      <w:bookmarkEnd w:id="82"/>
    </w:p>
    <w:p>
      <w:pPr>
        <w:pStyle w:val="FirstParagraph"/>
      </w:pPr>
      <w:r>
        <w:t xml:space="preserve">The field of AI is characterized by unprecedented speed of innovation. New models, capabilities, and market dynamics emerge continuously, rendering any analysis inherently time-bound. This study reflects the state of AI pricing models and associated ethical/economic discourse up to its publication date. Rapid advancements in areas such as multimodal AI, federated learning, or quantum AI could introduce entirely new cost structures, value propositions, and ethical dilemmas that necessitate a continuous re-evaluation of pricing paradigms. Moreover, the global nature of AI development means that regional variations in regulatory environments, market maturity, and cultural perceptions of AI value could influence pricing strategies in ways not fully captured by a generalized analysis. The study’s primary focus on Western market trends, due to the prevalence of documented examples, may not fully reflect pricing nuances in other significant AI markets.</w:t>
      </w:r>
    </w:p>
    <w:p>
      <w:pPr>
        <w:pStyle w:val="Heading3"/>
      </w:pPr>
      <w:bookmarkStart w:id="83" w:name="theoretical-and-conceptual-limitations"/>
      <w:r>
        <w:t xml:space="preserve">Theoretical and Conceptual Limitations</w:t>
      </w:r>
      <w:bookmarkEnd w:id="83"/>
    </w:p>
    <w:p>
      <w:pPr>
        <w:pStyle w:val="FirstParagraph"/>
      </w:pPr>
      <w:r>
        <w:t xml:space="preserve">While the multi-dimensional framework developed in this study integrates economic, technological, ethical, and market considerations, it is a conceptual tool and, as such, relies on specific theoretical interpretations. The quantification of</w:t>
      </w:r>
      <w:r>
        <w:t xml:space="preserve"> </w:t>
      </w:r>
      <w:r>
        <w:t xml:space="preserve">“</w:t>
      </w:r>
      <w:r>
        <w:t xml:space="preserve">value</w:t>
      </w:r>
      <w:r>
        <w:t xml:space="preserve">”</w:t>
      </w:r>
      <w:r>
        <w:t xml:space="preserve"> </w:t>
      </w:r>
      <w:r>
        <w:t xml:space="preserve">in value-based pricing, for example, remains a significant theoretical challenge, and this study’s framework acknowledges this difficulty without fully resolving it empirically. Similarly, the integration of abstract concepts like</w:t>
      </w:r>
      <w:r>
        <w:t xml:space="preserve"> </w:t>
      </w:r>
      <w:r>
        <w:t xml:space="preserve">“</w:t>
      </w:r>
      <w:r>
        <w:t xml:space="preserve">fairness</w:t>
      </w:r>
      <w:r>
        <w:t xml:space="preserve">”</w:t>
      </w:r>
      <w:r>
        <w:t xml:space="preserve"> </w:t>
      </w:r>
      <w:r>
        <w:t xml:space="preserve">or</w:t>
      </w:r>
      <w:r>
        <w:t xml:space="preserve"> </w:t>
      </w:r>
      <w:r>
        <w:t xml:space="preserve">“</w:t>
      </w:r>
      <w:r>
        <w:t xml:space="preserve">environmental impact</w:t>
      </w:r>
      <w:r>
        <w:t xml:space="preserve">”</w:t>
      </w:r>
      <w:r>
        <w:t xml:space="preserve"> </w:t>
      </w:r>
      <w:r>
        <w:t xml:space="preserve">into concrete pricing mechanisms is still an evolving area, and the framework provides a lens for analysis rather than definitive solutions. The study also implicitly assumes a rational economic actor model for both providers and consumers, which may not always hold true in practice, particularly when psychological factors or emergent behaviors influence decision-making.</w:t>
      </w:r>
    </w:p>
    <w:p>
      <w:pPr>
        <w:pStyle w:val="BodyText"/>
      </w:pPr>
      <w:r>
        <w:t xml:space="preserve">Despite these limitations, the research provides valuable insights into the core challenges and opportunities in AI pricing, and the identified constraints offer clear directions for future investigation. The robust theoretical grounding and systematic comparative approach ensure that the findings contribute meaningfully to the ongoing discourse on AI economics and ethics.</w:t>
      </w:r>
    </w:p>
    <w:p>
      <w:pPr>
        <w:pStyle w:val="Heading2"/>
      </w:pPr>
      <w:bookmarkStart w:id="84" w:name="future-research-directions"/>
      <w:r>
        <w:t xml:space="preserve">Future Research Directions</w:t>
      </w:r>
      <w:bookmarkEnd w:id="84"/>
    </w:p>
    <w:p>
      <w:pPr>
        <w:pStyle w:val="FirstParagraph"/>
      </w:pPr>
      <w:r>
        <w:t xml:space="preserve">This research provides a comprehensive overview of current AI pricing models and their implications, yet it simultaneously opens several promising avenues for future investigation. Addressing these directions could further refine our understanding of AI monetization, overcome current limitations, and extend the theoretical and practical contributions of this work.</w:t>
      </w:r>
    </w:p>
    <w:p>
      <w:pPr>
        <w:pStyle w:val="Heading3"/>
      </w:pPr>
      <w:bookmarkStart w:id="85" w:name="Xede3eb59873ecea84b7af0d6f52f9feaae8db70"/>
      <w:r>
        <w:t xml:space="preserve">1. Empirical Validation and Large-Scale Testing of Hybrid Models</w:t>
      </w:r>
      <w:bookmarkEnd w:id="85"/>
    </w:p>
    <w:p>
      <w:pPr>
        <w:pStyle w:val="FirstParagraph"/>
      </w:pPr>
      <w:r>
        <w:t xml:space="preserve">While this study highlights the theoretical advantages of hybrid pricing models, there is a pressing need for empirical research to validate their real-world efficacy. Future studies could involve large-scale quantitative analysis of pricing data from diverse AI providers, comparing the revenue stability, customer acquisition rates, and long-term customer lifetime value (CLV) across pure and hybrid models. This would require access to proprietary data, potentially through collaborations with leading AI companies, to rigorously test the hypotheses about balancing predictability and flexibility. Research could also focus on A/B testing different hybrid configurations (e.g., various subscription tiers combined with usage allowances) to identify optimal pricing points and conversion rates.</w:t>
      </w:r>
    </w:p>
    <w:p>
      <w:pPr>
        <w:pStyle w:val="Heading3"/>
      </w:pPr>
      <w:bookmarkStart w:id="86" w:name="Xdd66476d8c0d376cf404583cd74166bf352f14f"/>
      <w:r>
        <w:t xml:space="preserve">2. Developing Standardized Metrics for AI Value Quantification</w:t>
      </w:r>
      <w:bookmarkEnd w:id="86"/>
    </w:p>
    <w:p>
      <w:pPr>
        <w:pStyle w:val="FirstParagraph"/>
      </w:pPr>
      <w:r>
        <w:t xml:space="preserve">A persistent challenge in value-based pricing for AI is the difficulty in objectively quantifying its heterogeneous value. Future research should focus on developing standardized, interdisciplinary metrics and methodologies for measuring the tangible and intangible value generated by AI across diverse applications. This could involve creating industry-specific ROI calculators, impact assessment frameworks for societal benefits (e.g., improved public health outcomes from AI in medicine), or robust methods for attributing value in complex, multi-factor business environments. Collaborations between economists, data scientists, and domain experts will be crucial to operationalize these metrics and move beyond subjective perceptions of value.</w:t>
      </w:r>
    </w:p>
    <w:p>
      <w:pPr>
        <w:pStyle w:val="Heading3"/>
      </w:pPr>
      <w:bookmarkStart w:id="87" w:name="X7356b87f5e130ee3a4c0e914eecf88814b6d4ed"/>
      <w:r>
        <w:t xml:space="preserve">3. Ethical AI Pricing Mechanisms and Regulatory Impact Assessment</w:t>
      </w:r>
      <w:bookmarkEnd w:id="87"/>
    </w:p>
    <w:p>
      <w:pPr>
        <w:pStyle w:val="FirstParagraph"/>
      </w:pPr>
      <w:r>
        <w:t xml:space="preserve">The ethical implications of AI pricing, particularly concerning fairness, transparency, and accessibility, require deeper investigation. Future research should explore the design and implementation of</w:t>
      </w:r>
      <w:r>
        <w:t xml:space="preserve"> </w:t>
      </w:r>
      <w:r>
        <w:t xml:space="preserve">“</w:t>
      </w:r>
      <w:r>
        <w:t xml:space="preserve">ethically embedded</w:t>
      </w:r>
      <w:r>
        <w:t xml:space="preserve">”</w:t>
      </w:r>
      <w:r>
        <w:t xml:space="preserve"> </w:t>
      </w:r>
      <w:r>
        <w:t xml:space="preserve">pricing mechanisms that actively mitigate bias and promote equitable access. This could involve developing audit frameworks for dynamic pricing algorithms to detect and prevent discriminatory practices or designing pricing tiers specifically for non-profits, educational institutions, or developing regions. Furthermore, empirical studies are needed to assess the actual impact of emerging AI regulations on pricing strategies, market competition, and consumer trust, providing evidence-based insights for policymakers.</w:t>
      </w:r>
    </w:p>
    <w:p>
      <w:pPr>
        <w:pStyle w:val="Heading3"/>
      </w:pPr>
      <w:bookmarkStart w:id="88" w:name="Xa5f5fdd17b6e183af5fd2500524baf9525668e7"/>
      <w:r>
        <w:t xml:space="preserve">4. The Role of AI Agents in Pricing Optimization and Market Interaction</w:t>
      </w:r>
      <w:bookmarkEnd w:id="88"/>
    </w:p>
    <w:p>
      <w:pPr>
        <w:pStyle w:val="FirstParagraph"/>
      </w:pPr>
      <w:r>
        <w:t xml:space="preserve">The concept of AI agents for economic research and market interaction opens a fascinating, albeit complex, avenue for future study. Research could explore how autonomous AI agents, equipped with advanced predictive analytics and game theory, might dynamically optimize pricing strategies in real-time within competitive markets. This includes investigating the potential for AI-driven algorithmic collusion, market manipulation, or, conversely, enhanced market efficiency and consumer surplus. Such studies would require sophisticated simulations and controlled experiments to model the behavior of interacting AI pricing agents and their economic consequences.</w:t>
      </w:r>
    </w:p>
    <w:p>
      <w:pPr>
        <w:pStyle w:val="Heading3"/>
      </w:pPr>
      <w:bookmarkStart w:id="89" w:name="X4136ead28f69fceffefe484beb0fbda96d928e0"/>
      <w:r>
        <w:t xml:space="preserve">5. Long-Term Psychological and Societal Impacts of AI Pricing</w:t>
      </w:r>
      <w:bookmarkEnd w:id="89"/>
    </w:p>
    <w:p>
      <w:pPr>
        <w:pStyle w:val="FirstParagraph"/>
      </w:pPr>
      <w:r>
        <w:t xml:space="preserve">Beyond immediate economic outcomes, future research should delve into the long-term psychological and societal impacts of AI pricing models on user behavior, trust, and adoption. This includes longitudinal studies on how perceived fairness of pricing affects customer loyalty and willingness to engage with AI, and how the</w:t>
      </w:r>
      <w:r>
        <w:t xml:space="preserve"> </w:t>
      </w:r>
      <w:r>
        <w:t xml:space="preserve">“</w:t>
      </w:r>
      <w:r>
        <w:t xml:space="preserve">black box</w:t>
      </w:r>
      <w:r>
        <w:t xml:space="preserve">”</w:t>
      </w:r>
      <w:r>
        <w:t xml:space="preserve"> </w:t>
      </w:r>
      <w:r>
        <w:t xml:space="preserve">nature of token or dynamic pricing influences user anxiety and decision-making. Research could also examine the broader societal implications of tiered access to advanced AI, such as its impact on digital divides, innovation ecosystems, and human-AI collaboration dynamics over decades.</w:t>
      </w:r>
    </w:p>
    <w:p>
      <w:pPr>
        <w:pStyle w:val="Heading3"/>
      </w:pPr>
      <w:bookmarkStart w:id="90" w:name="X5ef57a8b1f22fa433e0ddd1e133d90655716932"/>
      <w:r>
        <w:t xml:space="preserve">6. Green AI Pricing: Integration of Environmental Costs</w:t>
      </w:r>
      <w:bookmarkEnd w:id="90"/>
    </w:p>
    <w:p>
      <w:pPr>
        <w:pStyle w:val="FirstParagraph"/>
      </w:pPr>
      <w:r>
        <w:t xml:space="preserve">The environmental footprint of AI is a growing concern. Future research should focus on developing robust methodologies for quantifying the carbon footprint and energy consumption of AI models throughout their lifecycle (training, inference, deployment). This would then inform the design of</w:t>
      </w:r>
      <w:r>
        <w:t xml:space="preserve"> </w:t>
      </w:r>
      <w:r>
        <w:t xml:space="preserve">“</w:t>
      </w:r>
      <w:r>
        <w:t xml:space="preserve">Green AI</w:t>
      </w:r>
      <w:r>
        <w:t xml:space="preserve">”</w:t>
      </w:r>
      <w:r>
        <w:t xml:space="preserve"> </w:t>
      </w:r>
      <w:r>
        <w:t xml:space="preserve">pricing models that transparently integrate these environmental costs, incentivizing the development and adoption of energy-efficient AI. Studies could explore consumer willingness to pay a</w:t>
      </w:r>
      <w:r>
        <w:t xml:space="preserve"> </w:t>
      </w:r>
      <w:r>
        <w:t xml:space="preserve">“</w:t>
      </w:r>
      <w:r>
        <w:t xml:space="preserve">green premium</w:t>
      </w:r>
      <w:r>
        <w:t xml:space="preserve">”</w:t>
      </w:r>
      <w:r>
        <w:t xml:space="preserve"> </w:t>
      </w:r>
      <w:r>
        <w:t xml:space="preserve">for AI services and the effectiveness of such pricing in driving sustainable AI practices.</w:t>
      </w:r>
    </w:p>
    <w:p>
      <w:pPr>
        <w:pStyle w:val="Heading3"/>
      </w:pPr>
      <w:bookmarkStart w:id="91" w:name="Xa5a8be79f74b1d689cad06fef47a536df8aa118"/>
      <w:r>
        <w:t xml:space="preserve">7. Pricing Strategies for Multimodal and Embodied AI</w:t>
      </w:r>
      <w:bookmarkEnd w:id="91"/>
    </w:p>
    <w:p>
      <w:pPr>
        <w:pStyle w:val="FirstParagraph"/>
      </w:pPr>
      <w:r>
        <w:t xml:space="preserve">As AI evolves towards multimodal capabilities (processing text, images, audio, etc.) and embodied forms (robotics, autonomous agents), existing pricing models may become insufficient. Future research should anticipate and design pricing strategies for these emerging AI paradigms. This could involve developing composite pricing metrics that account for multimodal data processing complexity, real-world physical interactions, and the inherent risks associated with embodied AI. Understanding how to value the</w:t>
      </w:r>
      <w:r>
        <w:t xml:space="preserve"> </w:t>
      </w:r>
      <w:r>
        <w:t xml:space="preserve">“</w:t>
      </w:r>
      <w:r>
        <w:t xml:space="preserve">agency</w:t>
      </w:r>
      <w:r>
        <w:t xml:space="preserve">”</w:t>
      </w:r>
      <w:r>
        <w:t xml:space="preserve"> </w:t>
      </w:r>
      <w:r>
        <w:t xml:space="preserve">and</w:t>
      </w:r>
      <w:r>
        <w:t xml:space="preserve"> </w:t>
      </w:r>
      <w:r>
        <w:t xml:space="preserve">“</w:t>
      </w:r>
      <w:r>
        <w:t xml:space="preserve">autonomy</w:t>
      </w:r>
      <w:r>
        <w:t xml:space="preserve">”</w:t>
      </w:r>
      <w:r>
        <w:t xml:space="preserve"> </w:t>
      </w:r>
      <w:r>
        <w:t xml:space="preserve">of such advanced systems will be critical.</w:t>
      </w:r>
    </w:p>
    <w:p>
      <w:pPr>
        <w:pStyle w:val="BodyText"/>
      </w:pPr>
      <w:r>
        <w:t xml:space="preserve">These research directions collectively point toward a richer, more nuanced understanding of AI pricing and its implications for theory, practice, and policy, ensuring that the economic development of AI aligns with broader societal goals.</w:t>
      </w:r>
    </w:p>
    <w:p>
      <w:pPr>
        <w:pStyle w:val="Heading2"/>
      </w:pPr>
      <w:bookmarkStart w:id="92" w:name="conclusion-2"/>
      <w:r>
        <w:t xml:space="preserve">Conclusion</w:t>
      </w:r>
      <w:bookmarkEnd w:id="92"/>
    </w:p>
    <w:p>
      <w:pPr>
        <w:pStyle w:val="FirstParagraph"/>
      </w:pPr>
      <w:r>
        <w:t xml:space="preserve">The advent and pervasive integration of artificial intelligence (AI) across virtually every sector of human endeavor represent a paradigm shift comparable to the industrial revolution or the dawn of the internet (Korinek, 2025). This transformative technology, characterized by its capacity for complex problem-solving, data synthesis, and autonomous decision-making, promises unprecedented efficiencies, innovation, and economic growth. However, this profound impact also introduces a novel set of economic and ethical challenges, particularly concerning the valuation and pricing of AI services and products. The central objective of this paper has been to dissect the intricate landscape of AI pricing, moving beyond simplistic cost-plus models to explore the multifaceted dimensions of value creation, capture, ethical implications, and the nascent regulatory frameworks that seek to govern this rapidly evolving domain. This comprehensive analysis has underscored that effective AI pricing is not merely an an economic exercise but a complex interplay of technological capabilities, market dynamics, strategic considerations, and deeply embedded societal values.</w:t>
      </w:r>
    </w:p>
    <w:p>
      <w:pPr>
        <w:pStyle w:val="BodyText"/>
      </w:pPr>
      <w:r>
        <w:t xml:space="preserve">The preceding chapters have elucidated the inherent complexities in establishing fair and sustainable pricing for AI technologies, a challenge exacerbated by their intangible nature, rapid iterative development, and often opaque operational mechanisms. Unlike traditional goods and services, the value of AI frequently manifests in indirect benefits, such as enhanced decision-making, predictive accuracy, or automation, which are difficult to quantify ex ante. We began by examining various theoretical and practical approaches to AI pricing, ranging from traditional cost-based and value-based models to more contemporary strategies like dynamic pricing, freemium models, and subscription tiers. While cost-plus pricing, exemplified by systems like GREE-COCO (Kshirsagar et al., 2021) for green AI initiatives, provides a foundational baseline by considering development and operational expenditures, it often fails to capture the true economic and societal value generated by AI. Value-based selling (Maguire, 2021), conversely, attempts to align pricing with the perceived benefits to the customer, yet this approach faces obstacles in accurately assessing and communicating the often-subjective value of AI’s contributions (Lorente, 2025).</w:t>
      </w:r>
    </w:p>
    <w:p>
      <w:pPr>
        <w:pStyle w:val="BodyText"/>
      </w:pPr>
      <w:r>
        <w:t xml:space="preserve">Dynamic pricing models, increasingly prevalent in digital services (Bhuram, 2025)(Niharika et al., 2024), offer flexibility by adjusting prices based on real-time demand, market conditions, or even individual user profiles. While these models can optimize revenue and market efficiency, they simultaneously raise significant ethical concerns regarding fairness, transparency, and potential discriminatory practices (Mirghaderi et al., 2023). The discussion also extended to subscription-based models, such as those seen in Azure AI Language Service pricing tiers (Satapathi, 2025), and freemium strategies (Seufert, 2014), which aim to balance accessibility with monetization by offering basic services for free and premium features for a fee. Each model presents unique opportunities and challenges, highlighting that the optimal pricing strategy for AI is highly context-dependent, influenced by the specific AI application, target market, competitive landscape, and the broader ethical considerations (Ladas et al., 2019). The impact of human-like competencies on user perception and willingness to pay further complicates this landscape, as psychological factors play a significant role in customer lifetime value and adoption (Fang &amp; Zhou, 2025)(Siddannavar et al., 2025).</w:t>
      </w:r>
    </w:p>
    <w:p>
      <w:pPr>
        <w:pStyle w:val="BodyText"/>
      </w:pPr>
      <w:r>
        <w:t xml:space="preserve">A central theme throughout this paper has been the intricate relationship between AI pricing and ethical considerations. The pervasive use of algorithms in dynamic pricing, for instance, can lead to price discrimination, where different users are charged varying amounts for the same service based on their data profiles, raising questions of equity and justice (Ayata, 2020). The lack of transparency in AI models, often referred to as the</w:t>
      </w:r>
      <w:r>
        <w:t xml:space="preserve"> </w:t>
      </w:r>
      <w:r>
        <w:t xml:space="preserve">“</w:t>
      </w:r>
      <w:r>
        <w:t xml:space="preserve">black box</w:t>
      </w:r>
      <w:r>
        <w:t xml:space="preserve">”</w:t>
      </w:r>
      <w:r>
        <w:t xml:space="preserve"> </w:t>
      </w:r>
      <w:r>
        <w:t xml:space="preserve">problem, exacerbates these concerns, making it difficult for consumers to understand how prices are determined or to challenge unfair practices (Mirghaderi et al., 2023). Furthermore, the data-intensive nature of AI necessitates rigorous attention to data privacy and security, with blockchain-based solutions like BDUA (Kaaniche &amp; Laurent, 2018) emerging as potential mechanisms for ensuring data usage auditing and transparency. The environmental impact of AI, particularly the energy consumption of large models, also introduces an ethical dimension, advocating for pricing models that internalize these external costs, as explored by green AI initiatives (Kshirsagar et al., 2021). This analysis revealed that ethical considerations are not peripheral to AI pricing but are fundamental to its long-term sustainability and societal acceptance.</w:t>
      </w:r>
    </w:p>
    <w:p>
      <w:pPr>
        <w:pStyle w:val="BodyText"/>
      </w:pPr>
      <w:r>
        <w:t xml:space="preserve">The regulatory landscape, still in its nascent stages, reflects the global struggle to keep pace with rapid AI advancements. Governments and international bodies are grappling with how to foster innovation while mitigating risks associated with AI, including those related to pricing. Emerging regulations often focus on data governance, algorithmic transparency, and consumer protection, aiming to curb anti-competitive practices and prevent market abuses (Ayata, 2020). However, the theoretical framework presented herein suggests that effective regulation must move beyond reactive measures to proactively shape an environment where AI pricing aligns with public good and ethical norms. This includes promoting fair competition, ensuring data sovereignty, and potentially mandating greater transparency in pricing algorithms. The challenge lies in crafting regulations that are flexible enough to accommodate technological evolution while robust enough to protect societal interests.</w:t>
      </w:r>
    </w:p>
    <w:p>
      <w:pPr>
        <w:pStyle w:val="BodyText"/>
      </w:pPr>
      <w:r>
        <w:t xml:space="preserve">In terms of its contributions, this paper offers a comprehensive synthesis of economic theories, ethical frameworks, and emerging regulatory considerations pertinent to AI pricing. By integrating these diverse perspectives, it provides a more holistic understanding of the challenges and opportunities in this critical domain, moving beyond siloed disciplinary approaches. Specifically, this research contributes to the academic discourse by: (1) systematically categorizing and critically evaluating various AI pricing models, highlighting their strengths, weaknesses, and ethical implications; (2) developing an integrated framework that underscores the interdependence of technological capabilities, market dynamics, ethical principles, and regulatory oversight in shaping AI valuation; and (3) offering practical insights for AI developers, policymakers, and ethicists to navigate the complexities of AI pricing, fostering strategies that are not only economically viable but also ethically sound and socially responsible. The emphasis on value creation and capture, particularly through the lens of a triple helix model (Lorente, 2025), further enriches the understanding of how AI generates and distributes benefits across stakeholders.</w:t>
      </w:r>
    </w:p>
    <w:p>
      <w:pPr>
        <w:pStyle w:val="BodyText"/>
      </w:pPr>
      <w:r>
        <w:t xml:space="preserve">Despite these contributions, this study acknowledges certain limitations. The theoretical nature of this analysis means that while it provides a robust conceptual framework, it relies on existing literature and current understandings of AI, which is a field characterized by rapid and unpredictable advancements. The conclusions drawn are therefore subject to the evolving technological landscape and future empirical evidence. Furthermore, the broad scope of AI applications means that specific industry-level nuances in pricing and ethical considerations could not be exhaustively covered. The generalizability of some insights may vary depending on the specific AI product or service and its target market (Divakaruni &amp; Navarro, 2024).</w:t>
      </w:r>
    </w:p>
    <w:p>
      <w:pPr>
        <w:pStyle w:val="BodyText"/>
      </w:pPr>
      <w:r>
        <w:t xml:space="preserve">Looking ahead, the field of AI pricing offers a rich array of avenues for future research. Empirical studies are urgently needed to validate the theoretical models proposed and to assess the real-world impact of different AI pricing strategies across diverse industries and geographical contexts. Such studies could investigate the effectiveness of dynamic pricing in specific AI-driven markets, the long-term consumer acceptance of freemium models for AI services, or the actual economic benefits derived from value-based pricing initiatives (Divakaruni &amp; Navarro, 2024). Research could also delve deeper into the psychological factors affecting customer lifetime value and willingness to pay for AI products, further building on current understanding (Siddannavar et al., 2025)(Fang &amp; Zhou, 2025).</w:t>
      </w:r>
    </w:p>
    <w:p>
      <w:pPr>
        <w:pStyle w:val="BodyText"/>
      </w:pPr>
      <w:r>
        <w:t xml:space="preserve">Furthermore, future research should explore the development of novel AI pricing models that intrinsically incorporate ethical considerations and sustainability metrics. This could involve designing pricing algorithms that dynamically adjust based on real-time ethical auditing outcomes or carbon footprint metrics, moving beyond the GREE-COCO (Kshirsagar et al., 2021) model to a broader integration of environmental and social governance (ESG) factors. The role of blockchain technology in enhancing transparency and accountability in AI pricing mechanisms, particularly concerning data usage and algorithmic fairness (Kaaniche &amp; Laurent, 2018), warrants further investigation. Research into the implications of large multimodal agents (Barbere et al., 2024)(Trad &amp; Chehab, 2024) on pricing strategies, especially concerning their ability to analyze complex market signals and consumer behavior, will also be crucial. Finally, as AI becomes increasingly autonomous and agentic (Korinek, 2025), the economic implications of AI agents interacting in markets and the ethical considerations of their pricing decisions will become paramount, requiring interdisciplinary approaches that blend economics, ethics, computer science, and law. Addressing these research gaps will be essential for fostering an AI ecosystem that is not only economically prosperous but also ethically sound, equitable, and sustainable for future generations.</w:t>
      </w:r>
    </w:p>
    <w:p>
      <w:r>
        <w:pict>
          <v:rect style="width:0;height:1.5pt" o:hralign="center" o:hrstd="t" o:hr="t"/>
        </w:pict>
      </w:r>
    </w:p>
    <w:p>
      <w:pPr>
        <w:pStyle w:val="Heading2"/>
      </w:pPr>
      <w:bookmarkStart w:id="93" w:name="Xbfe661222ce1146fedb85d12fa7af623a6d67fb"/>
      <w:r>
        <w:t xml:space="preserve">Appendix A: Framework for AI Value Assessment</w:t>
      </w:r>
      <w:bookmarkEnd w:id="93"/>
    </w:p>
    <w:p>
      <w:pPr>
        <w:pStyle w:val="FirstParagraph"/>
      </w:pPr>
      <w:r>
        <w:t xml:space="preserve">The transition from traditional software pricing to value-based models for Artificial Intelligence (AI) necessitates a robust framework for systematically assessing the multi-faceted value that AI solutions deliver. This framework extends the discussion on value-based pricing by providing a structured methodology for identifying, quantifying, and communicating the economic, strategic, and societal benefits of AI. It moves beyond mere cost recovery to focus on the impact AI creates for customers and society, offering a guide for both AI providers and adopters.</w:t>
      </w:r>
    </w:p>
    <w:p>
      <w:pPr>
        <w:pStyle w:val="Heading3"/>
      </w:pPr>
      <w:bookmarkStart w:id="94" w:name="a.1-core-dimensions-of-ai-value"/>
      <w:r>
        <w:t xml:space="preserve">A.1 Core Dimensions of AI Value</w:t>
      </w:r>
      <w:bookmarkEnd w:id="94"/>
    </w:p>
    <w:p>
      <w:pPr>
        <w:pStyle w:val="FirstParagraph"/>
      </w:pPr>
      <w:r>
        <w:t xml:space="preserve">AI generates value across several interconnected dimensions, which must be comprehensively evaluated:</w:t>
      </w:r>
    </w:p>
    <w:p>
      <w:pPr>
        <w:pStyle w:val="Heading4"/>
      </w:pPr>
      <w:bookmarkStart w:id="95" w:name="a.1.1-economic-value-tangible-roi"/>
      <w:r>
        <w:t xml:space="preserve">A.1.1 Economic Value (Tangible ROI)</w:t>
      </w:r>
      <w:bookmarkEnd w:id="95"/>
    </w:p>
    <w:p>
      <w:pPr>
        <w:pStyle w:val="FirstParagraph"/>
      </w:pPr>
      <w:r>
        <w:t xml:space="preserve">This dimension focuses on quantifiable financial benefits.</w:t>
      </w:r>
      <w:r>
        <w:t xml:space="preserve"> </w:t>
      </w:r>
      <w:r>
        <w:t xml:space="preserve">*</w:t>
      </w:r>
      <w:r>
        <w:t xml:space="preserve"> </w:t>
      </w:r>
      <w:r>
        <w:rPr>
          <w:b/>
        </w:rPr>
        <w:t xml:space="preserve">Cost Reduction:</w:t>
      </w:r>
      <w:r>
        <w:t xml:space="preserve"> </w:t>
      </w:r>
      <w:r>
        <w:t xml:space="preserve">Direct savings from automation (e.g., reduced labor costs, optimized resource allocation, energy efficiency in</w:t>
      </w:r>
      <w:r>
        <w:t xml:space="preserve"> </w:t>
      </w:r>
      <w:r>
        <w:t xml:space="preserve">“</w:t>
      </w:r>
      <w:r>
        <w:t xml:space="preserve">Green AI</w:t>
      </w:r>
      <w:r>
        <w:t xml:space="preserve">”</w:t>
      </w:r>
      <w:r>
        <w:t xml:space="preserve"> </w:t>
      </w:r>
      <w:r>
        <w:t xml:space="preserve">initiatives (Kshirsagar et al., 2021)).</w:t>
      </w:r>
      <w:r>
        <w:t xml:space="preserve"> </w:t>
      </w:r>
      <w:r>
        <w:t xml:space="preserve">*</w:t>
      </w:r>
      <w:r>
        <w:t xml:space="preserve"> </w:t>
      </w:r>
      <w:r>
        <w:rPr>
          <w:b/>
        </w:rPr>
        <w:t xml:space="preserve">Revenue Enhancement:</w:t>
      </w:r>
      <w:r>
        <w:t xml:space="preserve"> </w:t>
      </w:r>
      <w:r>
        <w:t xml:space="preserve">Increased sales, new product/service offerings enabled by AI, improved market penetration, personalized upselling/cross-selling.</w:t>
      </w:r>
      <w:r>
        <w:t xml:space="preserve"> </w:t>
      </w:r>
      <w:r>
        <w:t xml:space="preserve">*</w:t>
      </w:r>
      <w:r>
        <w:t xml:space="preserve"> </w:t>
      </w:r>
      <w:r>
        <w:rPr>
          <w:b/>
        </w:rPr>
        <w:t xml:space="preserve">Efficiency Gains:</w:t>
      </w:r>
      <w:r>
        <w:t xml:space="preserve"> </w:t>
      </w:r>
      <w:r>
        <w:t xml:space="preserve">Faster processing times, reduced error rates, optimized workflows, improved resource utilization.</w:t>
      </w:r>
      <w:r>
        <w:t xml:space="preserve"> </w:t>
      </w:r>
      <w:r>
        <w:t xml:space="preserve">*</w:t>
      </w:r>
      <w:r>
        <w:t xml:space="preserve"> </w:t>
      </w:r>
      <w:r>
        <w:rPr>
          <w:b/>
        </w:rPr>
        <w:t xml:space="preserve">Risk Mitigation:</w:t>
      </w:r>
      <w:r>
        <w:t xml:space="preserve"> </w:t>
      </w:r>
      <w:r>
        <w:t xml:space="preserve">Financial savings from preventing fraud (e.g., AI-powered fraud detection), cybersecurity breaches (Trad &amp; Chehab, 2024), or equipment failures (predictive maintenance).</w:t>
      </w:r>
      <w:r>
        <w:t xml:space="preserve"> </w:t>
      </w:r>
      <w:r>
        <w:t xml:space="preserve">*</w:t>
      </w:r>
      <w:r>
        <w:t xml:space="preserve"> </w:t>
      </w:r>
      <w:r>
        <w:rPr>
          <w:b/>
        </w:rPr>
        <w:t xml:space="preserve">Decision Optimization:</w:t>
      </w:r>
      <w:r>
        <w:t xml:space="preserve"> </w:t>
      </w:r>
      <w:r>
        <w:t xml:space="preserve">Improved financial forecasting (Niharika et al., 2024), supply chain optimization, and strategic planning leading to better resource allocation and higher returns.</w:t>
      </w:r>
    </w:p>
    <w:p>
      <w:pPr>
        <w:pStyle w:val="Heading4"/>
      </w:pPr>
      <w:bookmarkStart w:id="96" w:name="Xd7d299548f064ef27d1bcf22607a12a18c4e50d"/>
      <w:r>
        <w:t xml:space="preserve">A.1.2 Strategic Value (Competitive Advantage)</w:t>
      </w:r>
      <w:bookmarkEnd w:id="96"/>
    </w:p>
    <w:p>
      <w:pPr>
        <w:pStyle w:val="FirstParagraph"/>
      </w:pPr>
      <w:r>
        <w:t xml:space="preserve">This dimension captures the non-financial, long-term benefits that enhance an organization’s competitive position.</w:t>
      </w:r>
      <w:r>
        <w:t xml:space="preserve"> </w:t>
      </w:r>
      <w:r>
        <w:t xml:space="preserve">*</w:t>
      </w:r>
      <w:r>
        <w:t xml:space="preserve"> </w:t>
      </w:r>
      <w:r>
        <w:rPr>
          <w:b/>
        </w:rPr>
        <w:t xml:space="preserve">Innovation Catalyst:</w:t>
      </w:r>
      <w:r>
        <w:t xml:space="preserve"> </w:t>
      </w:r>
      <w:r>
        <w:t xml:space="preserve">AI enabling the development of entirely new products, services, or business models that disrupt markets.</w:t>
      </w:r>
      <w:r>
        <w:t xml:space="preserve"> </w:t>
      </w:r>
      <w:r>
        <w:t xml:space="preserve">*</w:t>
      </w:r>
      <w:r>
        <w:t xml:space="preserve"> </w:t>
      </w:r>
      <w:r>
        <w:rPr>
          <w:b/>
        </w:rPr>
        <w:t xml:space="preserve">Market Differentiation:</w:t>
      </w:r>
      <w:r>
        <w:t xml:space="preserve"> </w:t>
      </w:r>
      <w:r>
        <w:t xml:space="preserve">Unique capabilities or insights provided by AI that set a company apart from competitors (Divakaruni &amp; Navarro, 2024).</w:t>
      </w:r>
      <w:r>
        <w:t xml:space="preserve"> </w:t>
      </w:r>
      <w:r>
        <w:t xml:space="preserve">*</w:t>
      </w:r>
      <w:r>
        <w:t xml:space="preserve"> </w:t>
      </w:r>
      <w:r>
        <w:rPr>
          <w:b/>
        </w:rPr>
        <w:t xml:space="preserve">Enhanced Customer Experience:</w:t>
      </w:r>
      <w:r>
        <w:t xml:space="preserve"> </w:t>
      </w:r>
      <w:r>
        <w:t xml:space="preserve">Personalized interactions, improved customer service, and proactive solutions that build brand loyalty and satisfaction (Siddannavar et al., 2025).</w:t>
      </w:r>
      <w:r>
        <w:t xml:space="preserve"> </w:t>
      </w:r>
      <w:r>
        <w:t xml:space="preserve">*</w:t>
      </w:r>
      <w:r>
        <w:t xml:space="preserve"> </w:t>
      </w:r>
      <w:r>
        <w:rPr>
          <w:b/>
        </w:rPr>
        <w:t xml:space="preserve">Data-Driven Insights:</w:t>
      </w:r>
      <w:r>
        <w:t xml:space="preserve"> </w:t>
      </w:r>
      <w:r>
        <w:t xml:space="preserve">Unlocking hidden patterns and intelligence from vast datasets, leading to superior strategic planning and operational agility.</w:t>
      </w:r>
      <w:r>
        <w:t xml:space="preserve"> </w:t>
      </w:r>
      <w:r>
        <w:t xml:space="preserve">*</w:t>
      </w:r>
      <w:r>
        <w:t xml:space="preserve"> </w:t>
      </w:r>
      <w:r>
        <w:rPr>
          <w:b/>
        </w:rPr>
        <w:t xml:space="preserve">Talent Attraction &amp; Retention:</w:t>
      </w:r>
      <w:r>
        <w:t xml:space="preserve"> </w:t>
      </w:r>
      <w:r>
        <w:t xml:space="preserve">AI tools that empower employees, automate mundane tasks, and create a more innovative work environment.</w:t>
      </w:r>
    </w:p>
    <w:p>
      <w:pPr>
        <w:pStyle w:val="Heading4"/>
      </w:pPr>
      <w:bookmarkStart w:id="97" w:name="X7ce10dd870ca0b46d2da779e6a04edc464eb0ed"/>
      <w:r>
        <w:t xml:space="preserve">A.1.3 Societal and Ethical Value (Impact &amp; Trust)</w:t>
      </w:r>
      <w:bookmarkEnd w:id="97"/>
    </w:p>
    <w:p>
      <w:pPr>
        <w:pStyle w:val="FirstParagraph"/>
      </w:pPr>
      <w:r>
        <w:t xml:space="preserve">This dimension addresses the broader benefits and responsible implications of AI deployment.</w:t>
      </w:r>
      <w:r>
        <w:t xml:space="preserve"> </w:t>
      </w:r>
      <w:r>
        <w:t xml:space="preserve">*</w:t>
      </w:r>
      <w:r>
        <w:t xml:space="preserve"> </w:t>
      </w:r>
      <w:r>
        <w:rPr>
          <w:b/>
        </w:rPr>
        <w:t xml:space="preserve">Environmental Sustainability:</w:t>
      </w:r>
      <w:r>
        <w:t xml:space="preserve"> </w:t>
      </w:r>
      <w:r>
        <w:t xml:space="preserve">Reduced carbon footprint from optimized operations, energy-efficient AI models, and contributions to sustainable development goals (Kshirsagar et al., 2021).</w:t>
      </w:r>
      <w:r>
        <w:t xml:space="preserve"> </w:t>
      </w:r>
      <w:r>
        <w:t xml:space="preserve">*</w:t>
      </w:r>
      <w:r>
        <w:t xml:space="preserve"> </w:t>
      </w:r>
      <w:r>
        <w:rPr>
          <w:b/>
        </w:rPr>
        <w:t xml:space="preserve">Social Equity &amp; Accessibility:</w:t>
      </w:r>
      <w:r>
        <w:t xml:space="preserve"> </w:t>
      </w:r>
      <w:r>
        <w:t xml:space="preserve">AI solutions that promote fairness, reduce bias, or increase access to essential services (e.g., education, healthcare) for underserved populations.</w:t>
      </w:r>
      <w:r>
        <w:t xml:space="preserve"> </w:t>
      </w:r>
      <w:r>
        <w:t xml:space="preserve">*</w:t>
      </w:r>
      <w:r>
        <w:t xml:space="preserve"> </w:t>
      </w:r>
      <w:r>
        <w:rPr>
          <w:b/>
        </w:rPr>
        <w:t xml:space="preserve">Transparency &amp; Accountability:</w:t>
      </w:r>
      <w:r>
        <w:t xml:space="preserve"> </w:t>
      </w:r>
      <w:r>
        <w:t xml:space="preserve">AI systems designed with explainability and audibility, fostering trust and compliance (Mirghaderi et al., 2023)(Kaaniche &amp; Laurent, 2018).</w:t>
      </w:r>
      <w:r>
        <w:t xml:space="preserve"> </w:t>
      </w:r>
      <w:r>
        <w:t xml:space="preserve">*</w:t>
      </w:r>
      <w:r>
        <w:t xml:space="preserve"> </w:t>
      </w:r>
      <w:r>
        <w:rPr>
          <w:b/>
        </w:rPr>
        <w:t xml:space="preserve">Public Safety:</w:t>
      </w:r>
      <w:r>
        <w:t xml:space="preserve"> </w:t>
      </w:r>
      <w:r>
        <w:t xml:space="preserve">AI applications contributing to safer environments, disaster prediction, or emergency response.</w:t>
      </w:r>
      <w:r>
        <w:t xml:space="preserve"> </w:t>
      </w:r>
      <w:r>
        <w:t xml:space="preserve">*</w:t>
      </w:r>
      <w:r>
        <w:t xml:space="preserve"> </w:t>
      </w:r>
      <w:r>
        <w:rPr>
          <w:b/>
        </w:rPr>
        <w:t xml:space="preserve">Knowledge Advancement:</w:t>
      </w:r>
      <w:r>
        <w:t xml:space="preserve"> </w:t>
      </w:r>
      <w:r>
        <w:t xml:space="preserve">AI accelerating scientific discovery, research, and public understanding of complex phenomena (Korinek, 2025).</w:t>
      </w:r>
    </w:p>
    <w:p>
      <w:pPr>
        <w:pStyle w:val="Heading3"/>
      </w:pPr>
      <w:bookmarkStart w:id="98" w:name="a.2-value-assessment-methodology"/>
      <w:r>
        <w:t xml:space="preserve">A.2 Value Assessment Methodology</w:t>
      </w:r>
      <w:bookmarkEnd w:id="98"/>
    </w:p>
    <w:p>
      <w:pPr>
        <w:pStyle w:val="FirstParagraph"/>
      </w:pPr>
      <w:r>
        <w:t xml:space="preserve">A systematic methodology is essential for translating these dimensions into actionable insights for pricing.</w:t>
      </w:r>
    </w:p>
    <w:p>
      <w:pPr>
        <w:pStyle w:val="Heading4"/>
      </w:pPr>
      <w:bookmarkStart w:id="99" w:name="X031eaf8eb38db5cc46aea1f11163d2463aa7805"/>
      <w:r>
        <w:t xml:space="preserve">A.2.1 Step 1: Define Customer Segments and Use Cases</w:t>
      </w:r>
      <w:bookmarkEnd w:id="99"/>
    </w:p>
    <w:p>
      <w:pPr>
        <w:pStyle w:val="FirstParagraph"/>
      </w:pPr>
      <w:r>
        <w:t xml:space="preserve">Identify target customer groups (e.g., small businesses, large enterprises, government agencies) and the specific problems AI is solving for each. Different segments will prioritize different types of value.</w:t>
      </w:r>
    </w:p>
    <w:p>
      <w:pPr>
        <w:pStyle w:val="Heading4"/>
      </w:pPr>
      <w:bookmarkStart w:id="100" w:name="X12738639d52adefbaf88978363d8992578e0301"/>
      <w:r>
        <w:t xml:space="preserve">A.2.2 Step 2: Quantify Baseline and AI-Enabled Improvements</w:t>
      </w:r>
      <w:bookmarkEnd w:id="100"/>
    </w:p>
    <w:p>
      <w:pPr>
        <w:pStyle w:val="FirstParagraph"/>
      </w:pPr>
      <w:r>
        <w:t xml:space="preserve">For each identified use case, establish clear baseline metrics (e.g., current costs, error rates, time-to-market). Then, project or measure the quantifiable improvements directly attributable to the AI solution. This often involves pilot programs, A/B testing, or historical data analysis.</w:t>
      </w:r>
    </w:p>
    <w:p>
      <w:pPr>
        <w:pStyle w:val="Heading4"/>
      </w:pPr>
      <w:bookmarkStart w:id="101" w:name="a.2.3-step-3-map-value-to-pricing-levers"/>
      <w:r>
        <w:t xml:space="preserve">A.2.3 Step 3: Map Value to Pricing Levers</w:t>
      </w:r>
      <w:bookmarkEnd w:id="101"/>
    </w:p>
    <w:p>
      <w:pPr>
        <w:pStyle w:val="FirstParagraph"/>
      </w:pPr>
      <w:r>
        <w:t xml:space="preserve">Connect the quantified value to specific pricing levers. For instance, if an AI reduces fraud by $1 million annually, a value-based component could be a percentage of these savings. If it speeds up a process by 50%, a subscription tier could reflect this efficiency gain.</w:t>
      </w:r>
    </w:p>
    <w:p>
      <w:pPr>
        <w:pStyle w:val="Heading4"/>
      </w:pPr>
      <w:bookmarkStart w:id="102" w:name="Xac6726e8c8d9f191f6923455240c995aed71771"/>
      <w:r>
        <w:t xml:space="preserve">A.2.4 Step 4: Communicate Value Proposition Clearly</w:t>
      </w:r>
      <w:bookmarkEnd w:id="102"/>
    </w:p>
    <w:p>
      <w:pPr>
        <w:pStyle w:val="FirstParagraph"/>
      </w:pPr>
      <w:r>
        <w:t xml:space="preserve">Articulate the AI’s value proposition in the customer’s language, focusing on outcomes and benefits rather than just features. Use case studies, ROI calculators, and performance guarantees to demonstrate impact.</w:t>
      </w:r>
    </w:p>
    <w:p>
      <w:pPr>
        <w:pStyle w:val="Heading4"/>
      </w:pPr>
      <w:bookmarkStart w:id="103" w:name="X014f06416a544651e6674f712eaa01212e309d2"/>
      <w:r>
        <w:t xml:space="preserve">A.2.5 Step 5: Iterative Evaluation and Adjustment</w:t>
      </w:r>
      <w:bookmarkEnd w:id="103"/>
    </w:p>
    <w:p>
      <w:pPr>
        <w:pStyle w:val="FirstParagraph"/>
      </w:pPr>
      <w:r>
        <w:t xml:space="preserve">Value perception and market conditions change. Continuously monitor the AI’s performance, gather customer feedback, and re-evaluate the value proposition and pricing strategy. This iterative process allows for dynamic adjustment and optimization (Niharika et al., 2024).</w:t>
      </w:r>
    </w:p>
    <w:p>
      <w:pPr>
        <w:pStyle w:val="Heading3"/>
      </w:pPr>
      <w:bookmarkStart w:id="104" w:name="a.3-challenges-in-value-assessment"/>
      <w:r>
        <w:t xml:space="preserve">A.3 Challenges in Value Assessment</w:t>
      </w:r>
      <w:bookmarkEnd w:id="104"/>
    </w:p>
    <w:p>
      <w:pPr>
        <w:numPr>
          <w:ilvl w:val="0"/>
          <w:numId w:val="1001"/>
        </w:numPr>
        <w:pStyle w:val="Compact"/>
      </w:pPr>
      <w:r>
        <w:rPr>
          <w:b/>
        </w:rPr>
        <w:t xml:space="preserve">Attribution Problem:</w:t>
      </w:r>
      <w:r>
        <w:t xml:space="preserve"> </w:t>
      </w:r>
      <w:r>
        <w:t xml:space="preserve">Isolating the AI’s precise contribution to complex outcomes, especially when multiple factors are involved.</w:t>
      </w:r>
    </w:p>
    <w:p>
      <w:pPr>
        <w:numPr>
          <w:ilvl w:val="0"/>
          <w:numId w:val="1001"/>
        </w:numPr>
        <w:pStyle w:val="Compact"/>
      </w:pPr>
      <w:r>
        <w:rPr>
          <w:b/>
        </w:rPr>
        <w:t xml:space="preserve">Intangible Benefits:</w:t>
      </w:r>
      <w:r>
        <w:t xml:space="preserve"> </w:t>
      </w:r>
      <w:r>
        <w:t xml:space="preserve">Quantifying benefits like improved brand reputation, enhanced employee morale, or increased innovation capacity.</w:t>
      </w:r>
    </w:p>
    <w:p>
      <w:pPr>
        <w:numPr>
          <w:ilvl w:val="0"/>
          <w:numId w:val="1001"/>
        </w:numPr>
        <w:pStyle w:val="Compact"/>
      </w:pPr>
      <w:r>
        <w:rPr>
          <w:b/>
        </w:rPr>
        <w:t xml:space="preserve">Data Access &amp; Privacy:</w:t>
      </w:r>
      <w:r>
        <w:t xml:space="preserve"> </w:t>
      </w:r>
      <w:r>
        <w:t xml:space="preserve">Obtaining necessary customer data to perform accurate value assessments while respecting privacy concerns (Kaaniche &amp; Laurent, 2018).</w:t>
      </w:r>
    </w:p>
    <w:p>
      <w:pPr>
        <w:numPr>
          <w:ilvl w:val="0"/>
          <w:numId w:val="1001"/>
        </w:numPr>
        <w:pStyle w:val="Compact"/>
      </w:pPr>
      <w:r>
        <w:rPr>
          <w:b/>
        </w:rPr>
        <w:t xml:space="preserve">Evolving Value:</w:t>
      </w:r>
      <w:r>
        <w:t xml:space="preserve"> </w:t>
      </w:r>
      <w:r>
        <w:t xml:space="preserve">The value of AI can change as models improve, new data is acquired, or market conditions shift.</w:t>
      </w:r>
    </w:p>
    <w:p>
      <w:pPr>
        <w:numPr>
          <w:ilvl w:val="0"/>
          <w:numId w:val="1001"/>
        </w:numPr>
        <w:pStyle w:val="Compact"/>
      </w:pPr>
      <w:r>
        <w:rPr>
          <w:b/>
        </w:rPr>
        <w:t xml:space="preserve">Customer Willingness to Share:</w:t>
      </w:r>
      <w:r>
        <w:t xml:space="preserve"> </w:t>
      </w:r>
      <w:r>
        <w:t xml:space="preserve">Customers may be reluctant to share proprietary financial or operational data required for a thorough value assessment.</w:t>
      </w:r>
    </w:p>
    <w:p>
      <w:pPr>
        <w:pStyle w:val="FirstParagraph"/>
      </w:pPr>
      <w:r>
        <w:t xml:space="preserve">By systematically applying this framework, AI providers can move towards more sophisticated, transparent, and equitable pricing models that truly reflect the transformative power of their solutions.</w:t>
      </w:r>
    </w:p>
    <w:p>
      <w:r>
        <w:pict>
          <v:rect style="width:0;height:1.5pt" o:hralign="center" o:hrstd="t" o:hr="t"/>
        </w:pict>
      </w:r>
    </w:p>
    <w:p>
      <w:pPr>
        <w:pStyle w:val="Heading2"/>
      </w:pPr>
      <w:bookmarkStart w:id="105" w:name="X5aa28c355b8b5fe63c15f847fbb9c69aa5e5598"/>
      <w:r>
        <w:t xml:space="preserve">Appendix C: Detailed Case Study Data and Projections</w:t>
      </w:r>
      <w:bookmarkEnd w:id="105"/>
    </w:p>
    <w:p>
      <w:pPr>
        <w:pStyle w:val="FirstParagraph"/>
      </w:pPr>
      <w:r>
        <w:t xml:space="preserve">This appendix provides detailed quantitative data and projections for various AI services, illustrating the practical application and cost implications of token-based and usage-based pricing models. These tables expand on the case studies discussed in the main analysis, offering a more granular view of how costs accrue under different scenarios and usage patterns for prominent AI providers. The projections are hypothetical and designed to demonstrate principles rather than represent exact current pricing, which is subject to change.</w:t>
      </w:r>
    </w:p>
    <w:p>
      <w:pPr>
        <w:pStyle w:val="Heading3"/>
      </w:pPr>
      <w:bookmarkStart w:id="106" w:name="Xa01ea65ee47925408ec702f44841d0c568d4b7b"/>
      <w:r>
        <w:t xml:space="preserve">C.1 Generative AI: OpenAI GPT-4 API Usage Scenarios</w:t>
      </w:r>
      <w:bookmarkEnd w:id="106"/>
    </w:p>
    <w:p>
      <w:pPr>
        <w:pStyle w:val="FirstParagraph"/>
      </w:pPr>
      <w:r>
        <w:t xml:space="preserve">This section presents projected costs for using OpenAI’s GPT-4 API (a high-capability model) across different common use cases, demonstrating the impact of input/output token differentiation and context window size.</w:t>
      </w:r>
    </w:p>
    <w:p>
      <w:pPr>
        <w:pStyle w:val="BodyText"/>
      </w:pPr>
      <w:r>
        <w:rPr>
          <w:b/>
        </w:rPr>
        <w:t xml:space="preserve">Table C.1: OpenAI GPT-4 API Cost Projections for Example Scenarios</w:t>
      </w:r>
    </w:p>
    <w:tbl>
      <w:tblPr>
        <w:tblStyle w:val="Table"/>
        <w:tblW w:type="pct" w:w="5000.0"/>
        <w:tblLook w:firstRow="1"/>
      </w:tblPr>
      <w:tblGrid>
        <w:gridCol w:w="1211"/>
        <w:gridCol w:w="1164"/>
        <w:gridCol w:w="1211"/>
        <w:gridCol w:w="792"/>
        <w:gridCol w:w="1164"/>
        <w:gridCol w:w="1211"/>
        <w:gridCol w:w="1164"/>
      </w:tblGrid>
      <w:tr>
        <w:trPr>
          <w:cnfStyle w:firstRow="1"/>
        </w:trPr>
        <w:tc>
          <w:tcPr>
            <w:tcBorders>
              <w:bottom w:val="single"/>
            </w:tcBorders>
            <w:vAlign w:val="bottom"/>
          </w:tcPr>
          <w:p>
            <w:pPr>
              <w:pStyle w:val="Compact"/>
              <w:jc w:val="left"/>
            </w:pPr>
            <w:r>
              <w:t xml:space="preserve">Scenario</w:t>
            </w:r>
          </w:p>
        </w:tc>
        <w:tc>
          <w:tcPr>
            <w:tcBorders>
              <w:bottom w:val="single"/>
            </w:tcBorders>
            <w:vAlign w:val="bottom"/>
          </w:tcPr>
          <w:p>
            <w:pPr>
              <w:pStyle w:val="Compact"/>
              <w:jc w:val="left"/>
            </w:pPr>
            <w:r>
              <w:t xml:space="preserve">Input Tokens (per call)</w:t>
            </w:r>
          </w:p>
        </w:tc>
        <w:tc>
          <w:tcPr>
            <w:tcBorders>
              <w:bottom w:val="single"/>
            </w:tcBorders>
            <w:vAlign w:val="bottom"/>
          </w:tcPr>
          <w:p>
            <w:pPr>
              <w:pStyle w:val="Compact"/>
              <w:jc w:val="left"/>
            </w:pPr>
            <w:r>
              <w:t xml:space="preserve">Output Tokens (per call)</w:t>
            </w:r>
          </w:p>
        </w:tc>
        <w:tc>
          <w:tcPr>
            <w:tcBorders>
              <w:bottom w:val="single"/>
            </w:tcBorders>
            <w:vAlign w:val="bottom"/>
          </w:tcPr>
          <w:p>
            <w:pPr>
              <w:pStyle w:val="Compact"/>
              <w:jc w:val="left"/>
            </w:pPr>
            <w:r>
              <w:t xml:space="preserve">Calls per Month</w:t>
            </w:r>
          </w:p>
        </w:tc>
        <w:tc>
          <w:tcPr>
            <w:tcBorders>
              <w:bottom w:val="single"/>
            </w:tcBorders>
            <w:vAlign w:val="bottom"/>
          </w:tcPr>
          <w:p>
            <w:pPr>
              <w:pStyle w:val="Compact"/>
              <w:jc w:val="left"/>
            </w:pPr>
            <w:r>
              <w:t xml:space="preserve">Est. Monthly Input Cost</w:t>
            </w:r>
          </w:p>
        </w:tc>
        <w:tc>
          <w:tcPr>
            <w:tcBorders>
              <w:bottom w:val="single"/>
            </w:tcBorders>
            <w:vAlign w:val="bottom"/>
          </w:tcPr>
          <w:p>
            <w:pPr>
              <w:pStyle w:val="Compact"/>
              <w:jc w:val="left"/>
            </w:pPr>
            <w:r>
              <w:t xml:space="preserve">Est. Monthly Output Cost</w:t>
            </w:r>
          </w:p>
        </w:tc>
        <w:tc>
          <w:tcPr>
            <w:tcBorders>
              <w:bottom w:val="single"/>
            </w:tcBorders>
            <w:vAlign w:val="bottom"/>
          </w:tcPr>
          <w:p>
            <w:pPr>
              <w:pStyle w:val="Compact"/>
              <w:jc w:val="left"/>
            </w:pPr>
            <w:r>
              <w:t xml:space="preserve">Total Est. Monthly Cost</w:t>
            </w:r>
          </w:p>
        </w:tc>
      </w:tr>
      <w:tr>
        <w:tc>
          <w:p>
            <w:pPr>
              <w:pStyle w:val="Compact"/>
              <w:jc w:val="left"/>
            </w:pPr>
            <w:r>
              <w:rPr>
                <w:b/>
              </w:rPr>
              <w:t xml:space="preserve">Chatbot (Basic)</w:t>
            </w:r>
          </w:p>
        </w:tc>
        <w:tc>
          <w:p>
            <w:pPr>
              <w:pStyle w:val="Compact"/>
              <w:jc w:val="left"/>
            </w:pPr>
            <w:r>
              <w:t xml:space="preserve">150</w:t>
            </w:r>
          </w:p>
        </w:tc>
        <w:tc>
          <w:p>
            <w:pPr>
              <w:pStyle w:val="Compact"/>
              <w:jc w:val="left"/>
            </w:pPr>
            <w:r>
              <w:t xml:space="preserve">50</w:t>
            </w:r>
          </w:p>
        </w:tc>
        <w:tc>
          <w:p>
            <w:pPr>
              <w:pStyle w:val="Compact"/>
              <w:jc w:val="left"/>
            </w:pPr>
            <w:r>
              <w:t xml:space="preserve">100,000</w:t>
            </w:r>
          </w:p>
        </w:tc>
        <w:tc>
          <w:p>
            <w:pPr>
              <w:pStyle w:val="Compact"/>
              <w:jc w:val="left"/>
            </w:pPr>
            <w:r>
              <w:t xml:space="preserve">$45.00</w:t>
            </w:r>
          </w:p>
        </w:tc>
        <w:tc>
          <w:p>
            <w:pPr>
              <w:pStyle w:val="Compact"/>
              <w:jc w:val="left"/>
            </w:pPr>
            <w:r>
              <w:t xml:space="preserve">$15.00</w:t>
            </w:r>
          </w:p>
        </w:tc>
        <w:tc>
          <w:p>
            <w:pPr>
              <w:pStyle w:val="Compact"/>
              <w:jc w:val="left"/>
            </w:pPr>
            <w:r>
              <w:t xml:space="preserve">$60.00</w:t>
            </w:r>
          </w:p>
        </w:tc>
      </w:tr>
      <w:tr>
        <w:tc>
          <w:p>
            <w:pPr>
              <w:pStyle w:val="Compact"/>
              <w:jc w:val="left"/>
            </w:pPr>
            <w:r>
              <w:rPr>
                <w:b/>
              </w:rPr>
              <w:t xml:space="preserve">Content Generation</w:t>
            </w:r>
          </w:p>
        </w:tc>
        <w:tc>
          <w:p>
            <w:pPr>
              <w:pStyle w:val="Compact"/>
              <w:jc w:val="left"/>
            </w:pPr>
            <w:r>
              <w:t xml:space="preserve">500</w:t>
            </w:r>
          </w:p>
        </w:tc>
        <w:tc>
          <w:p>
            <w:pPr>
              <w:pStyle w:val="Compact"/>
              <w:jc w:val="left"/>
            </w:pPr>
            <w:r>
              <w:t xml:space="preserve">1,500</w:t>
            </w:r>
          </w:p>
        </w:tc>
        <w:tc>
          <w:p>
            <w:pPr>
              <w:pStyle w:val="Compact"/>
              <w:jc w:val="left"/>
            </w:pPr>
            <w:r>
              <w:t xml:space="preserve">5,000</w:t>
            </w:r>
          </w:p>
        </w:tc>
        <w:tc>
          <w:p>
            <w:pPr>
              <w:pStyle w:val="Compact"/>
              <w:jc w:val="left"/>
            </w:pPr>
            <w:r>
              <w:t xml:space="preserve">$7.50</w:t>
            </w:r>
          </w:p>
        </w:tc>
        <w:tc>
          <w:p>
            <w:pPr>
              <w:pStyle w:val="Compact"/>
              <w:jc w:val="left"/>
            </w:pPr>
            <w:r>
              <w:t xml:space="preserve">$22.50</w:t>
            </w:r>
          </w:p>
        </w:tc>
        <w:tc>
          <w:p>
            <w:pPr>
              <w:pStyle w:val="Compact"/>
              <w:jc w:val="left"/>
            </w:pPr>
            <w:r>
              <w:t xml:space="preserve">$30.00</w:t>
            </w:r>
          </w:p>
        </w:tc>
      </w:tr>
      <w:tr>
        <w:tc>
          <w:p>
            <w:pPr>
              <w:pStyle w:val="Compact"/>
              <w:jc w:val="left"/>
            </w:pPr>
            <w:r>
              <w:rPr>
                <w:b/>
              </w:rPr>
              <w:t xml:space="preserve">Document Summarization</w:t>
            </w:r>
          </w:p>
        </w:tc>
        <w:tc>
          <w:p>
            <w:pPr>
              <w:pStyle w:val="Compact"/>
              <w:jc w:val="left"/>
            </w:pPr>
            <w:r>
              <w:t xml:space="preserve">8,000</w:t>
            </w:r>
          </w:p>
        </w:tc>
        <w:tc>
          <w:p>
            <w:pPr>
              <w:pStyle w:val="Compact"/>
              <w:jc w:val="left"/>
            </w:pPr>
            <w:r>
              <w:t xml:space="preserve">500</w:t>
            </w:r>
          </w:p>
        </w:tc>
        <w:tc>
          <w:p>
            <w:pPr>
              <w:pStyle w:val="Compact"/>
              <w:jc w:val="left"/>
            </w:pPr>
            <w:r>
              <w:t xml:space="preserve">1,000</w:t>
            </w:r>
          </w:p>
        </w:tc>
        <w:tc>
          <w:p>
            <w:pPr>
              <w:pStyle w:val="Compact"/>
              <w:jc w:val="left"/>
            </w:pPr>
            <w:r>
              <w:t xml:space="preserve">$120.00</w:t>
            </w:r>
          </w:p>
        </w:tc>
        <w:tc>
          <w:p>
            <w:pPr>
              <w:pStyle w:val="Compact"/>
              <w:jc w:val="left"/>
            </w:pPr>
            <w:r>
              <w:t xml:space="preserve">$7.50</w:t>
            </w:r>
          </w:p>
        </w:tc>
        <w:tc>
          <w:p>
            <w:pPr>
              <w:pStyle w:val="Compact"/>
              <w:jc w:val="left"/>
            </w:pPr>
            <w:r>
              <w:t xml:space="preserve">$127.50</w:t>
            </w:r>
          </w:p>
        </w:tc>
      </w:tr>
      <w:tr>
        <w:tc>
          <w:p>
            <w:pPr>
              <w:pStyle w:val="Compact"/>
              <w:jc w:val="left"/>
            </w:pPr>
            <w:r>
              <w:rPr>
                <w:b/>
              </w:rPr>
              <w:t xml:space="preserve">Code Generation</w:t>
            </w:r>
          </w:p>
        </w:tc>
        <w:tc>
          <w:p>
            <w:pPr>
              <w:pStyle w:val="Compact"/>
              <w:jc w:val="left"/>
            </w:pPr>
            <w:r>
              <w:t xml:space="preserve">1,000</w:t>
            </w:r>
          </w:p>
        </w:tc>
        <w:tc>
          <w:p>
            <w:pPr>
              <w:pStyle w:val="Compact"/>
              <w:jc w:val="left"/>
            </w:pPr>
            <w:r>
              <w:t xml:space="preserve">300</w:t>
            </w:r>
          </w:p>
        </w:tc>
        <w:tc>
          <w:p>
            <w:pPr>
              <w:pStyle w:val="Compact"/>
              <w:jc w:val="left"/>
            </w:pPr>
            <w:r>
              <w:t xml:space="preserve">10,000</w:t>
            </w:r>
          </w:p>
        </w:tc>
        <w:tc>
          <w:p>
            <w:pPr>
              <w:pStyle w:val="Compact"/>
              <w:jc w:val="left"/>
            </w:pPr>
            <w:r>
              <w:t xml:space="preserve">$15.00</w:t>
            </w:r>
          </w:p>
        </w:tc>
        <w:tc>
          <w:p>
            <w:pPr>
              <w:pStyle w:val="Compact"/>
              <w:jc w:val="left"/>
            </w:pPr>
            <w:r>
              <w:t xml:space="preserve">$4.50</w:t>
            </w:r>
          </w:p>
        </w:tc>
        <w:tc>
          <w:p>
            <w:pPr>
              <w:pStyle w:val="Compact"/>
              <w:jc w:val="left"/>
            </w:pPr>
            <w:r>
              <w:t xml:space="preserve">$19.50</w:t>
            </w:r>
          </w:p>
        </w:tc>
      </w:tr>
      <w:tr>
        <w:tc>
          <w:p>
            <w:pPr>
              <w:pStyle w:val="Compact"/>
              <w:jc w:val="left"/>
            </w:pPr>
            <w:r>
              <w:rPr>
                <w:b/>
              </w:rPr>
              <w:t xml:space="preserve">Advanced Research (Large Context)</w:t>
            </w:r>
          </w:p>
        </w:tc>
        <w:tc>
          <w:p>
            <w:pPr>
              <w:pStyle w:val="Compact"/>
              <w:jc w:val="left"/>
            </w:pPr>
            <w:r>
              <w:t xml:space="preserve">20,000</w:t>
            </w:r>
          </w:p>
        </w:tc>
        <w:tc>
          <w:p>
            <w:pPr>
              <w:pStyle w:val="Compact"/>
              <w:jc w:val="left"/>
            </w:pPr>
            <w:r>
              <w:t xml:space="preserve">1,000</w:t>
            </w:r>
          </w:p>
        </w:tc>
        <w:tc>
          <w:p>
            <w:pPr>
              <w:pStyle w:val="Compact"/>
              <w:jc w:val="left"/>
            </w:pPr>
            <w:r>
              <w:t xml:space="preserve">500</w:t>
            </w:r>
          </w:p>
        </w:tc>
        <w:tc>
          <w:p>
            <w:pPr>
              <w:pStyle w:val="Compact"/>
              <w:jc w:val="left"/>
            </w:pPr>
            <w:r>
              <w:t xml:space="preserve">$150.00</w:t>
            </w:r>
          </w:p>
        </w:tc>
        <w:tc>
          <w:p>
            <w:pPr>
              <w:pStyle w:val="Compact"/>
              <w:jc w:val="left"/>
            </w:pPr>
            <w:r>
              <w:t xml:space="preserve">$7.50</w:t>
            </w:r>
          </w:p>
        </w:tc>
        <w:tc>
          <w:p>
            <w:pPr>
              <w:pStyle w:val="Compact"/>
              <w:jc w:val="left"/>
            </w:pPr>
            <w:r>
              <w:t xml:space="preserve">$157.50</w:t>
            </w:r>
          </w:p>
        </w:tc>
      </w:tr>
      <w:tr>
        <w:tc>
          <w:p>
            <w:pPr>
              <w:pStyle w:val="Compact"/>
              <w:jc w:val="left"/>
            </w:pPr>
            <w:r>
              <w:rPr>
                <w:b/>
              </w:rPr>
              <w:t xml:space="preserve">High-Volume Data Extraction</w:t>
            </w:r>
          </w:p>
        </w:tc>
        <w:tc>
          <w:p>
            <w:pPr>
              <w:pStyle w:val="Compact"/>
              <w:jc w:val="left"/>
            </w:pPr>
            <w:r>
              <w:t xml:space="preserve">300</w:t>
            </w:r>
          </w:p>
        </w:tc>
        <w:tc>
          <w:p>
            <w:pPr>
              <w:pStyle w:val="Compact"/>
              <w:jc w:val="left"/>
            </w:pPr>
            <w:r>
              <w:t xml:space="preserve">100</w:t>
            </w:r>
          </w:p>
        </w:tc>
        <w:tc>
          <w:p>
            <w:pPr>
              <w:pStyle w:val="Compact"/>
              <w:jc w:val="left"/>
            </w:pPr>
            <w:r>
              <w:t xml:space="preserve">500,000</w:t>
            </w:r>
          </w:p>
        </w:tc>
        <w:tc>
          <w:p>
            <w:pPr>
              <w:pStyle w:val="Compact"/>
              <w:jc w:val="left"/>
            </w:pPr>
            <w:r>
              <w:t xml:space="preserve">$450.00</w:t>
            </w:r>
          </w:p>
        </w:tc>
        <w:tc>
          <w:p>
            <w:pPr>
              <w:pStyle w:val="Compact"/>
              <w:jc w:val="left"/>
            </w:pPr>
            <w:r>
              <w:t xml:space="preserve">$150.00</w:t>
            </w:r>
          </w:p>
        </w:tc>
        <w:tc>
          <w:p>
            <w:pPr>
              <w:pStyle w:val="Compact"/>
              <w:jc w:val="left"/>
            </w:pPr>
            <w:r>
              <w:t xml:space="preserve">$600.00</w:t>
            </w:r>
          </w:p>
        </w:tc>
      </w:tr>
    </w:tbl>
    <w:p>
      <w:pPr>
        <w:pStyle w:val="BodyText"/>
      </w:pPr>
      <w:r>
        <w:rPr>
          <w:i/>
        </w:rPr>
        <w:t xml:space="preserve">Note: Assumed GPT-4 pricing: $30.00/1M input tokens, $60.00/1M output tokens. Costs are illustrative and actual pricing may vary. This table highlights how high call volumes or large context windows significantly impact total cost, even with relatively low per-token rates.</w:t>
      </w:r>
    </w:p>
    <w:p>
      <w:pPr>
        <w:pStyle w:val="Heading3"/>
      </w:pPr>
      <w:bookmarkStart w:id="107" w:name="Xc72ab9e2653f5f97a3d9e80c162fdaf46f186eb"/>
      <w:r>
        <w:t xml:space="preserve">C.2 Cloud AI Services: Azure AI Language (Text Analytics)</w:t>
      </w:r>
      <w:bookmarkEnd w:id="107"/>
    </w:p>
    <w:p>
      <w:pPr>
        <w:pStyle w:val="FirstParagraph"/>
      </w:pPr>
      <w:r>
        <w:t xml:space="preserve">This section details usage-based pricing for specific Azure AI Language services, demonstrating how different functionalities are metered and priced.</w:t>
      </w:r>
    </w:p>
    <w:p>
      <w:pPr>
        <w:pStyle w:val="BodyText"/>
      </w:pPr>
      <w:r>
        <w:rPr>
          <w:b/>
        </w:rPr>
        <w:t xml:space="preserve">Table C.2: Azure AI Language Service Cost Breakdown (Per 1,000 Text Records)</w:t>
      </w:r>
    </w:p>
    <w:tbl>
      <w:tblPr>
        <w:tblStyle w:val="Table"/>
        <w:tblW w:type="pct" w:w="5000.0"/>
        <w:tblLook w:firstRow="1"/>
      </w:tblPr>
      <w:tblGrid>
        <w:gridCol w:w="1225"/>
        <w:gridCol w:w="1272"/>
        <w:gridCol w:w="1461"/>
        <w:gridCol w:w="1461"/>
        <w:gridCol w:w="1602"/>
        <w:gridCol w:w="895"/>
      </w:tblGrid>
      <w:tr>
        <w:trPr>
          <w:cnfStyle w:firstRow="1"/>
        </w:trPr>
        <w:tc>
          <w:tcPr>
            <w:tcBorders>
              <w:bottom w:val="single"/>
            </w:tcBorders>
            <w:vAlign w:val="bottom"/>
          </w:tcPr>
          <w:p>
            <w:pPr>
              <w:pStyle w:val="Compact"/>
              <w:jc w:val="left"/>
            </w:pPr>
            <w:r>
              <w:t xml:space="preserve">Service Functionality</w:t>
            </w:r>
          </w:p>
        </w:tc>
        <w:tc>
          <w:tcPr>
            <w:tcBorders>
              <w:bottom w:val="single"/>
            </w:tcBorders>
            <w:vAlign w:val="bottom"/>
          </w:tcPr>
          <w:p>
            <w:pPr>
              <w:pStyle w:val="Compact"/>
              <w:jc w:val="left"/>
            </w:pPr>
            <w:r>
              <w:t xml:space="preserve">Free Tier (Records/Month)</w:t>
            </w:r>
          </w:p>
        </w:tc>
        <w:tc>
          <w:tcPr>
            <w:tcBorders>
              <w:bottom w:val="single"/>
            </w:tcBorders>
            <w:vAlign w:val="bottom"/>
          </w:tcPr>
          <w:p>
            <w:pPr>
              <w:pStyle w:val="Compact"/>
              <w:jc w:val="left"/>
            </w:pPr>
            <w:r>
              <w:t xml:space="preserve">Tier 1 Price (per 1k records)</w:t>
            </w:r>
          </w:p>
        </w:tc>
        <w:tc>
          <w:tcPr>
            <w:tcBorders>
              <w:bottom w:val="single"/>
            </w:tcBorders>
            <w:vAlign w:val="bottom"/>
          </w:tcPr>
          <w:p>
            <w:pPr>
              <w:pStyle w:val="Compact"/>
              <w:jc w:val="left"/>
            </w:pPr>
            <w:r>
              <w:t xml:space="preserve">Tier 2 Price (per 1k records)</w:t>
            </w:r>
          </w:p>
        </w:tc>
        <w:tc>
          <w:tcPr>
            <w:tcBorders>
              <w:bottom w:val="single"/>
            </w:tcBorders>
            <w:vAlign w:val="bottom"/>
          </w:tcPr>
          <w:p>
            <w:pPr>
              <w:pStyle w:val="Compact"/>
              <w:jc w:val="left"/>
            </w:pPr>
            <w:r>
              <w:t xml:space="preserve">Example Usage (1M records/month)</w:t>
            </w:r>
          </w:p>
        </w:tc>
        <w:tc>
          <w:tcPr>
            <w:tcBorders>
              <w:bottom w:val="single"/>
            </w:tcBorders>
            <w:vAlign w:val="bottom"/>
          </w:tcPr>
          <w:p>
            <w:pPr>
              <w:pStyle w:val="Compact"/>
              <w:jc w:val="left"/>
            </w:pPr>
            <w:r>
              <w:t xml:space="preserve">Est. Monthly Cost</w:t>
            </w:r>
          </w:p>
        </w:tc>
      </w:tr>
      <w:tr>
        <w:tc>
          <w:p>
            <w:pPr>
              <w:pStyle w:val="Compact"/>
              <w:jc w:val="left"/>
            </w:pPr>
            <w:r>
              <w:rPr>
                <w:b/>
              </w:rPr>
              <w:t xml:space="preserve">Sentiment Analysis</w:t>
            </w:r>
          </w:p>
        </w:tc>
        <w:tc>
          <w:p>
            <w:pPr>
              <w:pStyle w:val="Compact"/>
              <w:jc w:val="left"/>
            </w:pPr>
            <w:r>
              <w:t xml:space="preserve">5,000</w:t>
            </w:r>
          </w:p>
        </w:tc>
        <w:tc>
          <w:p>
            <w:pPr>
              <w:pStyle w:val="Compact"/>
              <w:jc w:val="left"/>
            </w:pPr>
            <w:r>
              <w:t xml:space="preserve">$1.00</w:t>
            </w:r>
          </w:p>
        </w:tc>
        <w:tc>
          <w:p>
            <w:pPr>
              <w:pStyle w:val="Compact"/>
              <w:jc w:val="left"/>
            </w:pPr>
            <w:r>
              <w:t xml:space="preserve">$0.50 (after 2.5M)</w:t>
            </w:r>
          </w:p>
        </w:tc>
        <w:tc>
          <w:p>
            <w:pPr>
              <w:pStyle w:val="Compact"/>
              <w:jc w:val="left"/>
            </w:pPr>
            <w:r>
              <w:t xml:space="preserve">1M records</w:t>
            </w:r>
          </w:p>
        </w:tc>
        <w:tc>
          <w:p>
            <w:pPr>
              <w:pStyle w:val="Compact"/>
              <w:jc w:val="left"/>
            </w:pPr>
            <w:r>
              <w:t xml:space="preserve">$995.00</w:t>
            </w:r>
          </w:p>
        </w:tc>
      </w:tr>
      <w:tr>
        <w:tc>
          <w:p>
            <w:pPr>
              <w:pStyle w:val="Compact"/>
              <w:jc w:val="left"/>
            </w:pPr>
            <w:r>
              <w:rPr>
                <w:b/>
              </w:rPr>
              <w:t xml:space="preserve">Key Phrase Extraction</w:t>
            </w:r>
          </w:p>
        </w:tc>
        <w:tc>
          <w:p>
            <w:pPr>
              <w:pStyle w:val="Compact"/>
              <w:jc w:val="left"/>
            </w:pPr>
            <w:r>
              <w:t xml:space="preserve">5,000</w:t>
            </w:r>
          </w:p>
        </w:tc>
        <w:tc>
          <w:p>
            <w:pPr>
              <w:pStyle w:val="Compact"/>
              <w:jc w:val="left"/>
            </w:pPr>
            <w:r>
              <w:t xml:space="preserve">$1.00</w:t>
            </w:r>
          </w:p>
        </w:tc>
        <w:tc>
          <w:p>
            <w:pPr>
              <w:pStyle w:val="Compact"/>
              <w:jc w:val="left"/>
            </w:pPr>
            <w:r>
              <w:t xml:space="preserve">$0.50 (after 2.5M)</w:t>
            </w:r>
          </w:p>
        </w:tc>
        <w:tc>
          <w:p>
            <w:pPr>
              <w:pStyle w:val="Compact"/>
              <w:jc w:val="left"/>
            </w:pPr>
            <w:r>
              <w:t xml:space="preserve">1M records</w:t>
            </w:r>
          </w:p>
        </w:tc>
        <w:tc>
          <w:p>
            <w:pPr>
              <w:pStyle w:val="Compact"/>
              <w:jc w:val="left"/>
            </w:pPr>
            <w:r>
              <w:t xml:space="preserve">$995.00</w:t>
            </w:r>
          </w:p>
        </w:tc>
      </w:tr>
      <w:tr>
        <w:tc>
          <w:p>
            <w:pPr>
              <w:pStyle w:val="Compact"/>
              <w:jc w:val="left"/>
            </w:pPr>
            <w:r>
              <w:rPr>
                <w:b/>
              </w:rPr>
              <w:t xml:space="preserve">Language Detection</w:t>
            </w:r>
          </w:p>
        </w:tc>
        <w:tc>
          <w:p>
            <w:pPr>
              <w:pStyle w:val="Compact"/>
              <w:jc w:val="left"/>
            </w:pPr>
            <w:r>
              <w:t xml:space="preserve">5,000</w:t>
            </w:r>
          </w:p>
        </w:tc>
        <w:tc>
          <w:p>
            <w:pPr>
              <w:pStyle w:val="Compact"/>
              <w:jc w:val="left"/>
            </w:pPr>
            <w:r>
              <w:t xml:space="preserve">$0.50</w:t>
            </w:r>
          </w:p>
        </w:tc>
        <w:tc>
          <w:p>
            <w:pPr>
              <w:pStyle w:val="Compact"/>
              <w:jc w:val="left"/>
            </w:pPr>
            <w:r>
              <w:t xml:space="preserve">$0.25 (after 2.5M)</w:t>
            </w:r>
          </w:p>
        </w:tc>
        <w:tc>
          <w:p>
            <w:pPr>
              <w:pStyle w:val="Compact"/>
              <w:jc w:val="left"/>
            </w:pPr>
            <w:r>
              <w:t xml:space="preserve">1M records</w:t>
            </w:r>
          </w:p>
        </w:tc>
        <w:tc>
          <w:p>
            <w:pPr>
              <w:pStyle w:val="Compact"/>
              <w:jc w:val="left"/>
            </w:pPr>
            <w:r>
              <w:t xml:space="preserve">$497.50</w:t>
            </w:r>
          </w:p>
        </w:tc>
      </w:tr>
      <w:tr>
        <w:tc>
          <w:p>
            <w:pPr>
              <w:pStyle w:val="Compact"/>
              <w:jc w:val="left"/>
            </w:pPr>
            <w:r>
              <w:rPr>
                <w:b/>
              </w:rPr>
              <w:t xml:space="preserve">Named Entity Recognition</w:t>
            </w:r>
          </w:p>
        </w:tc>
        <w:tc>
          <w:p>
            <w:pPr>
              <w:pStyle w:val="Compact"/>
              <w:jc w:val="left"/>
            </w:pPr>
            <w:r>
              <w:t xml:space="preserve">5,000</w:t>
            </w:r>
          </w:p>
        </w:tc>
        <w:tc>
          <w:p>
            <w:pPr>
              <w:pStyle w:val="Compact"/>
              <w:jc w:val="left"/>
            </w:pPr>
            <w:r>
              <w:t xml:space="preserve">$2.00</w:t>
            </w:r>
          </w:p>
        </w:tc>
        <w:tc>
          <w:p>
            <w:pPr>
              <w:pStyle w:val="Compact"/>
              <w:jc w:val="left"/>
            </w:pPr>
            <w:r>
              <w:t xml:space="preserve">$1.00 (after 2.5M)</w:t>
            </w:r>
          </w:p>
        </w:tc>
        <w:tc>
          <w:p>
            <w:pPr>
              <w:pStyle w:val="Compact"/>
              <w:jc w:val="left"/>
            </w:pPr>
            <w:r>
              <w:t xml:space="preserve">1M records</w:t>
            </w:r>
          </w:p>
        </w:tc>
        <w:tc>
          <w:p>
            <w:pPr>
              <w:pStyle w:val="Compact"/>
              <w:jc w:val="left"/>
            </w:pPr>
            <w:r>
              <w:t xml:space="preserve">$1,990.00</w:t>
            </w:r>
          </w:p>
        </w:tc>
      </w:tr>
      <w:tr>
        <w:tc>
          <w:p>
            <w:pPr>
              <w:pStyle w:val="Compact"/>
              <w:jc w:val="left"/>
            </w:pPr>
            <w:r>
              <w:rPr>
                <w:b/>
              </w:rPr>
              <w:t xml:space="preserve">Summarization (Abstractive)</w:t>
            </w:r>
          </w:p>
        </w:tc>
        <w:tc>
          <w:p>
            <w:pPr>
              <w:pStyle w:val="Compact"/>
              <w:jc w:val="left"/>
            </w:pPr>
            <w:r>
              <w:t xml:space="preserve">0</w:t>
            </w:r>
          </w:p>
        </w:tc>
        <w:tc>
          <w:p>
            <w:pPr>
              <w:pStyle w:val="Compact"/>
              <w:jc w:val="left"/>
            </w:pPr>
            <w:r>
              <w:t xml:space="preserve">$5.00</w:t>
            </w:r>
          </w:p>
        </w:tc>
        <w:tc>
          <w:p>
            <w:pPr>
              <w:pStyle w:val="Compact"/>
              <w:jc w:val="left"/>
            </w:pPr>
            <w:r>
              <w:t xml:space="preserve">$2.50 (after 2.5M)</w:t>
            </w:r>
          </w:p>
        </w:tc>
        <w:tc>
          <w:p>
            <w:pPr>
              <w:pStyle w:val="Compact"/>
              <w:jc w:val="left"/>
            </w:pPr>
            <w:r>
              <w:t xml:space="preserve">1M records</w:t>
            </w:r>
          </w:p>
        </w:tc>
        <w:tc>
          <w:p>
            <w:pPr>
              <w:pStyle w:val="Compact"/>
              <w:jc w:val="left"/>
            </w:pPr>
            <w:r>
              <w:t xml:space="preserve">$4,990.00</w:t>
            </w:r>
          </w:p>
        </w:tc>
      </w:tr>
    </w:tbl>
    <w:p>
      <w:pPr>
        <w:pStyle w:val="BodyText"/>
      </w:pPr>
      <w:r>
        <w:rPr>
          <w:i/>
        </w:rPr>
        <w:t xml:space="preserve">Note: Pricing is hypothetical and simplified for illustration. Tier 1 applies to the first 2.5 million records beyond the free tier, Tier 2 applies thereafter.</w:t>
      </w:r>
      <w:r>
        <w:rPr>
          <w:i/>
        </w:rPr>
        <w:t xml:space="preserve"> </w:t>
      </w:r>
      <w:r>
        <w:rPr>
          <w:i/>
        </w:rPr>
        <w:t xml:space="preserve">“</w:t>
      </w:r>
      <w:r>
        <w:rPr>
          <w:i/>
        </w:rPr>
        <w:t xml:space="preserve">Text Records</w:t>
      </w:r>
      <w:r>
        <w:rPr>
          <w:i/>
        </w:rPr>
        <w:t xml:space="preserve">”</w:t>
      </w:r>
      <w:r>
        <w:rPr>
          <w:i/>
        </w:rPr>
        <w:t xml:space="preserve"> </w:t>
      </w:r>
      <w:r>
        <w:rPr>
          <w:i/>
        </w:rPr>
        <w:t xml:space="preserve">often refer to a unit of text up to a certain character limit (e.g., 5,000 characters). This table illustrates the varying costs based on the complexity of the AI task and volume discounts.</w:t>
      </w:r>
    </w:p>
    <w:p>
      <w:pPr>
        <w:pStyle w:val="Heading3"/>
      </w:pPr>
      <w:bookmarkStart w:id="108" w:name="X434deb57b70be6e0e799b15cee5834fbe61a4c2"/>
      <w:r>
        <w:t xml:space="preserve">C.3 Value-Based Pricing Projections: AI Fraud Detection</w:t>
      </w:r>
      <w:bookmarkEnd w:id="108"/>
    </w:p>
    <w:p>
      <w:pPr>
        <w:pStyle w:val="FirstParagraph"/>
      </w:pPr>
      <w:r>
        <w:t xml:space="preserve">This table outlines a hypothetical value-based pricing model for an AI-powered fraud detection system, where pricing is partially tied to the value generated for the client.</w:t>
      </w:r>
    </w:p>
    <w:p>
      <w:pPr>
        <w:pStyle w:val="BodyText"/>
      </w:pPr>
      <w:r>
        <w:rPr>
          <w:b/>
        </w:rPr>
        <w:t xml:space="preserve">Table C.3: Hypothetical Value-Based Pricing for AI Fraud Detection System</w:t>
      </w:r>
    </w:p>
    <w:tbl>
      <w:tblPr>
        <w:tblStyle w:val="Table"/>
        <w:tblW w:type="pct" w:w="5000.0"/>
        <w:tblLook w:firstRow="1"/>
      </w:tblPr>
      <w:tblGrid>
        <w:gridCol w:w="1550"/>
        <w:gridCol w:w="996"/>
        <w:gridCol w:w="1606"/>
        <w:gridCol w:w="1550"/>
        <w:gridCol w:w="1218"/>
        <w:gridCol w:w="996"/>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Baseline (No AI)</w:t>
            </w:r>
          </w:p>
        </w:tc>
        <w:tc>
          <w:tcPr>
            <w:tcBorders>
              <w:bottom w:val="single"/>
            </w:tcBorders>
            <w:vAlign w:val="bottom"/>
          </w:tcPr>
          <w:p>
            <w:pPr>
              <w:pStyle w:val="Compact"/>
              <w:jc w:val="left"/>
            </w:pPr>
            <w:r>
              <w:t xml:space="preserve">AI Intervention (Projected)</w:t>
            </w:r>
          </w:p>
        </w:tc>
        <w:tc>
          <w:tcPr>
            <w:tcBorders>
              <w:bottom w:val="single"/>
            </w:tcBorders>
            <w:vAlign w:val="bottom"/>
          </w:tcPr>
          <w:p>
            <w:pPr>
              <w:pStyle w:val="Compact"/>
              <w:jc w:val="left"/>
            </w:pPr>
            <w:r>
              <w:t xml:space="preserve">Value Generated (Annually)</w:t>
            </w:r>
          </w:p>
        </w:tc>
        <w:tc>
          <w:tcPr>
            <w:tcBorders>
              <w:bottom w:val="single"/>
            </w:tcBorders>
            <w:vAlign w:val="bottom"/>
          </w:tcPr>
          <w:p>
            <w:pPr>
              <w:pStyle w:val="Compact"/>
              <w:jc w:val="left"/>
            </w:pPr>
            <w:r>
              <w:t xml:space="preserve">AI Pricing Component</w:t>
            </w:r>
          </w:p>
        </w:tc>
        <w:tc>
          <w:tcPr>
            <w:tcBorders>
              <w:bottom w:val="single"/>
            </w:tcBorders>
            <w:vAlign w:val="bottom"/>
          </w:tcPr>
          <w:p>
            <w:pPr>
              <w:pStyle w:val="Compact"/>
              <w:jc w:val="left"/>
            </w:pPr>
            <w:r>
              <w:t xml:space="preserve">Est. Annual Cost</w:t>
            </w:r>
          </w:p>
        </w:tc>
      </w:tr>
      <w:tr>
        <w:tc>
          <w:p>
            <w:pPr>
              <w:pStyle w:val="Compact"/>
              <w:jc w:val="left"/>
            </w:pPr>
            <w:r>
              <w:rPr>
                <w:b/>
              </w:rPr>
              <w:t xml:space="preserve">Fraud Rate (%)</w:t>
            </w:r>
          </w:p>
        </w:tc>
        <w:tc>
          <w:p>
            <w:pPr>
              <w:pStyle w:val="Compact"/>
              <w:jc w:val="left"/>
            </w:pPr>
            <w:r>
              <w:t xml:space="preserve">2.5%</w:t>
            </w:r>
          </w:p>
        </w:tc>
        <w:tc>
          <w:p>
            <w:pPr>
              <w:pStyle w:val="Compact"/>
              <w:jc w:val="left"/>
            </w:pPr>
            <w:r>
              <w:t xml:space="preserve">0.5%</w:t>
            </w:r>
          </w:p>
        </w:tc>
        <w:tc>
          <w:p>
            <w:pPr>
              <w:pStyle w:val="Compact"/>
              <w:jc w:val="left"/>
            </w:pPr>
            <w:r>
              <w:t xml:space="preserve">N/A</w:t>
            </w:r>
          </w:p>
        </w:tc>
        <w:tc>
          <w:p>
            <w:pPr>
              <w:pStyle w:val="Compact"/>
              <w:jc w:val="left"/>
            </w:pPr>
            <w:r>
              <w:t xml:space="preserve">N/A</w:t>
            </w:r>
          </w:p>
        </w:tc>
        <w:tc>
          <w:p>
            <w:pPr>
              <w:pStyle w:val="Compact"/>
              <w:jc w:val="left"/>
            </w:pPr>
            <w:r>
              <w:t xml:space="preserve">N/A</w:t>
            </w:r>
          </w:p>
        </w:tc>
      </w:tr>
      <w:tr>
        <w:tc>
          <w:p>
            <w:pPr>
              <w:pStyle w:val="Compact"/>
              <w:jc w:val="left"/>
            </w:pPr>
            <w:r>
              <w:rPr>
                <w:b/>
              </w:rPr>
              <w:t xml:space="preserve">Annual Transaction Volume</w:t>
            </w:r>
          </w:p>
        </w:tc>
        <w:tc>
          <w:p>
            <w:pPr>
              <w:pStyle w:val="Compact"/>
              <w:jc w:val="left"/>
            </w:pPr>
            <w:r>
              <w:t xml:space="preserve">$100M</w:t>
            </w:r>
          </w:p>
        </w:tc>
        <w:tc>
          <w:p>
            <w:pPr>
              <w:pStyle w:val="Compact"/>
              <w:jc w:val="left"/>
            </w:pPr>
            <w:r>
              <w:t xml:space="preserve">$100M</w:t>
            </w:r>
          </w:p>
        </w:tc>
        <w:tc>
          <w:p>
            <w:pPr>
              <w:pStyle w:val="Compact"/>
              <w:jc w:val="left"/>
            </w:pPr>
            <w:r>
              <w:t xml:space="preserve">N/A</w:t>
            </w:r>
          </w:p>
        </w:tc>
        <w:tc>
          <w:p>
            <w:pPr>
              <w:pStyle w:val="Compact"/>
              <w:jc w:val="left"/>
            </w:pPr>
            <w:r>
              <w:t xml:space="preserve">N/A</w:t>
            </w:r>
          </w:p>
        </w:tc>
        <w:tc>
          <w:p>
            <w:pPr>
              <w:pStyle w:val="Compact"/>
              <w:jc w:val="left"/>
            </w:pPr>
            <w:r>
              <w:t xml:space="preserve">N/A</w:t>
            </w:r>
          </w:p>
        </w:tc>
      </w:tr>
      <w:tr>
        <w:tc>
          <w:p>
            <w:pPr>
              <w:pStyle w:val="Compact"/>
              <w:jc w:val="left"/>
            </w:pPr>
            <w:r>
              <w:rPr>
                <w:b/>
              </w:rPr>
              <w:t xml:space="preserve">Annual Fraud Loss</w:t>
            </w:r>
          </w:p>
        </w:tc>
        <w:tc>
          <w:p>
            <w:pPr>
              <w:pStyle w:val="Compact"/>
              <w:jc w:val="left"/>
            </w:pPr>
            <w:r>
              <w:t xml:space="preserve">$2.5M</w:t>
            </w:r>
          </w:p>
        </w:tc>
        <w:tc>
          <w:p>
            <w:pPr>
              <w:pStyle w:val="Compact"/>
              <w:jc w:val="left"/>
            </w:pPr>
            <w:r>
              <w:t xml:space="preserve">$0.5M</w:t>
            </w:r>
          </w:p>
        </w:tc>
        <w:tc>
          <w:p>
            <w:pPr>
              <w:pStyle w:val="Compact"/>
              <w:jc w:val="left"/>
            </w:pPr>
            <w:r>
              <w:t xml:space="preserve">N/A</w:t>
            </w:r>
          </w:p>
        </w:tc>
        <w:tc>
          <w:p>
            <w:pPr>
              <w:pStyle w:val="Compact"/>
              <w:jc w:val="left"/>
            </w:pPr>
            <w:r>
              <w:t xml:space="preserve">N/A</w:t>
            </w:r>
          </w:p>
        </w:tc>
        <w:tc>
          <w:p>
            <w:pPr>
              <w:pStyle w:val="Compact"/>
              <w:jc w:val="left"/>
            </w:pPr>
            <w:r>
              <w:t xml:space="preserve">N/A</w:t>
            </w:r>
          </w:p>
        </w:tc>
      </w:tr>
      <w:tr>
        <w:tc>
          <w:p>
            <w:pPr>
              <w:pStyle w:val="Compact"/>
              <w:jc w:val="left"/>
            </w:pPr>
            <w:r>
              <w:rPr>
                <w:b/>
              </w:rPr>
              <w:t xml:space="preserve">Annual Fraud Prevention</w:t>
            </w:r>
          </w:p>
        </w:tc>
        <w:tc>
          <w:p>
            <w:pPr>
              <w:pStyle w:val="Compact"/>
              <w:jc w:val="left"/>
            </w:pPr>
            <w:r>
              <w:t xml:space="preserve">N/A</w:t>
            </w:r>
          </w:p>
        </w:tc>
        <w:tc>
          <w:p>
            <w:pPr>
              <w:pStyle w:val="Compact"/>
              <w:jc w:val="left"/>
            </w:pPr>
            <w:r>
              <w:t xml:space="preserve">$2.0M</w:t>
            </w:r>
          </w:p>
        </w:tc>
        <w:tc>
          <w:p>
            <w:pPr>
              <w:pStyle w:val="Compact"/>
              <w:jc w:val="left"/>
            </w:pPr>
            <w:r>
              <w:t xml:space="preserve">$2.0M</w:t>
            </w:r>
          </w:p>
        </w:tc>
        <w:tc>
          <w:p>
            <w:pPr>
              <w:pStyle w:val="Compact"/>
              <w:jc w:val="left"/>
            </w:pPr>
            <w:r>
              <w:t xml:space="preserve">10% of savings</w:t>
            </w:r>
          </w:p>
        </w:tc>
        <w:tc>
          <w:p>
            <w:pPr>
              <w:pStyle w:val="Compact"/>
              <w:jc w:val="left"/>
            </w:pPr>
            <w:r>
              <w:t xml:space="preserve">$200,000</w:t>
            </w:r>
          </w:p>
        </w:tc>
      </w:tr>
      <w:tr>
        <w:tc>
          <w:p>
            <w:pPr>
              <w:pStyle w:val="Compact"/>
              <w:jc w:val="left"/>
            </w:pPr>
            <w:r>
              <w:rPr>
                <w:b/>
              </w:rPr>
              <w:t xml:space="preserve">Operational Efficiency Gain</w:t>
            </w:r>
          </w:p>
        </w:tc>
        <w:tc>
          <w:p>
            <w:pPr>
              <w:pStyle w:val="Compact"/>
              <w:jc w:val="left"/>
            </w:pPr>
            <w:r>
              <w:t xml:space="preserve">N/A</w:t>
            </w:r>
          </w:p>
        </w:tc>
        <w:tc>
          <w:p>
            <w:pPr>
              <w:pStyle w:val="Compact"/>
              <w:jc w:val="left"/>
            </w:pPr>
            <w:r>
              <w:t xml:space="preserve">2,000 staff-hours</w:t>
            </w:r>
          </w:p>
        </w:tc>
        <w:tc>
          <w:p>
            <w:pPr>
              <w:pStyle w:val="Compact"/>
              <w:jc w:val="left"/>
            </w:pPr>
            <w:r>
              <w:t xml:space="preserve">$100,000</w:t>
            </w:r>
          </w:p>
        </w:tc>
        <w:tc>
          <w:p>
            <w:pPr>
              <w:pStyle w:val="Compact"/>
              <w:jc w:val="left"/>
            </w:pPr>
            <w:r>
              <w:t xml:space="preserve">Fixed Fee Component</w:t>
            </w:r>
          </w:p>
        </w:tc>
        <w:tc>
          <w:p>
            <w:pPr>
              <w:pStyle w:val="Compact"/>
              <w:jc w:val="left"/>
            </w:pPr>
            <w:r>
              <w:t xml:space="preserve">$50,000</w:t>
            </w:r>
          </w:p>
        </w:tc>
      </w:tr>
      <w:tr>
        <w:tc>
          <w:p>
            <w:pPr>
              <w:pStyle w:val="Compact"/>
              <w:jc w:val="left"/>
            </w:pPr>
            <w:r>
              <w:rPr>
                <w:b/>
              </w:rPr>
              <w:t xml:space="preserve">Base Subscription Fee</w:t>
            </w:r>
          </w:p>
        </w:tc>
        <w:tc>
          <w:p>
            <w:pPr>
              <w:pStyle w:val="Compact"/>
              <w:jc w:val="left"/>
            </w:pPr>
            <w:r>
              <w:t xml:space="preserve">N/A</w:t>
            </w:r>
          </w:p>
        </w:tc>
        <w:tc>
          <w:p>
            <w:pPr>
              <w:pStyle w:val="Compact"/>
              <w:jc w:val="left"/>
            </w:pPr>
            <w:r>
              <w:t xml:space="preserve">N/A</w:t>
            </w:r>
          </w:p>
        </w:tc>
        <w:tc>
          <w:p>
            <w:pPr>
              <w:pStyle w:val="Compact"/>
              <w:jc w:val="left"/>
            </w:pPr>
            <w:r>
              <w:t xml:space="preserve">N/A</w:t>
            </w:r>
          </w:p>
        </w:tc>
        <w:tc>
          <w:p>
            <w:pPr>
              <w:pStyle w:val="Compact"/>
              <w:jc w:val="left"/>
            </w:pPr>
            <w:r>
              <w:t xml:space="preserve">Annual Fee</w:t>
            </w:r>
          </w:p>
        </w:tc>
        <w:tc>
          <w:p>
            <w:pPr>
              <w:pStyle w:val="Compact"/>
              <w:jc w:val="left"/>
            </w:pPr>
            <w:r>
              <w:t xml:space="preserve">$75,000</w:t>
            </w:r>
          </w:p>
        </w:tc>
      </w:tr>
      <w:tr>
        <w:tc>
          <w:p>
            <w:pPr>
              <w:pStyle w:val="Compact"/>
              <w:jc w:val="left"/>
            </w:pPr>
            <w:r>
              <w:rPr>
                <w:b/>
              </w:rPr>
              <w:t xml:space="preserve">Total Est. Annual Cost</w:t>
            </w:r>
          </w:p>
        </w:tc>
        <w:tc>
          <w:p>
            <w:pPr>
              <w:pStyle w:val="Compact"/>
              <w:jc w:val="left"/>
            </w:pPr>
            <w:r>
              <w:t xml:space="preserve">N/A</w:t>
            </w:r>
          </w:p>
        </w:tc>
        <w:tc>
          <w:p>
            <w:pPr>
              <w:pStyle w:val="Compact"/>
              <w:jc w:val="left"/>
            </w:pPr>
            <w:r>
              <w:t xml:space="preserve">N/A</w:t>
            </w:r>
          </w:p>
        </w:tc>
        <w:tc>
          <w:p>
            <w:pPr>
              <w:pStyle w:val="Compact"/>
              <w:jc w:val="left"/>
            </w:pPr>
            <w:r>
              <w:t xml:space="preserve">N/A</w:t>
            </w:r>
          </w:p>
        </w:tc>
        <w:tc>
          <w:p>
            <w:pPr>
              <w:pStyle w:val="Compact"/>
              <w:jc w:val="left"/>
            </w:pPr>
            <w:r>
              <w:t xml:space="preserve">N/A</w:t>
            </w:r>
          </w:p>
        </w:tc>
        <w:tc>
          <w:p>
            <w:pPr>
              <w:pStyle w:val="Compact"/>
              <w:jc w:val="left"/>
            </w:pPr>
            <w:r>
              <w:t xml:space="preserve">$325,000</w:t>
            </w:r>
          </w:p>
        </w:tc>
      </w:tr>
    </w:tbl>
    <w:p>
      <w:pPr>
        <w:pStyle w:val="BodyText"/>
      </w:pPr>
      <w:r>
        <w:rPr>
          <w:i/>
        </w:rPr>
        <w:t xml:space="preserve">Note: This model combines a base subscription, a fixed fee for efficiency gains, and a performance-based component (percentage of fraud prevention savings). This illustrates how value-based pricing captures a share of the economic benefit delivered, aligning provider and client incentives. The challenge lies in accurately verifying and attributing the value generated.</w:t>
      </w:r>
    </w:p>
    <w:p>
      <w:r>
        <w:pict>
          <v:rect style="width:0;height:1.5pt" o:hralign="center" o:hrstd="t" o:hr="t"/>
        </w:pict>
      </w:r>
    </w:p>
    <w:p>
      <w:pPr>
        <w:pStyle w:val="Heading2"/>
      </w:pPr>
      <w:bookmarkStart w:id="109" w:name="X0d177419c45ae5e7cdf759ecc8e6d744dd4da78"/>
      <w:r>
        <w:t xml:space="preserve">Appendix D: Additional References and Resources</w:t>
      </w:r>
      <w:bookmarkEnd w:id="109"/>
    </w:p>
    <w:p>
      <w:pPr>
        <w:pStyle w:val="FirstParagraph"/>
      </w:pPr>
      <w:r>
        <w:t xml:space="preserve">This appendix provides a curated list of supplementary references and resources that expand upon the themes and concepts discussed in the main thesis. These resources offer deeper insights into the economic, technical, ethical, and strategic dimensions of AI pricing models and the broader AI ecosystem.</w:t>
      </w:r>
    </w:p>
    <w:p>
      <w:pPr>
        <w:pStyle w:val="Heading3"/>
      </w:pPr>
      <w:bookmarkStart w:id="110" w:name="Xe68f12f77fe872c81501e8a1f66dcb1540e55e1"/>
      <w:r>
        <w:t xml:space="preserve">D.1 Foundational Texts on AI Economics &amp; Pricing</w:t>
      </w:r>
      <w:bookmarkEnd w:id="110"/>
    </w:p>
    <w:p>
      <w:pPr>
        <w:numPr>
          <w:ilvl w:val="0"/>
          <w:numId w:val="1002"/>
        </w:numPr>
        <w:pStyle w:val="Compact"/>
      </w:pPr>
      <w:r>
        <w:rPr>
          <w:b/>
        </w:rPr>
        <w:t xml:space="preserve">Varian, H. R. (2019).</w:t>
      </w:r>
      <w:r>
        <w:rPr>
          <w:b/>
        </w:rPr>
        <w:t xml:space="preserve"> </w:t>
      </w:r>
      <w:r>
        <w:rPr>
          <w:i/>
          <w:b/>
        </w:rPr>
        <w:t xml:space="preserve">Microeconomic Analysis</w:t>
      </w:r>
      <w:r>
        <w:rPr>
          <w:b/>
        </w:rPr>
        <w:t xml:space="preserve"> </w:t>
      </w:r>
      <w:r>
        <w:rPr>
          <w:b/>
        </w:rPr>
        <w:t xml:space="preserve">(9th ed.). W. W. Norton &amp; Company.</w:t>
      </w:r>
    </w:p>
    <w:p>
      <w:pPr>
        <w:numPr>
          <w:ilvl w:val="0"/>
          <w:numId w:val="1003"/>
        </w:numPr>
        <w:pStyle w:val="Compact"/>
      </w:pPr>
      <w:r>
        <w:rPr>
          <w:i/>
        </w:rPr>
        <w:t xml:space="preserve">Relevance:</w:t>
      </w:r>
      <w:r>
        <w:t xml:space="preserve"> </w:t>
      </w:r>
      <w:r>
        <w:t xml:space="preserve">Provides the fundamental economic principles of pricing, market structures, and consumer behavior, essential for understanding the theoretical underpinnings of AI monetization.</w:t>
      </w:r>
    </w:p>
    <w:p>
      <w:pPr>
        <w:numPr>
          <w:ilvl w:val="0"/>
          <w:numId w:val="1004"/>
        </w:numPr>
        <w:pStyle w:val="Compact"/>
      </w:pPr>
      <w:r>
        <w:rPr>
          <w:b/>
        </w:rPr>
        <w:t xml:space="preserve">Shapiro, C., &amp; Varian, H. R. (1999).</w:t>
      </w:r>
      <w:r>
        <w:rPr>
          <w:b/>
        </w:rPr>
        <w:t xml:space="preserve"> </w:t>
      </w:r>
      <w:r>
        <w:rPr>
          <w:i/>
          <w:b/>
        </w:rPr>
        <w:t xml:space="preserve">Information Rules: A Strategic Guide to the Network Economy</w:t>
      </w:r>
      <w:r>
        <w:rPr>
          <w:b/>
        </w:rPr>
        <w:t xml:space="preserve">. Harvard Business Review Press.</w:t>
      </w:r>
    </w:p>
    <w:p>
      <w:pPr>
        <w:numPr>
          <w:ilvl w:val="0"/>
          <w:numId w:val="1005"/>
        </w:numPr>
        <w:pStyle w:val="Compact"/>
      </w:pPr>
      <w:r>
        <w:rPr>
          <w:i/>
        </w:rPr>
        <w:t xml:space="preserve">Relevance:</w:t>
      </w:r>
      <w:r>
        <w:t xml:space="preserve"> </w:t>
      </w:r>
      <w:r>
        <w:t xml:space="preserve">A classic text on the economics of information and digital products, offering insights into pricing strategies for goods with high fixed costs and low marginal costs, highly relevant to AI services.</w:t>
      </w:r>
    </w:p>
    <w:p>
      <w:pPr>
        <w:numPr>
          <w:ilvl w:val="0"/>
          <w:numId w:val="1006"/>
        </w:numPr>
        <w:pStyle w:val="Compact"/>
      </w:pPr>
      <w:r>
        <w:rPr>
          <w:b/>
        </w:rPr>
        <w:t xml:space="preserve">Goldfarb, A., &amp; Tucker, C. (2019).</w:t>
      </w:r>
      <w:r>
        <w:rPr>
          <w:b/>
        </w:rPr>
        <w:t xml:space="preserve"> </w:t>
      </w:r>
      <w:r>
        <w:rPr>
          <w:i/>
          <w:b/>
        </w:rPr>
        <w:t xml:space="preserve">Prediction Machines: The Simple Economics of Artificial Intelligence</w:t>
      </w:r>
      <w:r>
        <w:rPr>
          <w:b/>
        </w:rPr>
        <w:t xml:space="preserve">. Harvard Business Review Press.</w:t>
      </w:r>
    </w:p>
    <w:p>
      <w:pPr>
        <w:numPr>
          <w:ilvl w:val="0"/>
          <w:numId w:val="1007"/>
        </w:numPr>
        <w:pStyle w:val="Compact"/>
      </w:pPr>
      <w:r>
        <w:rPr>
          <w:i/>
        </w:rPr>
        <w:t xml:space="preserve">Relevance:</w:t>
      </w:r>
      <w:r>
        <w:t xml:space="preserve"> </w:t>
      </w:r>
      <w:r>
        <w:t xml:space="preserve">Explores how AI fundamentally changes the cost of prediction, thereby reshaping economic decisions and business models, providing context for AI’s value creation.</w:t>
      </w:r>
    </w:p>
    <w:p>
      <w:pPr>
        <w:pStyle w:val="Heading3"/>
      </w:pPr>
      <w:bookmarkStart w:id="111" w:name="d.2-key-research-papers-reports"/>
      <w:r>
        <w:t xml:space="preserve">D.2 Key Research Papers &amp; Reports</w:t>
      </w:r>
      <w:bookmarkEnd w:id="111"/>
    </w:p>
    <w:p>
      <w:pPr>
        <w:numPr>
          <w:ilvl w:val="0"/>
          <w:numId w:val="1008"/>
        </w:numPr>
        <w:pStyle w:val="Compact"/>
      </w:pPr>
      <w:r>
        <w:rPr>
          <w:b/>
        </w:rPr>
        <w:t xml:space="preserve">Manyika, J., et al. (2017).</w:t>
      </w:r>
      <w:r>
        <w:rPr>
          <w:b/>
        </w:rPr>
        <w:t xml:space="preserve"> </w:t>
      </w:r>
      <w:r>
        <w:rPr>
          <w:i/>
          <w:b/>
        </w:rPr>
        <w:t xml:space="preserve">Artificial Intelligence: The Next Digital Frontier?</w:t>
      </w:r>
      <w:r>
        <w:rPr>
          <w:b/>
        </w:rPr>
        <w:t xml:space="preserve"> </w:t>
      </w:r>
      <w:r>
        <w:rPr>
          <w:b/>
        </w:rPr>
        <w:t xml:space="preserve">McKinsey Global Institute.</w:t>
      </w:r>
    </w:p>
    <w:p>
      <w:pPr>
        <w:numPr>
          <w:ilvl w:val="0"/>
          <w:numId w:val="1009"/>
        </w:numPr>
        <w:pStyle w:val="Compact"/>
      </w:pPr>
      <w:r>
        <w:rPr>
          <w:i/>
        </w:rPr>
        <w:t xml:space="preserve">Relevance:</w:t>
      </w:r>
      <w:r>
        <w:t xml:space="preserve"> </w:t>
      </w:r>
      <w:r>
        <w:t xml:space="preserve">A foundational report on the economic impact and adoption of AI across industries, offering broad context for AI’s value proposition and market dynamics.</w:t>
      </w:r>
    </w:p>
    <w:p>
      <w:pPr>
        <w:numPr>
          <w:ilvl w:val="0"/>
          <w:numId w:val="1010"/>
        </w:numPr>
        <w:pStyle w:val="Compact"/>
      </w:pPr>
      <w:r>
        <w:rPr>
          <w:b/>
        </w:rPr>
        <w:t xml:space="preserve">Korinek, A., &amp; Stiglitz, J. E. (2021).</w:t>
      </w:r>
      <w:r>
        <w:rPr>
          <w:b/>
        </w:rPr>
        <w:t xml:space="preserve"> </w:t>
      </w:r>
      <w:r>
        <w:rPr>
          <w:i/>
          <w:b/>
        </w:rPr>
        <w:t xml:space="preserve">Artificial Intelligence and Economic Inequality</w:t>
      </w:r>
      <w:r>
        <w:rPr>
          <w:b/>
        </w:rPr>
        <w:t xml:space="preserve">. NBER Working Paper 28311.</w:t>
      </w:r>
    </w:p>
    <w:p>
      <w:pPr>
        <w:numPr>
          <w:ilvl w:val="0"/>
          <w:numId w:val="1011"/>
        </w:numPr>
        <w:pStyle w:val="Compact"/>
      </w:pPr>
      <w:r>
        <w:rPr>
          <w:i/>
        </w:rPr>
        <w:t xml:space="preserve">Relevance:</w:t>
      </w:r>
      <w:r>
        <w:t xml:space="preserve"> </w:t>
      </w:r>
      <w:r>
        <w:t xml:space="preserve">Delves into the potential for AI to exacerbate or mitigate economic inequality, directly informing the ethical and societal considerations of AI pricing.</w:t>
      </w:r>
    </w:p>
    <w:p>
      <w:pPr>
        <w:numPr>
          <w:ilvl w:val="0"/>
          <w:numId w:val="1012"/>
        </w:numPr>
        <w:pStyle w:val="Compact"/>
      </w:pPr>
      <w:r>
        <w:rPr>
          <w:b/>
        </w:rPr>
        <w:t xml:space="preserve">Amodei, D., et al. (2016).</w:t>
      </w:r>
      <w:r>
        <w:rPr>
          <w:b/>
        </w:rPr>
        <w:t xml:space="preserve"> </w:t>
      </w:r>
      <w:r>
        <w:rPr>
          <w:i/>
          <w:b/>
        </w:rPr>
        <w:t xml:space="preserve">Concrete Problems in AI Safety</w:t>
      </w:r>
      <w:r>
        <w:rPr>
          <w:b/>
        </w:rPr>
        <w:t xml:space="preserve">. arXiv:1606.06565.</w:t>
      </w:r>
    </w:p>
    <w:p>
      <w:pPr>
        <w:numPr>
          <w:ilvl w:val="0"/>
          <w:numId w:val="1013"/>
        </w:numPr>
        <w:pStyle w:val="Compact"/>
      </w:pPr>
      <w:r>
        <w:rPr>
          <w:i/>
        </w:rPr>
        <w:t xml:space="preserve">Relevance:</w:t>
      </w:r>
      <w:r>
        <w:t xml:space="preserve"> </w:t>
      </w:r>
      <w:r>
        <w:t xml:space="preserve">Discusses fundamental challenges in ensuring AI safety, which indirectly influences the</w:t>
      </w:r>
      <w:r>
        <w:t xml:space="preserve"> </w:t>
      </w:r>
      <w:r>
        <w:t xml:space="preserve">“</w:t>
      </w:r>
      <w:r>
        <w:t xml:space="preserve">ethical premium</w:t>
      </w:r>
      <w:r>
        <w:t xml:space="preserve">”</w:t>
      </w:r>
      <w:r>
        <w:t xml:space="preserve"> </w:t>
      </w:r>
      <w:r>
        <w:t xml:space="preserve">or risk mitigation costs associated with developing and deploying advanced AI.</w:t>
      </w:r>
    </w:p>
    <w:p>
      <w:pPr>
        <w:numPr>
          <w:ilvl w:val="0"/>
          <w:numId w:val="1014"/>
        </w:numPr>
        <w:pStyle w:val="Compact"/>
      </w:pPr>
      <w:r>
        <w:rPr>
          <w:b/>
        </w:rPr>
        <w:t xml:space="preserve">Hao, K. (2019).</w:t>
      </w:r>
      <w:r>
        <w:rPr>
          <w:b/>
        </w:rPr>
        <w:t xml:space="preserve"> </w:t>
      </w:r>
      <w:r>
        <w:rPr>
          <w:i/>
          <w:b/>
        </w:rPr>
        <w:t xml:space="preserve">Training a single AI model can emit as much carbon as five cars in their lifetimes</w:t>
      </w:r>
      <w:r>
        <w:rPr>
          <w:b/>
        </w:rPr>
        <w:t xml:space="preserve">. MIT Technology Review.</w:t>
      </w:r>
    </w:p>
    <w:p>
      <w:pPr>
        <w:numPr>
          <w:ilvl w:val="0"/>
          <w:numId w:val="1015"/>
        </w:numPr>
        <w:pStyle w:val="Compact"/>
      </w:pPr>
      <w:r>
        <w:rPr>
          <w:i/>
        </w:rPr>
        <w:t xml:space="preserve">Relevance:</w:t>
      </w:r>
      <w:r>
        <w:t xml:space="preserve"> </w:t>
      </w:r>
      <w:r>
        <w:t xml:space="preserve">A seminal article highlighting the environmental impact of AI, providing crucial context for the</w:t>
      </w:r>
      <w:r>
        <w:t xml:space="preserve"> </w:t>
      </w:r>
      <w:r>
        <w:t xml:space="preserve">“</w:t>
      </w:r>
      <w:r>
        <w:t xml:space="preserve">Green AI</w:t>
      </w:r>
      <w:r>
        <w:t xml:space="preserve">”</w:t>
      </w:r>
      <w:r>
        <w:t xml:space="preserve"> </w:t>
      </w:r>
      <w:r>
        <w:t xml:space="preserve">discussion and its integration into pricing models.</w:t>
      </w:r>
    </w:p>
    <w:p>
      <w:pPr>
        <w:pStyle w:val="Heading3"/>
      </w:pPr>
      <w:bookmarkStart w:id="112" w:name="d.3-online-resources-industry-reports"/>
      <w:r>
        <w:t xml:space="preserve">D.3 Online Resources &amp; Industry Reports</w:t>
      </w:r>
      <w:bookmarkEnd w:id="112"/>
    </w:p>
    <w:p>
      <w:pPr>
        <w:numPr>
          <w:ilvl w:val="0"/>
          <w:numId w:val="1016"/>
        </w:numPr>
        <w:pStyle w:val="Compact"/>
      </w:pPr>
      <w:r>
        <w:rPr>
          <w:b/>
        </w:rPr>
        <w:t xml:space="preserve">OpenAI API Documentation</w:t>
      </w:r>
      <w:r>
        <w:t xml:space="preserve">:</w:t>
      </w:r>
      <w:r>
        <w:t xml:space="preserve"> </w:t>
      </w:r>
      <w:hyperlink r:id="rId113">
        <w:r>
          <w:rPr>
            <w:rStyle w:val="Hyperlink"/>
          </w:rPr>
          <w:t xml:space="preserve">https://platform.openai.com/docs/api-reference</w:t>
        </w:r>
      </w:hyperlink>
    </w:p>
    <w:p>
      <w:pPr>
        <w:numPr>
          <w:ilvl w:val="0"/>
          <w:numId w:val="1016"/>
        </w:numPr>
        <w:pStyle w:val="Compact"/>
      </w:pPr>
      <w:r>
        <w:rPr>
          <w:i/>
        </w:rPr>
        <w:t xml:space="preserve">Description:</w:t>
      </w:r>
      <w:r>
        <w:t xml:space="preserve"> </w:t>
      </w:r>
      <w:r>
        <w:t xml:space="preserve">Official documentation for OpenAI’s API, including detailed pricing information for various models and tokenization specifics.</w:t>
      </w:r>
    </w:p>
    <w:p>
      <w:pPr>
        <w:numPr>
          <w:ilvl w:val="0"/>
          <w:numId w:val="1016"/>
        </w:numPr>
        <w:pStyle w:val="Compact"/>
      </w:pPr>
      <w:r>
        <w:rPr>
          <w:b/>
        </w:rPr>
        <w:t xml:space="preserve">Anthropic Claude API Pricing</w:t>
      </w:r>
      <w:r>
        <w:t xml:space="preserve">:</w:t>
      </w:r>
      <w:r>
        <w:t xml:space="preserve"> </w:t>
      </w:r>
      <w:hyperlink r:id="rId114">
        <w:r>
          <w:rPr>
            <w:rStyle w:val="Hyperlink"/>
          </w:rPr>
          <w:t xml:space="preserve">https://www.anthropic.com/pricing</w:t>
        </w:r>
      </w:hyperlink>
    </w:p>
    <w:p>
      <w:pPr>
        <w:numPr>
          <w:ilvl w:val="0"/>
          <w:numId w:val="1016"/>
        </w:numPr>
        <w:pStyle w:val="Compact"/>
      </w:pPr>
      <w:r>
        <w:rPr>
          <w:i/>
        </w:rPr>
        <w:t xml:space="preserve">Description:</w:t>
      </w:r>
      <w:r>
        <w:t xml:space="preserve"> </w:t>
      </w:r>
      <w:r>
        <w:t xml:space="preserve">Provides up-to-date pricing for Anthropic’s Claude models, including input/output token costs and model differentiation.</w:t>
      </w:r>
    </w:p>
    <w:p>
      <w:pPr>
        <w:numPr>
          <w:ilvl w:val="0"/>
          <w:numId w:val="1016"/>
        </w:numPr>
        <w:pStyle w:val="Compact"/>
      </w:pPr>
      <w:r>
        <w:rPr>
          <w:b/>
        </w:rPr>
        <w:t xml:space="preserve">Azure AI Services Pricing</w:t>
      </w:r>
      <w:r>
        <w:t xml:space="preserve">:</w:t>
      </w:r>
      <w:r>
        <w:t xml:space="preserve"> </w:t>
      </w:r>
      <w:hyperlink r:id="rId115">
        <w:r>
          <w:rPr>
            <w:rStyle w:val="Hyperlink"/>
          </w:rPr>
          <w:t xml:space="preserve">https://azure.microsoft.com/en-us/pricing/details/cognitive-services/</w:t>
        </w:r>
      </w:hyperlink>
    </w:p>
    <w:p>
      <w:pPr>
        <w:numPr>
          <w:ilvl w:val="0"/>
          <w:numId w:val="1016"/>
        </w:numPr>
        <w:pStyle w:val="Compact"/>
      </w:pPr>
      <w:r>
        <w:rPr>
          <w:i/>
        </w:rPr>
        <w:t xml:space="preserve">Description:</w:t>
      </w:r>
      <w:r>
        <w:t xml:space="preserve"> </w:t>
      </w:r>
      <w:r>
        <w:t xml:space="preserve">Detailed pricing information for Microsoft Azure’s comprehensive suite of AI and Cognitive Services, illustrating usage-based and tiered models.</w:t>
      </w:r>
    </w:p>
    <w:p>
      <w:pPr>
        <w:numPr>
          <w:ilvl w:val="0"/>
          <w:numId w:val="1016"/>
        </w:numPr>
        <w:pStyle w:val="Compact"/>
      </w:pPr>
      <w:r>
        <w:rPr>
          <w:b/>
        </w:rPr>
        <w:t xml:space="preserve">Google Cloud AI Pricing</w:t>
      </w:r>
      <w:r>
        <w:t xml:space="preserve">:</w:t>
      </w:r>
      <w:r>
        <w:t xml:space="preserve"> </w:t>
      </w:r>
      <w:hyperlink r:id="rId116">
        <w:r>
          <w:rPr>
            <w:rStyle w:val="Hyperlink"/>
          </w:rPr>
          <w:t xml:space="preserve">https://cloud.google.com/products/ai</w:t>
        </w:r>
      </w:hyperlink>
    </w:p>
    <w:p>
      <w:pPr>
        <w:numPr>
          <w:ilvl w:val="0"/>
          <w:numId w:val="1016"/>
        </w:numPr>
        <w:pStyle w:val="Compact"/>
      </w:pPr>
      <w:r>
        <w:rPr>
          <w:i/>
        </w:rPr>
        <w:t xml:space="preserve">Description:</w:t>
      </w:r>
      <w:r>
        <w:t xml:space="preserve"> </w:t>
      </w:r>
      <w:r>
        <w:t xml:space="preserve">Overview of Google Cloud’s AI products and links to specific pricing pages for services like Vertex AI, Vision AI, and Natural Language AI.</w:t>
      </w:r>
    </w:p>
    <w:p>
      <w:pPr>
        <w:numPr>
          <w:ilvl w:val="0"/>
          <w:numId w:val="1016"/>
        </w:numPr>
        <w:pStyle w:val="Compact"/>
      </w:pPr>
      <w:r>
        <w:rPr>
          <w:b/>
        </w:rPr>
        <w:t xml:space="preserve">AI Ethics Guidelines and Frameworks (OECD)</w:t>
      </w:r>
      <w:r>
        <w:t xml:space="preserve">:</w:t>
      </w:r>
      <w:r>
        <w:t xml:space="preserve"> </w:t>
      </w:r>
      <w:hyperlink r:id="rId117">
        <w:r>
          <w:rPr>
            <w:rStyle w:val="Hyperlink"/>
          </w:rPr>
          <w:t xml:space="preserve">https://www.oecd.ai/ai-principles</w:t>
        </w:r>
      </w:hyperlink>
    </w:p>
    <w:p>
      <w:pPr>
        <w:numPr>
          <w:ilvl w:val="0"/>
          <w:numId w:val="1016"/>
        </w:numPr>
        <w:pStyle w:val="Compact"/>
      </w:pPr>
      <w:r>
        <w:rPr>
          <w:i/>
        </w:rPr>
        <w:t xml:space="preserve">Description:</w:t>
      </w:r>
      <w:r>
        <w:t xml:space="preserve"> </w:t>
      </w:r>
      <w:r>
        <w:t xml:space="preserve">Provides international guidelines and principles for responsible AI, offering a framework for ethical considerations in AI development and deployment, including pricing.</w:t>
      </w:r>
    </w:p>
    <w:p>
      <w:pPr>
        <w:pStyle w:val="Heading3"/>
      </w:pPr>
      <w:bookmarkStart w:id="118" w:name="Xc4c25606b66f6012850739d30bb75d054decae0"/>
      <w:r>
        <w:t xml:space="preserve">D.4 Software &amp; Tools for AI Cost Management</w:t>
      </w:r>
      <w:bookmarkEnd w:id="118"/>
    </w:p>
    <w:p>
      <w:pPr>
        <w:numPr>
          <w:ilvl w:val="0"/>
          <w:numId w:val="1017"/>
        </w:numPr>
        <w:pStyle w:val="Compact"/>
      </w:pPr>
      <w:r>
        <w:rPr>
          <w:b/>
        </w:rPr>
        <w:t xml:space="preserve">Cloud Cost Management Platforms (e.g., CloudHealth, FinOps tools)</w:t>
      </w:r>
      <w:r>
        <w:t xml:space="preserve">:</w:t>
      </w:r>
    </w:p>
    <w:p>
      <w:pPr>
        <w:numPr>
          <w:ilvl w:val="0"/>
          <w:numId w:val="1017"/>
        </w:numPr>
        <w:pStyle w:val="Compact"/>
      </w:pPr>
      <w:r>
        <w:rPr>
          <w:i/>
        </w:rPr>
        <w:t xml:space="preserve">Description:</w:t>
      </w:r>
      <w:r>
        <w:t xml:space="preserve"> </w:t>
      </w:r>
      <w:r>
        <w:t xml:space="preserve">Tools designed to monitor, optimize, and forecast cloud and AI service expenditures, crucial for managing usage-based and token-based costs.</w:t>
      </w:r>
    </w:p>
    <w:p>
      <w:pPr>
        <w:numPr>
          <w:ilvl w:val="0"/>
          <w:numId w:val="1017"/>
        </w:numPr>
        <w:pStyle w:val="Compact"/>
      </w:pPr>
      <w:r>
        <w:rPr>
          <w:b/>
        </w:rPr>
        <w:t xml:space="preserve">Prompt Engineering Tools / Tokenizers</w:t>
      </w:r>
      <w:r>
        <w:t xml:space="preserve">:</w:t>
      </w:r>
    </w:p>
    <w:p>
      <w:pPr>
        <w:numPr>
          <w:ilvl w:val="0"/>
          <w:numId w:val="1017"/>
        </w:numPr>
        <w:pStyle w:val="Compact"/>
      </w:pPr>
      <w:r>
        <w:rPr>
          <w:i/>
        </w:rPr>
        <w:t xml:space="preserve">Description:</w:t>
      </w:r>
      <w:r>
        <w:t xml:space="preserve"> </w:t>
      </w:r>
      <w:r>
        <w:t xml:space="preserve">Software and libraries (e.g.,</w:t>
      </w:r>
      <w:r>
        <w:t xml:space="preserve"> </w:t>
      </w:r>
      <w:r>
        <w:rPr>
          <w:rStyle w:val="VerbatimChar"/>
        </w:rPr>
        <w:t xml:space="preserve">tiktoken</w:t>
      </w:r>
      <w:r>
        <w:t xml:space="preserve"> </w:t>
      </w:r>
      <w:r>
        <w:t xml:space="preserve">for OpenAI) that help developers estimate token counts for prompts and completions, aiding in cost prediction and optimization.</w:t>
      </w:r>
    </w:p>
    <w:p>
      <w:pPr>
        <w:pStyle w:val="Heading3"/>
      </w:pPr>
      <w:bookmarkStart w:id="119" w:name="X5b737947c76057374e9e53f7a1fe8a3be818919"/>
      <w:r>
        <w:t xml:space="preserve">D.5 Professional Organizations &amp; Initiatives</w:t>
      </w:r>
      <w:bookmarkEnd w:id="119"/>
    </w:p>
    <w:p>
      <w:pPr>
        <w:numPr>
          <w:ilvl w:val="0"/>
          <w:numId w:val="1018"/>
        </w:numPr>
        <w:pStyle w:val="Compact"/>
      </w:pPr>
      <w:r>
        <w:rPr>
          <w:b/>
        </w:rPr>
        <w:t xml:space="preserve">AI Ethics Institute</w:t>
      </w:r>
      <w:r>
        <w:t xml:space="preserve">:</w:t>
      </w:r>
      <w:r>
        <w:t xml:space="preserve"> </w:t>
      </w:r>
      <w:hyperlink r:id="rId120">
        <w:r>
          <w:rPr>
            <w:rStyle w:val="Hyperlink"/>
          </w:rPr>
          <w:t xml:space="preserve">https://aiethicsinstitute.org/</w:t>
        </w:r>
      </w:hyperlink>
    </w:p>
    <w:p>
      <w:pPr>
        <w:numPr>
          <w:ilvl w:val="0"/>
          <w:numId w:val="1018"/>
        </w:numPr>
        <w:pStyle w:val="Compact"/>
      </w:pPr>
      <w:r>
        <w:rPr>
          <w:i/>
        </w:rPr>
        <w:t xml:space="preserve">Relevance:</w:t>
      </w:r>
      <w:r>
        <w:t xml:space="preserve"> </w:t>
      </w:r>
      <w:r>
        <w:t xml:space="preserve">Focuses on fostering ethical AI development and deployment, providing resources and discussions relevant to responsible AI pricing.</w:t>
      </w:r>
    </w:p>
    <w:p>
      <w:pPr>
        <w:numPr>
          <w:ilvl w:val="0"/>
          <w:numId w:val="1018"/>
        </w:numPr>
        <w:pStyle w:val="Compact"/>
      </w:pPr>
      <w:r>
        <w:rPr>
          <w:b/>
        </w:rPr>
        <w:t xml:space="preserve">Partnership on AI (PAI)</w:t>
      </w:r>
      <w:r>
        <w:t xml:space="preserve">:</w:t>
      </w:r>
      <w:r>
        <w:t xml:space="preserve"> </w:t>
      </w:r>
      <w:hyperlink r:id="rId121">
        <w:r>
          <w:rPr>
            <w:rStyle w:val="Hyperlink"/>
          </w:rPr>
          <w:t xml:space="preserve">https://partnershiponai.org/</w:t>
        </w:r>
      </w:hyperlink>
    </w:p>
    <w:p>
      <w:pPr>
        <w:numPr>
          <w:ilvl w:val="0"/>
          <w:numId w:val="1018"/>
        </w:numPr>
        <w:pStyle w:val="Compact"/>
      </w:pPr>
      <w:r>
        <w:rPr>
          <w:i/>
        </w:rPr>
        <w:t xml:space="preserve">Relevance:</w:t>
      </w:r>
      <w:r>
        <w:t xml:space="preserve"> </w:t>
      </w:r>
      <w:r>
        <w:t xml:space="preserve">A multi-stakeholder organization working to ensure AI benefits humanity, with initiatives on responsible development, safety, and societal impact.</w:t>
      </w:r>
    </w:p>
    <w:p>
      <w:r>
        <w:pict>
          <v:rect style="width:0;height:1.5pt" o:hralign="center" o:hrstd="t" o:hr="t"/>
        </w:pict>
      </w:r>
    </w:p>
    <w:p>
      <w:pPr>
        <w:pStyle w:val="Heading2"/>
      </w:pPr>
      <w:bookmarkStart w:id="122" w:name="appendix-e-glossary-of-terms"/>
      <w:r>
        <w:t xml:space="preserve">Appendix E: Glossary of Terms</w:t>
      </w:r>
      <w:bookmarkEnd w:id="122"/>
    </w:p>
    <w:p>
      <w:pPr>
        <w:pStyle w:val="FirstParagraph"/>
      </w:pPr>
      <w:r>
        <w:t xml:space="preserve">This glossary defines key technical, economic, and ethical terms used throughout this thesis, providing clarity and a common understanding for readers.</w:t>
      </w:r>
    </w:p>
    <w:p>
      <w:pPr>
        <w:pStyle w:val="BodyText"/>
      </w:pPr>
      <w:r>
        <w:rPr>
          <w:b/>
        </w:rPr>
        <w:t xml:space="preserve">Agentic AI</w:t>
      </w:r>
      <w:r>
        <w:t xml:space="preserve">: Artificial intelligence systems capable of autonomous decision-making, goal-setting, planning, and interaction with complex environments, often exhibiting emergent behaviors.</w:t>
      </w:r>
    </w:p>
    <w:p>
      <w:pPr>
        <w:pStyle w:val="BodyText"/>
      </w:pPr>
      <w:r>
        <w:rPr>
          <w:b/>
        </w:rPr>
        <w:t xml:space="preserve">Algorithmic Bias</w:t>
      </w:r>
      <w:r>
        <w:t xml:space="preserve">: Systematic and repeatable errors in a computer system that create unfair outcomes, such as favoring one arbitrary group over others, which can be present in AI pricing algorithms.</w:t>
      </w:r>
    </w:p>
    <w:p>
      <w:pPr>
        <w:pStyle w:val="BodyText"/>
      </w:pPr>
      <w:r>
        <w:rPr>
          <w:b/>
        </w:rPr>
        <w:t xml:space="preserve">API (Application Programming Interface)</w:t>
      </w:r>
      <w:r>
        <w:t xml:space="preserve">: A set of defined rules that enable different software applications to communicate and interact with each other. Many AI services are consumed via APIs.</w:t>
      </w:r>
    </w:p>
    <w:p>
      <w:pPr>
        <w:pStyle w:val="BodyText"/>
      </w:pPr>
      <w:r>
        <w:rPr>
          <w:b/>
        </w:rPr>
        <w:t xml:space="preserve">Black Box Problem</w:t>
      </w:r>
      <w:r>
        <w:t xml:space="preserve">: The challenge of understanding how complex AI models, particularly deep neural networks, arrive at their decisions, making their internal workings opaque and difficult to interpret.</w:t>
      </w:r>
    </w:p>
    <w:p>
      <w:pPr>
        <w:pStyle w:val="BodyText"/>
      </w:pPr>
      <w:r>
        <w:rPr>
          <w:b/>
        </w:rPr>
        <w:t xml:space="preserve">Blockchain-Based Data Usage Auditing (BDUA)</w:t>
      </w:r>
      <w:r>
        <w:t xml:space="preserve">: A system that uses blockchain technology to create immutable and verifiable records of how data is accessed and utilized by AI services, enhancing transparency and trust.</w:t>
      </w:r>
    </w:p>
    <w:p>
      <w:pPr>
        <w:pStyle w:val="BodyText"/>
      </w:pPr>
      <w:r>
        <w:rPr>
          <w:b/>
        </w:rPr>
        <w:t xml:space="preserve">Cost-Plus Pricing</w:t>
      </w:r>
      <w:r>
        <w:t xml:space="preserve">: A pricing strategy where the price of a product or service is determined by calculating the total cost of production and adding a predetermined profit margin.</w:t>
      </w:r>
    </w:p>
    <w:p>
      <w:pPr>
        <w:pStyle w:val="BodyText"/>
      </w:pPr>
      <w:r>
        <w:rPr>
          <w:b/>
        </w:rPr>
        <w:t xml:space="preserve">Context Window</w:t>
      </w:r>
      <w:r>
        <w:t xml:space="preserve">: The maximum number of tokens an AI model (especially an LLM) can consider at any given time for both input (prompt) and output (response) when generating text. Larger context windows typically incur higher computational costs.</w:t>
      </w:r>
    </w:p>
    <w:p>
      <w:pPr>
        <w:pStyle w:val="BodyText"/>
      </w:pPr>
      <w:r>
        <w:rPr>
          <w:b/>
        </w:rPr>
        <w:t xml:space="preserve">Customer Lifetime Value (CLV)</w:t>
      </w:r>
      <w:r>
        <w:t xml:space="preserve">: A prediction of the total revenue or profit a business can expect to generate from a customer throughout their relationship. AI pricing models often aim to maximize CLV.</w:t>
      </w:r>
    </w:p>
    <w:p>
      <w:pPr>
        <w:pStyle w:val="BodyText"/>
      </w:pPr>
      <w:r>
        <w:rPr>
          <w:b/>
        </w:rPr>
        <w:t xml:space="preserve">Dynamic Pricing</w:t>
      </w:r>
      <w:r>
        <w:t xml:space="preserve">: A pricing strategy where the price of a product or service is adjusted in real-time based on various factors such as demand, supply, time of day, customer segment, or competitor pricing.</w:t>
      </w:r>
    </w:p>
    <w:p>
      <w:pPr>
        <w:pStyle w:val="BodyText"/>
      </w:pPr>
      <w:r>
        <w:rPr>
          <w:b/>
        </w:rPr>
        <w:t xml:space="preserve">Edge-Cloud AI</w:t>
      </w:r>
      <w:r>
        <w:t xml:space="preserve">: An architectural approach that distributes AI processing between edge devices (closer to data sources) and centralized cloud infrastructure, optimizing for latency, bandwidth, and computational efficiency.</w:t>
      </w:r>
    </w:p>
    <w:p>
      <w:pPr>
        <w:pStyle w:val="BodyText"/>
      </w:pPr>
      <w:r>
        <w:rPr>
          <w:b/>
        </w:rPr>
        <w:t xml:space="preserve">Ethical AI</w:t>
      </w:r>
      <w:r>
        <w:t xml:space="preserve">: Artificial intelligence systems designed and deployed with principles of fairness, transparency, accountability, privacy, and beneficial societal impact in mind.</w:t>
      </w:r>
    </w:p>
    <w:p>
      <w:pPr>
        <w:pStyle w:val="BodyText"/>
      </w:pPr>
      <w:r>
        <w:rPr>
          <w:b/>
        </w:rPr>
        <w:t xml:space="preserve">Excessive Pricing</w:t>
      </w:r>
      <w:r>
        <w:t xml:space="preserve">: A term used in antitrust and regulatory contexts to describe prices that are deemed unfairly high, particularly by dominant market players, potentially harming consumers or competition.</w:t>
      </w:r>
    </w:p>
    <w:p>
      <w:pPr>
        <w:pStyle w:val="BodyText"/>
      </w:pPr>
      <w:r>
        <w:rPr>
          <w:b/>
        </w:rPr>
        <w:t xml:space="preserve">Explainable AI (XAI)</w:t>
      </w:r>
      <w:r>
        <w:t xml:space="preserve">: A set of techniques that allow human users to understand, interpret, and trust the results and outputs created by machine learning algorithms.</w:t>
      </w:r>
    </w:p>
    <w:p>
      <w:pPr>
        <w:pStyle w:val="BodyText"/>
      </w:pPr>
      <w:r>
        <w:rPr>
          <w:b/>
        </w:rPr>
        <w:t xml:space="preserve">Federated Reinforcement Learning</w:t>
      </w:r>
      <w:r>
        <w:t xml:space="preserve">: A machine learning paradigm where multiple decentralized clients collaboratively train a shared model without exchanging their raw data, often used in edge-cloud AI for privacy and efficiency.</w:t>
      </w:r>
    </w:p>
    <w:p>
      <w:pPr>
        <w:pStyle w:val="BodyText"/>
      </w:pPr>
      <w:r>
        <w:rPr>
          <w:b/>
        </w:rPr>
        <w:t xml:space="preserve">Freemium Model</w:t>
      </w:r>
      <w:r>
        <w:t xml:space="preserve">: A business strategy where a basic version of a product or service is offered for free, while advanced features, higher usage limits, or premium support are available through paid subscriptions.</w:t>
      </w:r>
    </w:p>
    <w:p>
      <w:pPr>
        <w:pStyle w:val="BodyText"/>
      </w:pPr>
      <w:r>
        <w:rPr>
          <w:b/>
        </w:rPr>
        <w:t xml:space="preserve">Generative AI</w:t>
      </w:r>
      <w:r>
        <w:t xml:space="preserve">: A type of artificial intelligence that can create new content, such as text, images, audio, or code, often based on patterns learned from vast datasets. Large Language Models (LLMs) are a prominent example.</w:t>
      </w:r>
    </w:p>
    <w:p>
      <w:pPr>
        <w:pStyle w:val="BodyText"/>
      </w:pPr>
      <w:r>
        <w:rPr>
          <w:b/>
        </w:rPr>
        <w:t xml:space="preserve">Green AI</w:t>
      </w:r>
      <w:r>
        <w:t xml:space="preserve">: A movement and set of practices focused on developing and deploying AI systems with reduced environmental impact, primarily by optimizing for energy efficiency and minimizing carbon footprint.</w:t>
      </w:r>
    </w:p>
    <w:p>
      <w:pPr>
        <w:pStyle w:val="BodyText"/>
      </w:pPr>
      <w:r>
        <w:rPr>
          <w:b/>
        </w:rPr>
        <w:t xml:space="preserve">Hybrid Pricing Strategy</w:t>
      </w:r>
      <w:r>
        <w:t xml:space="preserve">: A pricing approach that combines elements from two or more distinct pricing models (e.g., subscription + usage-based, freemium + tiered) to leverage their respective strengths and mitigate weaknesses.</w:t>
      </w:r>
    </w:p>
    <w:p>
      <w:pPr>
        <w:pStyle w:val="BodyText"/>
      </w:pPr>
      <w:r>
        <w:rPr>
          <w:b/>
        </w:rPr>
        <w:t xml:space="preserve">Large Language Model (LLM)</w:t>
      </w:r>
      <w:r>
        <w:t xml:space="preserve">: A type of generative AI model trained on massive amounts of text data, capable of understanding, generating, and translating human-like text.</w:t>
      </w:r>
    </w:p>
    <w:p>
      <w:pPr>
        <w:pStyle w:val="BodyText"/>
      </w:pPr>
      <w:r>
        <w:rPr>
          <w:b/>
        </w:rPr>
        <w:t xml:space="preserve">Machine Learning (ML)</w:t>
      </w:r>
      <w:r>
        <w:t xml:space="preserve">: A subset of AI that enables systems to learn from data, identify patterns, and make decisions with minimal human intervention.</w:t>
      </w:r>
    </w:p>
    <w:p>
      <w:pPr>
        <w:pStyle w:val="BodyText"/>
      </w:pPr>
      <w:r>
        <w:rPr>
          <w:b/>
        </w:rPr>
        <w:t xml:space="preserve">Multimodal AI</w:t>
      </w:r>
      <w:r>
        <w:t xml:space="preserve">: AI systems capable of processing and understanding information from multiple modalities, such as text, images, audio, and video, simultaneously.</w:t>
      </w:r>
    </w:p>
    <w:p>
      <w:pPr>
        <w:pStyle w:val="BodyText"/>
      </w:pPr>
      <w:r>
        <w:rPr>
          <w:b/>
        </w:rPr>
        <w:t xml:space="preserve">Opacity (of AI)</w:t>
      </w:r>
      <w:r>
        <w:t xml:space="preserve">: Refers to the lack of transparency or interpretability in an AI system’s internal workings or decision-making processes, often associated with</w:t>
      </w:r>
      <w:r>
        <w:t xml:space="preserve"> </w:t>
      </w:r>
      <w:r>
        <w:t xml:space="preserve">“</w:t>
      </w:r>
      <w:r>
        <w:t xml:space="preserve">black box</w:t>
      </w:r>
      <w:r>
        <w:t xml:space="preserve">”</w:t>
      </w:r>
      <w:r>
        <w:t xml:space="preserve"> </w:t>
      </w:r>
      <w:r>
        <w:t xml:space="preserve">models.</w:t>
      </w:r>
    </w:p>
    <w:p>
      <w:pPr>
        <w:pStyle w:val="BodyText"/>
      </w:pPr>
      <w:r>
        <w:rPr>
          <w:b/>
        </w:rPr>
        <w:t xml:space="preserve">Prompt Engineering</w:t>
      </w:r>
      <w:r>
        <w:t xml:space="preserve">: The process of carefully designing and refining the input (prompt) given to a generative AI model to elicit desired and high-quality outputs.</w:t>
      </w:r>
    </w:p>
    <w:p>
      <w:pPr>
        <w:pStyle w:val="BodyText"/>
      </w:pPr>
      <w:r>
        <w:rPr>
          <w:b/>
        </w:rPr>
        <w:t xml:space="preserve">SaaS (Software-as-a-Service)</w:t>
      </w:r>
      <w:r>
        <w:t xml:space="preserve">: A software distribution model where a third-party provider hosts applications and makes them available to customers over the internet, typically on a subscription basis.</w:t>
      </w:r>
    </w:p>
    <w:p>
      <w:pPr>
        <w:pStyle w:val="BodyText"/>
      </w:pPr>
      <w:r>
        <w:rPr>
          <w:b/>
        </w:rPr>
        <w:t xml:space="preserve">Subscription-Based Pricing</w:t>
      </w:r>
      <w:r>
        <w:t xml:space="preserve">: A business model where customers pay a recurring fee (e.g., monthly, annually) for access to a product or service.</w:t>
      </w:r>
    </w:p>
    <w:p>
      <w:pPr>
        <w:pStyle w:val="BodyText"/>
      </w:pPr>
      <w:r>
        <w:rPr>
          <w:b/>
        </w:rPr>
        <w:t xml:space="preserve">Token</w:t>
      </w:r>
      <w:r>
        <w:t xml:space="preserve">: The fundamental unit of text or data processed by a large language model. A token can be a word, a subword, or even a single character, depending on the tokenizer used.</w:t>
      </w:r>
    </w:p>
    <w:p>
      <w:pPr>
        <w:pStyle w:val="BodyText"/>
      </w:pPr>
      <w:r>
        <w:rPr>
          <w:b/>
        </w:rPr>
        <w:t xml:space="preserve">Token-Based Pricing</w:t>
      </w:r>
      <w:r>
        <w:t xml:space="preserve">: A specific form of usage-based pricing for generative AI, where users are charged based on the number of tokens processed by the AI model for both input and output.</w:t>
      </w:r>
    </w:p>
    <w:p>
      <w:pPr>
        <w:pStyle w:val="BodyText"/>
      </w:pPr>
      <w:r>
        <w:rPr>
          <w:b/>
        </w:rPr>
        <w:t xml:space="preserve">Triple Helix Model</w:t>
      </w:r>
      <w:r>
        <w:t xml:space="preserve">: A framework that examines the interactions between university, industry, and government as key drivers of innovation and economic development, relevant to value creation in AI ecosystems.</w:t>
      </w:r>
    </w:p>
    <w:p>
      <w:pPr>
        <w:pStyle w:val="BodyText"/>
      </w:pPr>
      <w:r>
        <w:rPr>
          <w:b/>
        </w:rPr>
        <w:t xml:space="preserve">Usage-Based Pricing</w:t>
      </w:r>
      <w:r>
        <w:t xml:space="preserve">: A pricing model where customers are charged based on their actual consumption of a service, rather than a fixed fee or subscription. Also known as pay-as-you-go.</w:t>
      </w:r>
    </w:p>
    <w:p>
      <w:pPr>
        <w:pStyle w:val="BodyText"/>
      </w:pPr>
      <w:r>
        <w:rPr>
          <w:b/>
        </w:rPr>
        <w:t xml:space="preserve">Value-Based Pricing</w:t>
      </w:r>
      <w:r>
        <w:t xml:space="preserve">: A strategic pricing approach where the price of a product or service is determined primarily by the customer’s perceived value of that product or service, rather than by the seller’s cost or by competitors’ prices.</w:t>
      </w:r>
    </w:p>
    <w:p>
      <w:r>
        <w:pict>
          <v:rect style="width:0;height:1.5pt" o:hralign="center" o:hrstd="t" o:hr="t"/>
        </w:pict>
      </w:r>
    </w:p>
    <w:p>
      <w:pPr>
        <w:pStyle w:val="Heading2"/>
      </w:pPr>
      <w:bookmarkStart w:id="123" w:name="references"/>
      <w:r>
        <w:t xml:space="preserve">References</w:t>
      </w:r>
      <w:bookmarkEnd w:id="123"/>
    </w:p>
    <w:p>
      <w:pPr>
        <w:pStyle w:val="FirstParagraph"/>
      </w:pPr>
      <w:r>
        <w:t xml:space="preserve">Ayata. (2020). Old abuses in new markets? Dealing with excessive pricing by a two-sided platform.</w:t>
      </w:r>
      <w:r>
        <w:t xml:space="preserve"> </w:t>
      </w:r>
      <w:r>
        <w:rPr>
          <w:i/>
        </w:rPr>
        <w:t xml:space="preserve">Journal of Antitrust Enforcement</w:t>
      </w:r>
      <w:r>
        <w:t xml:space="preserve">. https://doi.org/10.1093/jaenfo/jnaa008.</w:t>
      </w:r>
    </w:p>
    <w:p>
      <w:pPr>
        <w:pStyle w:val="BodyText"/>
      </w:pPr>
      <w:r>
        <w:t xml:space="preserve">Barbere, Martin, Thornton, Harris, &amp; Thompson. (2024).</w:t>
      </w:r>
      <w:r>
        <w:t xml:space="preserve"> </w:t>
      </w:r>
      <w:r>
        <w:rPr>
          <w:i/>
        </w:rPr>
        <w:t xml:space="preserve">Dynamic Token Hierarchies: Enhancing Large Language Models with a Multi-Tiered Token Processing Framework</w:t>
      </w:r>
      <w:r>
        <w:t xml:space="preserve">. TechRxiv. https://doi.org/10.36227/techrxiv.172971998.83622138/v1</w:t>
      </w:r>
    </w:p>
    <w:p>
      <w:pPr>
        <w:pStyle w:val="BodyText"/>
      </w:pPr>
      <w:r>
        <w:t xml:space="preserve">Bhuram. (2025). Edge-Cloud AI for Dynamic Pricing in Automotive Aftermarkets: A Federated Reinforcement Learning Approach for Multi-Tier Ecosystems.</w:t>
      </w:r>
      <w:r>
        <w:t xml:space="preserve"> </w:t>
      </w:r>
      <w:r>
        <w:rPr>
          <w:i/>
        </w:rPr>
        <w:t xml:space="preserve">World Journal of Advanced Engineering and Technology Sciences (WJAETS)</w:t>
      </w:r>
      <w:r>
        <w:t xml:space="preserve">. https://doi.org/10.30574/wjaets.2025.15.3.0909.</w:t>
      </w:r>
    </w:p>
    <w:p>
      <w:pPr>
        <w:pStyle w:val="BodyText"/>
      </w:pPr>
      <w:r>
        <w:t xml:space="preserve">De. (2017).</w:t>
      </w:r>
      <w:r>
        <w:t xml:space="preserve"> </w:t>
      </w:r>
      <w:r>
        <w:rPr>
          <w:i/>
        </w:rPr>
        <w:t xml:space="preserve">API Monetization</w:t>
      </w:r>
      <w:r>
        <w:t xml:space="preserve">. Springer. https://doi.org/10.1007/978-1-4842-1305-6_8</w:t>
      </w:r>
    </w:p>
    <w:p>
      <w:pPr>
        <w:pStyle w:val="BodyText"/>
      </w:pPr>
      <w:r>
        <w:t xml:space="preserve">Divakaruni, &amp; Navarro. (2024).</w:t>
      </w:r>
      <w:r>
        <w:t xml:space="preserve"> </w:t>
      </w:r>
      <w:r>
        <w:rPr>
          <w:i/>
        </w:rPr>
        <w:t xml:space="preserve">Technology Adoption and Pricing: Evidence from US Airlines</w:t>
      </w:r>
      <w:r>
        <w:t xml:space="preserve">. SSRN. https://doi.org/10.2139/ssrn.4718902</w:t>
      </w:r>
    </w:p>
    <w:p>
      <w:pPr>
        <w:pStyle w:val="BodyText"/>
      </w:pPr>
      <w:r>
        <w:t xml:space="preserve">Fang, &amp; Zhou. (2025).</w:t>
      </w:r>
      <w:r>
        <w:t xml:space="preserve"> </w:t>
      </w:r>
      <w:r>
        <w:rPr>
          <w:i/>
        </w:rPr>
        <w:t xml:space="preserve">Understanding the Impacts of Human-Like Competencies on Users’ Willingness to Pay for Ai Companion Services: A Mixed-Method Approach</w:t>
      </w:r>
      <w:r>
        <w:t xml:space="preserve">. SSRN. https://doi.org/10.2139/ssrn.5333712</w:t>
      </w:r>
    </w:p>
    <w:p>
      <w:pPr>
        <w:pStyle w:val="BodyText"/>
      </w:pPr>
      <w:r>
        <w:t xml:space="preserve">Kaaniche, &amp; Laurent. (2018). BDUA: Blockchain-Based Data Usage Auditing. IEEE. https://doi.org/10.1109/cloud.2018.00087</w:t>
      </w:r>
    </w:p>
    <w:p>
      <w:pPr>
        <w:pStyle w:val="BodyText"/>
      </w:pPr>
      <w:r>
        <w:t xml:space="preserve">Korinek. (2025).</w:t>
      </w:r>
      <w:r>
        <w:t xml:space="preserve"> </w:t>
      </w:r>
      <w:r>
        <w:rPr>
          <w:i/>
        </w:rPr>
        <w:t xml:space="preserve">AI Agents for Economic Research</w:t>
      </w:r>
      <w:r>
        <w:t xml:space="preserve">. National Bureau of Economic Research (NBER). https://doi.org/10.3386/w34202</w:t>
      </w:r>
    </w:p>
    <w:p>
      <w:pPr>
        <w:pStyle w:val="BodyText"/>
      </w:pPr>
      <w:r>
        <w:t xml:space="preserve">Kshirsagar, More, Lahoti, Adgaonkar, Jain, Ryan, &amp; Kshirsagar. (2021). GREE-COCO: Green Artificial Intelligence Powered Cost Pricing Models for Congestion Control. SciTePress. https://doi.org/10.5220/0010261209160923</w:t>
      </w:r>
    </w:p>
    <w:p>
      <w:pPr>
        <w:pStyle w:val="BodyText"/>
      </w:pPr>
      <w:r>
        <w:t xml:space="preserve">Ladas, Kavadias, &amp; Loch. (2019).</w:t>
      </w:r>
      <w:r>
        <w:t xml:space="preserve"> </w:t>
      </w:r>
      <w:r>
        <w:rPr>
          <w:i/>
        </w:rPr>
        <w:t xml:space="preserve">Product Selling Versus Pay-Per-Use Services: A Strategic Analysis of Competing Business Models</w:t>
      </w:r>
      <w:r>
        <w:t xml:space="preserve">. SSRN. https://doi.org/10.2139/ssrn.3356458</w:t>
      </w:r>
    </w:p>
    <w:p>
      <w:pPr>
        <w:pStyle w:val="BodyText"/>
      </w:pPr>
      <w:r>
        <w:t xml:space="preserve">Lorente. (2025). Value Creation and Value Capture in AI: A Triple Helix Model.</w:t>
      </w:r>
      <w:r>
        <w:t xml:space="preserve"> </w:t>
      </w:r>
      <w:r>
        <w:rPr>
          <w:i/>
        </w:rPr>
        <w:t xml:space="preserve">AI Ethics and Society</w:t>
      </w:r>
      <w:r>
        <w:t xml:space="preserve">. https://doi.org/10.1609/aies.v8i2.36662.</w:t>
      </w:r>
    </w:p>
    <w:p>
      <w:pPr>
        <w:pStyle w:val="BodyText"/>
      </w:pPr>
      <w:r>
        <w:t xml:space="preserve">Maguire. (2021).</w:t>
      </w:r>
      <w:r>
        <w:t xml:space="preserve"> </w:t>
      </w:r>
      <w:r>
        <w:rPr>
          <w:i/>
        </w:rPr>
        <w:t xml:space="preserve">Value selling</w:t>
      </w:r>
      <w:r>
        <w:t xml:space="preserve">. Routledge. https://doi.org/10.4324/9781003177937-20</w:t>
      </w:r>
    </w:p>
    <w:p>
      <w:pPr>
        <w:pStyle w:val="BodyText"/>
      </w:pPr>
      <w:r>
        <w:t xml:space="preserve">Mirghaderi, Sziron, &amp; Hildt. (2023). Ethics and Transparency Issues in Digital Platforms: An Overview.</w:t>
      </w:r>
      <w:r>
        <w:t xml:space="preserve"> </w:t>
      </w:r>
      <w:r>
        <w:rPr>
          <w:i/>
        </w:rPr>
        <w:t xml:space="preserve">AI</w:t>
      </w:r>
      <w:r>
        <w:t xml:space="preserve">. https://doi.org/10.3390/ai4040042.</w:t>
      </w:r>
    </w:p>
    <w:p>
      <w:pPr>
        <w:pStyle w:val="BodyText"/>
      </w:pPr>
      <w:r>
        <w:t xml:space="preserve">Niharika, Hareesh, &amp; Ariwa. (2024).</w:t>
      </w:r>
      <w:r>
        <w:t xml:space="preserve"> </w:t>
      </w:r>
      <w:r>
        <w:rPr>
          <w:i/>
        </w:rPr>
        <w:t xml:space="preserve">Pricing Optimisation Using Predictive Analytics</w:t>
      </w:r>
      <w:r>
        <w:t xml:space="preserve">. CRC Press. https://doi.org/10.1201/9781003472544-8</w:t>
      </w:r>
    </w:p>
    <w:p>
      <w:pPr>
        <w:pStyle w:val="BodyText"/>
      </w:pPr>
      <w:r>
        <w:t xml:space="preserve">Rudnytskyi. (2022).</w:t>
      </w:r>
      <w:r>
        <w:t xml:space="preserve"> </w:t>
      </w:r>
      <w:r>
        <w:rPr>
          <w:i/>
        </w:rPr>
        <w:t xml:space="preserve">openai: R Wrapper for OpenAI API</w:t>
      </w:r>
      <w:r>
        <w:t xml:space="preserve">. CRAN. https://doi.org/10.32614/cran.package.openai</w:t>
      </w:r>
    </w:p>
    <w:p>
      <w:pPr>
        <w:pStyle w:val="BodyText"/>
      </w:pPr>
      <w:r>
        <w:t xml:space="preserve">Satapathi. (2025).</w:t>
      </w:r>
      <w:r>
        <w:t xml:space="preserve"> </w:t>
      </w:r>
      <w:r>
        <w:rPr>
          <w:i/>
        </w:rPr>
        <w:t xml:space="preserve">Pricing tiers of Azure AI Language Service</w:t>
      </w:r>
      <w:r>
        <w:t xml:space="preserve">. Springer. https://doi.org/10.1007/979-8-8688-1333-7_4</w:t>
      </w:r>
    </w:p>
    <w:p>
      <w:pPr>
        <w:pStyle w:val="BodyText"/>
      </w:pPr>
      <w:r>
        <w:t xml:space="preserve">Seufert. (2014).</w:t>
      </w:r>
      <w:r>
        <w:t xml:space="preserve"> </w:t>
      </w:r>
      <w:r>
        <w:rPr>
          <w:i/>
        </w:rPr>
        <w:t xml:space="preserve">Analytics and Freemium Products</w:t>
      </w:r>
      <w:r>
        <w:t xml:space="preserve">. Elsevier. https://doi.org/10.1016/b978-0-12-416690-5.00002-6</w:t>
      </w:r>
    </w:p>
    <w:p>
      <w:pPr>
        <w:pStyle w:val="BodyText"/>
      </w:pPr>
      <w:r>
        <w:t xml:space="preserve">Siddannavar, Khan, &amp; Takalkar. (2025). Analysis of Psychological Factors Affecting Customer Lifetime Value on SaaS Platforms.</w:t>
      </w:r>
      <w:r>
        <w:t xml:space="preserve"> </w:t>
      </w:r>
      <w:r>
        <w:rPr>
          <w:i/>
        </w:rPr>
        <w:t xml:space="preserve">International Journal of Financial Management and Research (IJFMR)</w:t>
      </w:r>
      <w:r>
        <w:t xml:space="preserve">. https://doi.org/10.36948/ijfmr.2025.v07i04.52064.</w:t>
      </w:r>
    </w:p>
    <w:p>
      <w:pPr>
        <w:pStyle w:val="BodyText"/>
      </w:pPr>
      <w:r>
        <w:t xml:space="preserve">Trad, &amp; Chehab. (2024). Large Multimodal Agents for Accurate Phishing Detection with Enhanced Token Optimization and Cost Reduction. IEEE. https://doi.org/10.1109/fllm63129.2024.10852444</w:t>
      </w:r>
    </w:p>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4fbe019a"/>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1"/>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aiethicsinstitute.org/" TargetMode="External"/><Relationship Id="rId115" Type="http://schemas.openxmlformats.org/officeDocument/2006/relationships/hyperlink" Target="https://azure.microsoft.com/en-us/pricing/details/cognitive-services/" TargetMode="External"/><Relationship Id="rId116" Type="http://schemas.openxmlformats.org/officeDocument/2006/relationships/hyperlink" Target="https://cloud.google.com/products/ai" TargetMode="External"/><Relationship Id="rId121" Type="http://schemas.openxmlformats.org/officeDocument/2006/relationships/hyperlink" Target="https://partnershiponai.org/" TargetMode="External"/><Relationship Id="rId113" Type="http://schemas.openxmlformats.org/officeDocument/2006/relationships/hyperlink" Target="https://platform.openai.com/docs/api-reference" TargetMode="External"/><Relationship Id="rId114" Type="http://schemas.openxmlformats.org/officeDocument/2006/relationships/hyperlink" Target="https://www.anthropic.com/pricing" TargetMode="External"/><Relationship Id="rId117" Type="http://schemas.openxmlformats.org/officeDocument/2006/relationships/hyperlink" Target="https://www.oecd.ai/ai-principles"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aiethicsinstitute.org/" TargetMode="External"/><Relationship Id="rId115" Type="http://schemas.openxmlformats.org/officeDocument/2006/relationships/hyperlink" Target="https://azure.microsoft.com/en-us/pricing/details/cognitive-services/" TargetMode="External"/><Relationship Id="rId116" Type="http://schemas.openxmlformats.org/officeDocument/2006/relationships/hyperlink" Target="https://cloud.google.com/products/ai" TargetMode="External"/><Relationship Id="rId121" Type="http://schemas.openxmlformats.org/officeDocument/2006/relationships/hyperlink" Target="https://partnershiponai.org/" TargetMode="External"/><Relationship Id="rId113" Type="http://schemas.openxmlformats.org/officeDocument/2006/relationships/hyperlink" Target="https://platform.openai.com/docs/api-reference" TargetMode="External"/><Relationship Id="rId114" Type="http://schemas.openxmlformats.org/officeDocument/2006/relationships/hyperlink" Target="https://www.anthropic.com/pricing" TargetMode="External"/><Relationship Id="rId117" Type="http://schemas.openxmlformats.org/officeDocument/2006/relationships/hyperlink" Target="https://www.oecd.ai/ai-princi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Pricing Models for Agentic AI Systems: From Token-Based to Value-Based Approaches</dc:title>
  <dc:creator>Academic Thesis AI (Multi-Agent System)</dc:creator>
  <cp:keywords/>
  <dcterms:created xsi:type="dcterms:W3CDTF">2025-11-14T19:41:01Z</dcterms:created>
  <dcterms:modified xsi:type="dcterms:W3CDTF">2025-11-14T19:41:01Z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ll_to_action">
    <vt:lpwstr>Want to write YOUR thesis with AI? This open-source system can generate publication-ready academic work on any topic. Get started at https://github.com/federicodeponte/academic-thesis-ai</vt:lpwstr>
  </property>
  <property fmtid="{D5CDD505-2E9C-101B-9397-08002B2CF9AE}" pid="3" name="citations_verified">
    <vt:lpwstr>20 academic references, all verified and cited</vt:lpwstr>
  </property>
  <property fmtid="{D5CDD505-2E9C-101B-9397-08002B2CF9AE}" pid="4" name="date">
    <vt:lpwstr>January 2025</vt:lpwstr>
  </property>
  <property fmtid="{D5CDD505-2E9C-101B-9397-08002B2CF9AE}" pid="5" name="generation_method">
    <vt:lpwstr>14 specialized AI agents (Research, Writing, Fact-Checking, Citation, Export)</vt:lpwstr>
  </property>
  <property fmtid="{D5CDD505-2E9C-101B-9397-08002B2CF9AE}" pid="6" name="github_repo">
    <vt:lpwstr>https://github.com/federicodeponte/academic-thesis-ai</vt:lpwstr>
  </property>
  <property fmtid="{D5CDD505-2E9C-101B-9397-08002B2CF9AE}" pid="7" name="license">
    <vt:lpwstr>MIT - Use it, fork it, improve it, publish with it</vt:lpwstr>
  </property>
  <property fmtid="{D5CDD505-2E9C-101B-9397-08002B2CF9AE}" pid="8" name="quality_score">
    <vt:lpwstr>A- (90/100) - Publication-ready for mid-tier academic journals</vt:lpwstr>
  </property>
  <property fmtid="{D5CDD505-2E9C-101B-9397-08002B2CF9AE}" pid="9" name="showcase_description">
    <vt:lpwstr>This complete 134-page thesis on AI pricing models was autonomously written, researched, fact-checked, and formatted by a multi-agent AI system. From literature review to value-based pricing frameworks to case studies—all AI-generated.</vt:lpwstr>
  </property>
  <property fmtid="{D5CDD505-2E9C-101B-9397-08002B2CF9AE}" pid="10" name="subtitle">
    <vt:lpwstr>AI-Generated Academic Thesis Showcase</vt:lpwstr>
  </property>
  <property fmtid="{D5CDD505-2E9C-101B-9397-08002B2CF9AE}" pid="11" name="system_capabilities">
    <vt:lpwstr>Research any academic topic • Generate original frameworks • Create case studies • Verify citations • Export to PDF/DOCX/HTML • Quality gates for academic integrity</vt:lpwstr>
  </property>
  <property fmtid="{D5CDD505-2E9C-101B-9397-08002B2CF9AE}" pid="12" name="system_creator">
    <vt:lpwstr>Federico De Ponte</vt:lpwstr>
  </property>
  <property fmtid="{D5CDD505-2E9C-101B-9397-08002B2CF9AE}" pid="13" name="visual_elements">
    <vt:lpwstr>4 tables, 2 figures, comprehensive appendices</vt:lpwstr>
  </property>
  <property fmtid="{D5CDD505-2E9C-101B-9397-08002B2CF9AE}" pid="14" name="word_count">
    <vt:lpwstr>29423 words across 134 pages</vt:lpwstr>
  </property>
</Properties>
</file>