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Pricing</w:t>
      </w:r>
      <w:r>
        <w:t xml:space="preserve"> </w:t>
      </w:r>
      <w:r>
        <w:t xml:space="preserve">Models</w:t>
      </w:r>
      <w:r>
        <w:t xml:space="preserve"> </w:t>
      </w:r>
      <w:r>
        <w:t xml:space="preserve">for</w:t>
      </w:r>
      <w:r>
        <w:t xml:space="preserve"> </w:t>
      </w:r>
      <w:r>
        <w:t xml:space="preserve">Agentic</w:t>
      </w:r>
      <w:r>
        <w:t xml:space="preserve"> </w:t>
      </w:r>
      <w:r>
        <w:t xml:space="preserve">AI</w:t>
      </w:r>
      <w:r>
        <w:t xml:space="preserve"> </w:t>
      </w:r>
      <w:r>
        <w:t xml:space="preserve">Systems:</w:t>
      </w:r>
      <w:r>
        <w:t xml:space="preserve"> </w:t>
      </w:r>
      <w:r>
        <w:t xml:space="preserve">From</w:t>
      </w:r>
      <w:r>
        <w:t xml:space="preserve"> </w:t>
      </w:r>
      <w:r>
        <w:t xml:space="preserve">Token-Based</w:t>
      </w:r>
      <w:r>
        <w:t xml:space="preserve"> </w:t>
      </w:r>
      <w:r>
        <w:t xml:space="preserve">to</w:t>
      </w:r>
      <w:r>
        <w:t xml:space="preserve"> </w:t>
      </w:r>
      <w:r>
        <w:t xml:space="preserve">Value-Based</w:t>
      </w:r>
      <w:r>
        <w:t xml:space="preserve"> </w:t>
      </w:r>
      <w:r>
        <w:t xml:space="preserve">Approaches</w:t>
      </w:r>
    </w:p>
    <w:p>
      <w:pPr>
        <w:pStyle w:val="Subtitle"/>
      </w:pPr>
      <w:r>
        <w:t xml:space="preserve">AI-Generated</w:t>
      </w:r>
      <w:r>
        <w:t xml:space="preserve"> </w:t>
      </w:r>
      <w:r>
        <w:t xml:space="preserve">Academic</w:t>
      </w:r>
      <w:r>
        <w:t xml:space="preserve"> </w:t>
      </w:r>
      <w:r>
        <w:t xml:space="preserve">Thesis</w:t>
      </w:r>
      <w:r>
        <w:t xml:space="preserve"> </w:t>
      </w:r>
      <w:r>
        <w:t xml:space="preserve">Showcase</w:t>
      </w:r>
    </w:p>
    <w:p>
      <w:pPr>
        <w:pStyle w:val="Author"/>
      </w:pPr>
      <w:r>
        <w:t xml:space="preserve">Academic</w:t>
      </w:r>
      <w:r>
        <w:t xml:space="preserve"> </w:t>
      </w:r>
      <w:r>
        <w:t xml:space="preserve">Thesis</w:t>
      </w:r>
      <w:r>
        <w:t xml:space="preserve"> </w:t>
      </w:r>
      <w:r>
        <w:t xml:space="preserve">AI</w:t>
      </w:r>
      <w:r>
        <w:t xml:space="preserve"> </w:t>
      </w:r>
      <w:r>
        <w:t xml:space="preserve">(Multi-Agent</w:t>
      </w:r>
      <w:r>
        <w:t xml:space="preserve"> </w:t>
      </w:r>
      <w:r>
        <w:t xml:space="preserve">System)</w:t>
      </w:r>
    </w:p>
    <w:p>
      <w:pPr>
        <w:pStyle w:val="Date"/>
      </w:pPr>
      <w:r>
        <w:t xml:space="preserve">January</w:t>
      </w:r>
      <w:r>
        <w:t xml:space="preserve"> </w:t>
      </w:r>
      <w:r>
        <w:t xml:space="preserve">2025</w:t>
      </w:r>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Table of Contents</w:t>
      </w:r>
    </w:p>
    <w:p>
      <w:pPr/>
      <w:r>
        <w:t xml:space="preserve">  Abstract</w:t>
      </w:r>
    </w:p>
    <w:p>
      <w:pPr/>
      <w:r>
        <w:t xml:space="preserve">  Introduction</w:t>
      </w:r>
    </w:p>
    <w:p>
      <w:pPr/>
      <w:r>
        <w:t>Literature Review</w:t>
      </w:r>
    </w:p>
    <w:p>
      <w:pPr/>
      <w:r>
        <w:t xml:space="preserve">    1.1 Evolution and Conceptual Foundations of AI Pricing</w:t>
      </w:r>
    </w:p>
    <w:p>
      <w:pPr/>
      <w:r>
        <w:t xml:space="preserve">    1.2 Token-Based Pricing Models</w:t>
      </w:r>
    </w:p>
    <w:p>
      <w:pPr/>
      <w:r>
        <w:t xml:space="preserve">    1.3 Usage-Based Pricing Models</w:t>
      </w:r>
    </w:p>
    <w:p>
      <w:pPr/>
      <w:r>
        <w:t xml:space="preserve">    1.4 Value-Based Pricing Theory and its Application to AI</w:t>
      </w:r>
    </w:p>
    <w:p>
      <w:pPr/>
      <w:r>
        <w:t xml:space="preserve">    1.5 Comparative Analysis and Emerging Trends</w:t>
      </w:r>
    </w:p>
    <w:p>
      <w:pPr/>
      <w:r>
        <w:t xml:space="preserve">    Comparative Analysis of AI Pricing Model Characteristics</w:t>
      </w:r>
    </w:p>
    <w:p>
      <w:pPr/>
      <w:r>
        <w:t>Methodology</w:t>
      </w:r>
    </w:p>
    <w:p>
      <w:pPr/>
      <w:r>
        <w:t xml:space="preserve">    3.1. Framework for Comparing AI Pricing Models</w:t>
      </w:r>
    </w:p>
    <w:p>
      <w:pPr/>
      <w:r>
        <w:t xml:space="preserve">    Conceptual Framework for Agentic AI Value Capture</w:t>
      </w:r>
    </w:p>
    <w:p>
      <w:pPr/>
      <w:r>
        <w:t xml:space="preserve">    3.2. Case Study Selection Criteria</w:t>
      </w:r>
    </w:p>
    <w:p>
      <w:pPr/>
      <w:r>
        <w:t xml:space="preserve">    3.3. Analysis Approach</w:t>
      </w:r>
    </w:p>
    <w:p>
      <w:pPr/>
      <w:r>
        <w:t>4. Analysis</w:t>
      </w:r>
    </w:p>
    <w:p>
      <w:pPr/>
      <w:r>
        <w:t xml:space="preserve">  4.1 Comparison of Pricing Models</w:t>
      </w:r>
    </w:p>
    <w:p>
      <w:pPr/>
      <w:r>
        <w:t xml:space="preserve">    4.1.1 Token-Based Pricing</w:t>
      </w:r>
    </w:p>
    <w:p>
      <w:pPr/>
      <w:r>
        <w:t xml:space="preserve">    4.1.2 API Call/Request-Based Pricing</w:t>
      </w:r>
    </w:p>
    <w:p>
      <w:pPr/>
      <w:r>
        <w:t xml:space="preserve">    4.1.3 Feature/Capability-Based Pricing</w:t>
      </w:r>
    </w:p>
    <w:p>
      <w:pPr/>
      <w:r>
        <w:t xml:space="preserve">    4.1.4 Performance/Outcome-Based Pricing</w:t>
      </w:r>
    </w:p>
    <w:p>
      <w:pPr/>
      <w:r>
        <w:t xml:space="preserve">    4.1.5 Subscription/Tiered Access Models</w:t>
      </w:r>
    </w:p>
    <w:p>
      <w:pPr/>
      <w:r>
        <w:t xml:space="preserve">    4.1.6 Hybrid and Custom Models</w:t>
      </w:r>
    </w:p>
    <w:p>
      <w:pPr/>
      <w:r>
        <w:t xml:space="preserve">  4.2 Advantages and Disadvantages of Different Models</w:t>
      </w:r>
    </w:p>
    <w:p>
      <w:pPr/>
      <w:r>
        <w:t xml:space="preserve">    4.2.1 Token-Based Pricing</w:t>
      </w:r>
    </w:p>
    <w:p>
      <w:pPr/>
      <w:r>
        <w:t xml:space="preserve">    4.2.2 API Call/Request-Based Pricing</w:t>
      </w:r>
    </w:p>
    <w:p>
      <w:pPr/>
      <w:r>
        <w:t xml:space="preserve">    4.2.3 Feature/Capability-Based Pricing</w:t>
      </w:r>
    </w:p>
    <w:p>
      <w:pPr/>
      <w:r>
        <w:t xml:space="preserve">    4.2.4 Performance/Outcome-Based Pricing</w:t>
      </w:r>
    </w:p>
    <w:p>
      <w:pPr/>
      <w:r>
        <w:t xml:space="preserve">    4.2.5 Subscription/Tiered Access Models</w:t>
      </w:r>
    </w:p>
    <w:p>
      <w:pPr/>
      <w:r>
        <w:t xml:space="preserve">    4.2.6 Overarching Challenges in AI Pricing</w:t>
      </w:r>
    </w:p>
    <w:p>
      <w:pPr/>
      <w:r>
        <w:t xml:space="preserve">  4.3 Real-World Examples and Case Studies</w:t>
      </w:r>
    </w:p>
    <w:p>
      <w:pPr/>
      <w:r>
        <w:t xml:space="preserve">    4.3.1 OpenAI’s Approach</w:t>
      </w:r>
    </w:p>
    <w:p>
      <w:pPr/>
      <w:r>
        <w:t xml:space="preserve">    Comparative Token Pricing for Leading LLMs</w:t>
      </w:r>
    </w:p>
    <w:p>
      <w:pPr/>
      <w:r>
        <w:t xml:space="preserve">    4.3.2 Anthropic’s Claude Models</w:t>
      </w:r>
    </w:p>
    <w:p>
      <w:pPr/>
      <w:r>
        <w:t xml:space="preserve">    4.3.3 Google Cloud AI Services</w:t>
      </w:r>
    </w:p>
    <w:p>
      <w:pPr/>
      <w:r>
        <w:t xml:space="preserve">    Overview of Google Cloud and AWS AI Service Pricing</w:t>
      </w:r>
    </w:p>
    <w:p>
      <w:pPr/>
      <w:r>
        <w:t xml:space="preserve">    4.3.4 AWS AI/ML Services</w:t>
      </w:r>
    </w:p>
    <w:p>
      <w:pPr/>
      <w:r>
        <w:t xml:space="preserve">    4.3.5 Niche AI Agents/Platforms</w:t>
      </w:r>
    </w:p>
    <w:p>
      <w:pPr/>
      <w:r>
        <w:t xml:space="preserve">    4.3.6 Implications of Case Studies for Broader Market</w:t>
      </w:r>
    </w:p>
    <w:p>
      <w:pPr/>
      <w:r>
        <w:t xml:space="preserve">  4.4 Hybrid Pricing Approaches and Future Directions</w:t>
      </w:r>
    </w:p>
    <w:p>
      <w:pPr/>
      <w:r>
        <w:t xml:space="preserve">    4.4.1 Rationale for Hybrid Models</w:t>
      </w:r>
    </w:p>
    <w:p>
      <w:pPr/>
      <w:r>
        <w:t xml:space="preserve">    4.4.2 Examples of Hybrid Models in Practice</w:t>
      </w:r>
    </w:p>
    <w:p>
      <w:pPr/>
      <w:r>
        <w:t xml:space="preserve">    Components and Benefits of Hybrid AI Pricing Models</w:t>
      </w:r>
    </w:p>
    <w:p>
      <w:pPr/>
      <w:r>
        <w:t xml:space="preserve">    4.4.3 Designing Effective Hybrid Models</w:t>
      </w:r>
    </w:p>
    <w:p>
      <w:pPr/>
      <w:r>
        <w:t xml:space="preserve">    4.4.4 Role of Agentic AI in Future Pricing</w:t>
      </w:r>
    </w:p>
    <w:p>
      <w:pPr/>
      <w:r>
        <w:t xml:space="preserve">    Agent-to-Agent Micro-Transaction Flow</w:t>
      </w:r>
    </w:p>
    <w:p>
      <w:pPr/>
      <w:r>
        <w:t xml:space="preserve">    4.4.5 Regulatory and Ethical Considerations for Advanced Pricing</w:t>
      </w:r>
    </w:p>
    <w:p>
      <w:pPr/>
      <w:r>
        <w:t xml:space="preserve">    4.4.6 Future Outlook and Research Gaps</w:t>
      </w:r>
    </w:p>
    <w:p>
      <w:pPr/>
      <w:r>
        <w:t>Discussion</w:t>
      </w:r>
    </w:p>
    <w:p>
      <w:pPr/>
      <w:r>
        <w:t xml:space="preserve">    Implications for AI Companies</w:t>
      </w:r>
    </w:p>
    <w:p>
      <w:pPr/>
      <w:r>
        <w:t xml:space="preserve">    Customer Adoption Considerations</w:t>
      </w:r>
    </w:p>
    <w:p>
      <w:pPr/>
      <w:r>
        <w:t xml:space="preserve">    Future Pricing Trends for Agentic AI</w:t>
      </w:r>
    </w:p>
    <w:p>
      <w:pPr/>
      <w:r>
        <w:t xml:space="preserve">    Recommendations</w:t>
      </w:r>
    </w:p>
    <w:p>
      <w:pPr/>
      <w:r>
        <w:t xml:space="preserve">  Limitations</w:t>
      </w:r>
    </w:p>
    <w:p>
      <w:pPr/>
      <w:r>
        <w:t xml:space="preserve">    Methodological Limitations</w:t>
      </w:r>
    </w:p>
    <w:p>
      <w:pPr/>
      <w:r>
        <w:t xml:space="preserve">    Scope and Generalizability</w:t>
      </w:r>
    </w:p>
    <w:p>
      <w:pPr/>
      <w:r>
        <w:t xml:space="preserve">    Temporal and Contextual Constraints</w:t>
      </w:r>
    </w:p>
    <w:p>
      <w:pPr/>
      <w:r>
        <w:t xml:space="preserve">    Theoretical and Conceptual Limitations</w:t>
      </w:r>
    </w:p>
    <w:p>
      <w:pPr/>
      <w:r>
        <w:t xml:space="preserve">    Data and Empirical Validation</w:t>
      </w:r>
    </w:p>
    <w:p>
      <w:pPr/>
      <w:r>
        <w:t xml:space="preserve">  Future Research Directions</w:t>
      </w:r>
    </w:p>
    <w:p>
      <w:pPr/>
      <w:r>
        <w:t xml:space="preserve">    1. Empirical Validation and Large-Scale Quantitative Studies</w:t>
      </w:r>
    </w:p>
    <w:p>
      <w:pPr/>
      <w:r>
        <w:t xml:space="preserve">    2. Advanced Value Attribution and Econometric Modeling</w:t>
      </w:r>
    </w:p>
    <w:p>
      <w:pPr/>
      <w:r>
        <w:t xml:space="preserve">    3. Socio-Economic Impact of AI Pricing Models</w:t>
      </w:r>
    </w:p>
    <w:p>
      <w:pPr/>
      <w:r>
        <w:t xml:space="preserve">    4. Regulatory Frameworks for Dynamic and Decentralized AI Economies</w:t>
      </w:r>
    </w:p>
    <w:p>
      <w:pPr/>
      <w:r>
        <w:t xml:space="preserve">    5. User Psychology and Trust in Agentic Pricing</w:t>
      </w:r>
    </w:p>
    <w:p>
      <w:pPr/>
      <w:r>
        <w:t xml:space="preserve">    6. Standardization of AI Metering and Performance Metrics</w:t>
      </w:r>
    </w:p>
    <w:p>
      <w:pPr/>
      <w:r>
        <w:t xml:space="preserve">    7. Impact of Emerging AI Architectures on Pricing</w:t>
      </w:r>
    </w:p>
    <w:p>
      <w:pPr/>
      <w:r>
        <w:t xml:space="preserve">  Conclusion</w:t>
      </w:r>
    </w:p>
    <w:p>
      <w:pPr/>
      <w:r>
        <w:t xml:space="preserve">  Appendix A: Economic Framework for Agentic AI Pricing</w:t>
      </w:r>
    </w:p>
    <w:p>
      <w:pPr/>
      <w:r>
        <w:t xml:space="preserve">    A.1 Core Principles of Agentic Value Creation</w:t>
      </w:r>
    </w:p>
    <w:p>
      <w:pPr/>
      <w:r>
        <w:t xml:space="preserve">    A.2 Proposed Framework for Value Attribution</w:t>
      </w:r>
    </w:p>
    <w:p>
      <w:pPr/>
      <w:r>
        <w:t xml:space="preserve">    A.3 Interaction Dynamics and Pricing Complexity</w:t>
      </w:r>
    </w:p>
    <w:p>
      <w:pPr/>
      <w:r>
        <w:t xml:space="preserve">    A.4 Ethical and Governance Layers</w:t>
      </w:r>
    </w:p>
    <w:p>
      <w:pPr/>
      <w:r>
        <w:t xml:space="preserve">  Appendix C: Detailed AI Pricing Scenario Projections</w:t>
      </w:r>
    </w:p>
    <w:p>
      <w:pPr/>
      <w:r>
        <w:t xml:space="preserve">    C.1 Scenario 1: Token-Based LLM Cost Projections for Content Generation</w:t>
      </w:r>
    </w:p>
    <w:p>
      <w:pPr/>
      <w:r>
        <w:t xml:space="preserve">    C.2 Scenario 2: Agentic Workflow Outcome-Based Savings for Fraud Detection</w:t>
      </w:r>
    </w:p>
    <w:p>
      <w:pPr/>
      <w:r>
        <w:t xml:space="preserve">    C.3 Cross-Model Cost-Benefit Comparison for AI Integration</w:t>
      </w:r>
    </w:p>
    <w:p>
      <w:pPr/>
      <w:r>
        <w:t xml:space="preserve">  Appendix D: Additional References and Resources</w:t>
      </w:r>
    </w:p>
    <w:p>
      <w:pPr/>
      <w:r>
        <w:t xml:space="preserve">    D.1 Foundational Texts</w:t>
      </w:r>
    </w:p>
    <w:p>
      <w:pPr/>
      <w:r>
        <w:t xml:space="preserve">    D.2 Key Research Papers</w:t>
      </w:r>
    </w:p>
    <w:p>
      <w:pPr/>
      <w:r>
        <w:t xml:space="preserve">    D.3 Online Resources and Reports</w:t>
      </w:r>
    </w:p>
    <w:p>
      <w:pPr/>
      <w:r>
        <w:t xml:space="preserve">    D.4 Software/Tools (for AI Pricing Analysis)</w:t>
      </w:r>
    </w:p>
    <w:p>
      <w:pPr/>
      <w:r>
        <w:t xml:space="preserve">    D.5 Professional Organizations</w:t>
      </w:r>
    </w:p>
    <w:p>
      <w:pPr/>
      <w:r>
        <w:t xml:space="preserve">  Appendix E: Glossary of Terms</w:t>
      </w:r>
    </w:p>
    <w:p>
      <w:pPr/>
      <w:r>
        <w:t xml:space="preserve">  References</w:t>
      </w:r>
      <w:r>
        <w:br w:type="page"/>
      </w:r>
    </w:p>
    <w:p>
      <w:pPr>
        <w:pStyle w:val="Heading2"/>
      </w:pPr>
      <w:bookmarkStart w:id="20" w:name="abstract"/>
      <w:r>
        <w:t xml:space="preserve">Abstract</w:t>
      </w:r>
      <w:bookmarkEnd w:id="20"/>
    </w:p>
    <w:p>
      <w:pPr>
        <w:pStyle w:val="FirstParagraph"/>
      </w:pPr>
      <w:r>
        <w:rPr>
          <w:b/>
        </w:rPr>
        <w:t xml:space="preserve">Research Problem and Approach:</w:t>
      </w:r>
      <w:r>
        <w:t xml:space="preserve"> </w:t>
      </w:r>
      <w:r>
        <w:t xml:space="preserve">The rise of agentic AI systems, capable of autonomous goal-pursuit and dynamic interaction, profoundly challenges traditional economic models for valuation and monetization. This thesis addresses the critical gap in current literature by exploring diverse pricing strategies for these advanced systems, moving beyond conventional input-based approaches to encompass agentic capabilities and emergent behaviors. The study aims to provide a robust theoretical foundation and practical insights to navigate this complex landscape.</w:t>
      </w:r>
    </w:p>
    <w:p>
      <w:pPr>
        <w:pStyle w:val="BodyText"/>
      </w:pPr>
      <w:r>
        <w:rPr>
          <w:b/>
        </w:rPr>
        <w:t xml:space="preserve">Methodology and Findings:</w:t>
      </w:r>
      <w:r>
        <w:t xml:space="preserve"> </w:t>
      </w:r>
      <w:r>
        <w:t xml:space="preserve">Employing a qualitative, multi-case study methodology, this research developed a comprehensive analytical framework for comparing AI pricing models across cost, value, market, regulatory, technical, and strategic dimensions. Key findings reveal a shift from opaque, input-based models towards more sophisticated hybrid and outcome-based strategies, driven by the need for enhanced value capture, predictability, and alignment with regulatory and ethical considerations. Case studies of leading AI providers illustrate the practical application and ongoing evolution of these models.</w:t>
      </w:r>
    </w:p>
    <w:p>
      <w:pPr>
        <w:pStyle w:val="BodyText"/>
      </w:pPr>
      <w:r>
        <w:rPr>
          <w:b/>
        </w:rPr>
        <w:t xml:space="preserve">Key Contributions:</w:t>
      </w:r>
      <w:r>
        <w:t xml:space="preserve"> </w:t>
      </w:r>
      <w:r>
        <w:t xml:space="preserve">(1) A novel, integrated economic framework for understanding agentic AI pricing, extending existing theories to account for autonomous AI attributes; (2) A comparative analysis of pricing models, delineating their strengths, weaknesses, and suitability for different agent capabilities and market contexts; (3) An integration of critical regulatory and ethical dimensions into AI monetization strategies, advocating for</w:t>
      </w:r>
      <w:r>
        <w:t xml:space="preserve"> </w:t>
      </w:r>
      <w:r>
        <w:t xml:space="preserve">“</w:t>
      </w:r>
      <w:r>
        <w:t xml:space="preserve">responsible AI pricing.</w:t>
      </w:r>
      <w:r>
        <w:t xml:space="preserve">”</w:t>
      </w:r>
    </w:p>
    <w:p>
      <w:pPr>
        <w:pStyle w:val="BodyText"/>
      </w:pPr>
      <w:r>
        <w:rPr>
          <w:b/>
        </w:rPr>
        <w:t xml:space="preserve">Implications:</w:t>
      </w:r>
      <w:r>
        <w:t xml:space="preserve"> </w:t>
      </w:r>
      <w:r>
        <w:t xml:space="preserve">The findings offer actionable insights for AI developers to design effective, fair pricing models and for businesses to make informed procurement decisions, optimize their AI investments, and negotiate more favorable terms. For policymakers, the research underscores the need for agile regulatory frameworks that foster innovation while safeguarding public interest. This work is instrumental in building a robust, equitable, and sustainable AI economy, ensuring the transformative potential of agentic AI benefits all stakeholders.</w:t>
      </w:r>
    </w:p>
    <w:p>
      <w:pPr>
        <w:pStyle w:val="BodyText"/>
      </w:pPr>
      <w:r>
        <w:rPr>
          <w:b/>
        </w:rPr>
        <w:t xml:space="preserve">Keywords:</w:t>
      </w:r>
      <w:r>
        <w:t xml:space="preserve"> </w:t>
      </w:r>
      <w:r>
        <w:t xml:space="preserve">Agentic AI, AI Pricing, Value-Based Pricing, Token-Based Pricing, Usage-Based Pricing, Hybrid Pricing Models, AI Monetization, Autonomous Systems, Economic Frameworks, AI Ethics, Regulatory Compliance, Machine Learning Economics, Artificial Intelligence.</w:t>
      </w:r>
    </w:p>
    <w:p>
      <w:pPr>
        <w:pStyle w:val="Heading2"/>
      </w:pPr>
      <w:bookmarkStart w:id="21" w:name="introduction"/>
      <w:r>
        <w:t xml:space="preserve">Introduction</w:t>
      </w:r>
      <w:bookmarkEnd w:id="21"/>
    </w:p>
    <w:p>
      <w:pPr>
        <w:pStyle w:val="FirstParagraph"/>
      </w:pPr>
      <w:r>
        <w:t xml:space="preserve">Artificial intelligence (AI) has brought about a period of immense technological change, profoundly altering industries, economies, and even society itself (OECD, 2022). Its applications are vast, from automating routine tasks to enhancing complex decisions, offering remarkable efficiency, fresh insights, and entirely new services (BCG, 2023). Yet, in this fast-changing world, a new and particularly powerful area is emerging: agentic AI systems. Unlike older AI that simply follows instructions, these systems act on their own, actively pursuing goals and interacting with dynamic environments. This marks a significant shift (Unknown, 2023). Agentic AI agents aren’t just tools—they’re sophisticated entities that can act, learn, and adapt independently, often managing complex tasks and making strategic choices with little human intervention (Gartner, 2024). This profound move from reactive to proactive AI means we must rethink our current economic models, especially how we value, price, and monetize these advanced, autonomous services. Effectively pricing agentic AI isn’t just a technical or commercial problem; it’s a fundamental economic and strategic necessity that will shape how quickly these powerful technologies are adopted, how markets compete, and how their value is fairly shared (European Commission, 2024).</w:t>
      </w:r>
    </w:p>
    <w:p>
      <w:pPr>
        <w:pStyle w:val="BodyText"/>
      </w:pPr>
      <w:r>
        <w:t xml:space="preserve">Generally, AI’s economic effects have drawn considerable academic and industry attention (OECD, 2022)(Brookings, 2022). Early on, discussions often centered on productivity boosts, job displacement, and the promise of new markets. However, the rise of highly autonomous agentic AI adds a layer of complexity our current economic frameworks aren’t fully prepared for (Unknown, 2023). Traditional pricing models, for instance, often rely on fixed costs, va</w:t>
      </w:r>
    </w:p>
    <w:p>
      <w:pPr>
        <w:pStyle w:val="Heading1"/>
      </w:pPr>
      <w:bookmarkStart w:id="22" w:name="literature-review"/>
      <w:r>
        <w:t xml:space="preserve">Literature Review</w:t>
      </w:r>
      <w:bookmarkEnd w:id="22"/>
    </w:p>
    <w:p>
      <w:pPr>
        <w:pStyle w:val="FirstParagraph"/>
      </w:pPr>
      <w:r>
        <w:t xml:space="preserve">The rapid advancements in artificial intelligence (AI), particularly in the realm of large language models (LLMs) and autonomous AI agents, have ushered in a new era of technological innovation and economic transformation (Unknown, 2023)(Gartner, 2024). As these sophisticated AI capabilities move from research labs to commercial applications, the mechanisms by which they are priced and monetized have become a critical area of inquiry (BCG, 2023). Traditional software and service pricing models often fall short in capturing the unique characteristics and value propositions of AI, necessitating a re-evaluation of economic frameworks (OECD, 2022). This literature review delves into the foundational theories and contemporary practices of AI pricing, critically examining token-based models, usage-based models, and the theoretical underpinnings of value-based pricing, with a specific focus on their implications for the burgeoning ecosystem of agentic AI. Furthermore, it explores the regulatory landscape and standardization efforts that seek to govern these evolving pricing paradigms.</w:t>
      </w:r>
    </w:p>
    <w:p>
      <w:pPr>
        <w:pStyle w:val="BodyText"/>
      </w:pPr>
      <w:r>
        <w:t xml:space="preserve">The economic impact of AI has been a subject of extensive discourse, with various frameworks proposed to understand its transformative potential (OECD, 2022)(RAND Corporation, 2021). Early discussions often centered on the productivity paradox and the challenges of measuring the true economic contribution of information technology (Brookings, 2022). However, with the advent of more generalized and powerful AI systems, the focus has shifted towards how these systems create and capture value in novel ways (BCG, 2023). AI’s ability to automate complex tasks, generate creative content, and derive insights from vast datasets fundamentally alters production functions and business models across industries (Unknown, 2023). Consequently, pricing strategies must adapt to reflect not only the cost of computation and development but also the inherent value generated by AI’s intelligence and autonomy. This review aims to synthesize existing knowledge, identify key trends, and highlight critical gaps in the literature concerning AI monetization, particularly as it pertains to the sophisticated interactions and decision-making capabilities of autonomous AI agents. The unique challenges of pricing agentic AI – which can dynamically interact with environments, make decisions, and execute tasks with minimal human intervention – require a nuanced understanding of economic principles and a forward-looking perspective on technological evolution.</w:t>
      </w:r>
    </w:p>
    <w:p>
      <w:pPr>
        <w:pStyle w:val="Heading3"/>
      </w:pPr>
      <w:bookmarkStart w:id="23" w:name="Xb36ecff9177fb3facf63ea30e7a9347ef01d1b4"/>
      <w:r>
        <w:t xml:space="preserve">1.1 Evolution and Conceptual Foundations of AI Pricing</w:t>
      </w:r>
      <w:bookmarkEnd w:id="23"/>
    </w:p>
    <w:p>
      <w:pPr>
        <w:pStyle w:val="FirstParagraph"/>
      </w:pPr>
      <w:r>
        <w:t xml:space="preserve">The history of pricing in technology markets offers a valuable lens through which to understand the current landscape of AI pricing. Initially, software was often sold as a one-time license, reflecting a product-centric approach (RAND Corporation, 2021). The rise of the internet and cloud computing, however, ushered in a paradigm shift towards service-oriented architectures and subscription-based or usage-based models (Unknown, 2022). This transition was driven by the desire for greater flexibility, scalability, and the ability to align costs more closely with actual consumption (AWS, 2023). AI services, by their very nature, are often delivered via cloud platforms and APIs, making them amenable to these modern pricing strategies. However, AI introduces additional layers of complexity due to its probabilistic outputs, continuous learning capabilities, and the inherent intellectual property embedded in its models and algorithms (Unknown, 2023).</w:t>
      </w:r>
    </w:p>
    <w:p>
      <w:pPr>
        <w:pStyle w:val="BodyText"/>
      </w:pPr>
      <w:r>
        <w:t xml:space="preserve">The conceptual foundations of AI pricing are rooted in several economic theories. Neoclassical economics suggests that prices are determined by the interaction of supply and demand, where the marginal cost of production plays a significant role. For AI services, the marginal cost of serving an additional user can be very low, especially for pre-trained models, leading to potential economies of scale (Unknown, 2023). However, the fixed costs of developing and training advanced AI models are incredibly high, creating a need for pricing strategies that can recoup these substantial upfront investments (BCG, 2023). Furthermore, information economics highlights the challenges of pricing intangible goods, asymmetric information between producers and consumers, and the network effects that often characterize technology platforms (Unknown, 2022). AI models can exhibit strong network effects, where their value increases with more users and data, further complicating traditional pricing approaches.</w:t>
      </w:r>
    </w:p>
    <w:p>
      <w:pPr>
        <w:pStyle w:val="BodyText"/>
      </w:pPr>
      <w:r>
        <w:t xml:space="preserve">Moreover, the nascent field of</w:t>
      </w:r>
      <w:r>
        <w:t xml:space="preserve"> </w:t>
      </w:r>
      <w:r>
        <w:t xml:space="preserve">“</w:t>
      </w:r>
      <w:r>
        <w:t xml:space="preserve">agentic AI monetization</w:t>
      </w:r>
      <w:r>
        <w:t xml:space="preserve">”</w:t>
      </w:r>
      <w:r>
        <w:t xml:space="preserve"> </w:t>
      </w:r>
      <w:r>
        <w:t xml:space="preserve">is prompting a re-evaluation of traditional economic frameworks (Gartner, 2024). Autonomous agents, by definition, possess a degree of decision-making autonomy and can execute tasks independently. This raises questions about who bears the cost of computational resources consumed by an agent, how the value generated by an agent is attributed, and what mechanisms are appropriate for charging for capabilities that may evolve and improve over time without direct human intervention (Unknown, 2023). The shift from human-driven interaction with AI tools to AI-driven interaction with other AI services or real-world systems requires new metering and billing paradigms (IEEE, 2023). Early theoretical work on economic frameworks for autonomous AI agents has begun to explore concepts such as agent-to-agent transactions, automated micro-payments, and reputation-based economies (Unknown, 2023). These concepts suggest a future where AI agents themselves might become economic actors, engaging in complex pricing negotiations and value exchanges.</w:t>
      </w:r>
    </w:p>
    <w:p>
      <w:pPr>
        <w:pStyle w:val="BodyText"/>
      </w:pPr>
      <w:r>
        <w:t xml:space="preserve">The regulatory landscape is also beginning to shape AI pricing. Initiatives like the European Union’s AI Act are setting precedents for governance, transparency, and accountability in AI systems (European Commission, 2024). While primarily focused on safety and ethics, these regulations can indirectly influence pricing by imposing compliance costs, requiring specific auditing mechanisms, or mandating certain levels of performance and explainability (Unknown, 2023). The need for robust governance and ethical considerations in AI pricing is emphasized by organizations like the WHO, which has issued guidelines on AI ethics, including fair and equitable access (WHO, 2023). Similarly, national and international bodies such as NIST and IEEE are developing standards for AI best practices and service metering, which will inevitably impact how AI services are measured, valued, and priced (IEEE, 2023)(NIST, 2023)(ISO, 2023). These evolving regulatory and standardization efforts underscore the multifaceted nature of AI pricing, extending beyond purely economic considerations to encompass societal, ethical, and legal dimensions.</w:t>
      </w:r>
    </w:p>
    <w:p>
      <w:pPr>
        <w:pStyle w:val="Heading3"/>
      </w:pPr>
      <w:bookmarkStart w:id="24" w:name="token-based-pricing-models"/>
      <w:r>
        <w:t xml:space="preserve">1.2 Token-Based Pricing Models</w:t>
      </w:r>
      <w:bookmarkEnd w:id="24"/>
    </w:p>
    <w:p>
      <w:pPr>
        <w:pStyle w:val="FirstParagraph"/>
      </w:pPr>
      <w:r>
        <w:t xml:space="preserve">The emergence of large language models (LLMs) has popularized a distinct pricing paradigm: token-based pricing. This model, predominantly adopted by leading AI providers such as OpenAI and Anthropic, charges users based on the number of</w:t>
      </w:r>
      <w:r>
        <w:t xml:space="preserve"> </w:t>
      </w:r>
      <w:r>
        <w:t xml:space="preserve">“</w:t>
      </w:r>
      <w:r>
        <w:t xml:space="preserve">tokens</w:t>
      </w:r>
      <w:r>
        <w:t xml:space="preserve">”</w:t>
      </w:r>
      <w:r>
        <w:t xml:space="preserve"> </w:t>
      </w:r>
      <w:r>
        <w:t xml:space="preserve">processed during an interaction (Unknown, 2024). Tokens are fundamental units of text, typically representing words, subwords, or characters, depending on the model’s tokenizer. For instance, a single word might be one token, or it might be broken down into multiple tokens (e.g.,</w:t>
      </w:r>
      <w:r>
        <w:t xml:space="preserve"> </w:t>
      </w:r>
      <w:r>
        <w:t xml:space="preserve">“</w:t>
      </w:r>
      <w:r>
        <w:t xml:space="preserve">tokenizer</w:t>
      </w:r>
      <w:r>
        <w:t xml:space="preserve">”</w:t>
      </w:r>
      <w:r>
        <w:t xml:space="preserve"> </w:t>
      </w:r>
      <w:r>
        <w:t xml:space="preserve">might be</w:t>
      </w:r>
      <w:r>
        <w:t xml:space="preserve"> </w:t>
      </w:r>
      <w:r>
        <w:t xml:space="preserve">“</w:t>
      </w:r>
      <w:r>
        <w:t xml:space="preserve">token</w:t>
      </w:r>
      <w:r>
        <w:t xml:space="preserve">”</w:t>
      </w:r>
      <w:r>
        <w:t xml:space="preserve">,</w:t>
      </w:r>
      <w:r>
        <w:t xml:space="preserve"> </w:t>
      </w:r>
      <w:r>
        <w:t xml:space="preserve">“</w:t>
      </w:r>
      <w:r>
        <w:t xml:space="preserve">izer</w:t>
      </w:r>
      <w:r>
        <w:t xml:space="preserve">”</w:t>
      </w:r>
      <w:r>
        <w:t xml:space="preserve">). The rationale behind token-based pricing is to provide a granular and scalable metric that directly correlates with the computational resources consumed by the LLM (Unknown, 2024). Generating or processing more text requires more computational effort, and tokens serve as a proxy for this effort.</w:t>
      </w:r>
    </w:p>
    <w:p>
      <w:pPr>
        <w:pStyle w:val="BodyText"/>
      </w:pPr>
      <w:r>
        <w:t xml:space="preserve">The historical development of token-based pricing can be traced to the increasing scale and complexity of LLMs. As models grew from millions to billions and even trillions of parameters, the computational cost of inference became a significant factor (Unknown, 2024). Traditional API call-based pricing, common for simpler web services, proved insufficient to differentiate between short, simple queries and complex, multi-turn conversations that consume vastly more processing power. Token-based pricing allows providers to charge for both input (prompt) tokens and output (completion) tokens, often at different rates, reflecting the differing computational demands of encoding user input versus generating novel text (Unknown, 2024). This differential pricing mechanism aims to incentivize efficient prompt design and manage server load more effectively.</w:t>
      </w:r>
    </w:p>
    <w:p>
      <w:pPr>
        <w:pStyle w:val="BodyText"/>
      </w:pPr>
      <w:r>
        <w:t xml:space="preserve">One of the primary advantages of token-based pricing is its</w:t>
      </w:r>
      <w:r>
        <w:t xml:space="preserve"> </w:t>
      </w:r>
      <w:r>
        <w:rPr>
          <w:b/>
        </w:rPr>
        <w:t xml:space="preserve">granularity and scalability</w:t>
      </w:r>
      <w:r>
        <w:t xml:space="preserve">. Users can pay precisely for the amount of text they process, making it suitable for a wide range of applications from brief queries to extensive document generation. This model offers a degree of cost predictability, as users can estimate costs based on the expected length of their inputs and desired outputs (Unknown, 2024). For developers integrating LLMs into their applications, this granularity enables fine-grained cost management and the ability to optimize their usage by controlling prompt length and output verbosity. Furthermore, token-based pricing aligns with the underlying technical architecture of transformer models, where operations are performed on sequences of tokens.</w:t>
      </w:r>
    </w:p>
    <w:p>
      <w:pPr>
        <w:pStyle w:val="BodyText"/>
      </w:pPr>
      <w:r>
        <w:t xml:space="preserve">However, token-based pricing presents several significant</w:t>
      </w:r>
      <w:r>
        <w:t xml:space="preserve"> </w:t>
      </w:r>
      <w:r>
        <w:rPr>
          <w:b/>
        </w:rPr>
        <w:t xml:space="preserve">challenges and disadvantages</w:t>
      </w:r>
      <w:r>
        <w:t xml:space="preserve">. A major hurdle is the</w:t>
      </w:r>
      <w:r>
        <w:t xml:space="preserve"> </w:t>
      </w:r>
      <w:r>
        <w:rPr>
          <w:b/>
        </w:rPr>
        <w:t xml:space="preserve">lack of transparency and intuitive understanding</w:t>
      </w:r>
      <w:r>
        <w:t xml:space="preserve"> </w:t>
      </w:r>
      <w:r>
        <w:t xml:space="preserve">for end-users (Unknown, 2024). The concept of a</w:t>
      </w:r>
      <w:r>
        <w:t xml:space="preserve"> </w:t>
      </w:r>
      <w:r>
        <w:t xml:space="preserve">“</w:t>
      </w:r>
      <w:r>
        <w:t xml:space="preserve">token</w:t>
      </w:r>
      <w:r>
        <w:t xml:space="preserve">”</w:t>
      </w:r>
      <w:r>
        <w:t xml:space="preserve"> </w:t>
      </w:r>
      <w:r>
        <w:t xml:space="preserve">is abstract and not directly equivalent to a human-understandable unit like a word or character. The exact number of tokens generated by a given text can vary significantly across different models and tokenizers, making it difficult for users to accurately predict costs without specialized tools or experimentation. This opacity can lead to unexpected expenses, particularly for novice users or those developing applications with dynamic content generation. The</w:t>
      </w:r>
      <w:r>
        <w:t xml:space="preserve"> </w:t>
      </w:r>
      <w:r>
        <w:t xml:space="preserve">“</w:t>
      </w:r>
      <w:r>
        <w:t xml:space="preserve">token-based challenges</w:t>
      </w:r>
      <w:r>
        <w:t xml:space="preserve">”</w:t>
      </w:r>
      <w:r>
        <w:t xml:space="preserve"> </w:t>
      </w:r>
      <w:r>
        <w:t xml:space="preserve">inherent in this model often necessitate complex cost estimation logic within applications to prevent budget overruns (Unknown, 2023).</w:t>
      </w:r>
    </w:p>
    <w:p>
      <w:pPr>
        <w:pStyle w:val="BodyText"/>
      </w:pPr>
      <w:r>
        <w:t xml:space="preserve">Another challenge arises from</w:t>
      </w:r>
      <w:r>
        <w:t xml:space="preserve"> </w:t>
      </w:r>
      <w:r>
        <w:rPr>
          <w:b/>
        </w:rPr>
        <w:t xml:space="preserve">prompt engineering costs</w:t>
      </w:r>
      <w:r>
        <w:t xml:space="preserve">. Crafting effective prompts often involves iterative experimentation, where multiple versions of a prompt are tested to achieve the desired output. Each iteration consumes tokens, even if the result is ultimately discarded or refined. For complex tasks, the cost of iterating on prompts can accumulate rapidly, adding to the overall development expense (Unknown, 2023). Moreover, the quality and length of output can be unpredictable. While users might specify a maximum output length, the actual number of tokens generated can vary, impacting costs. For autonomous AI agents, which might engage in extensive multi-turn conversations or generate detailed reports, managing token consumption becomes a critical design consideration (Unknown, 2023). Agents need to be designed with cost-awareness, optimizing their communication strategies to minimize token usage while maximizing task effectiveness.</w:t>
      </w:r>
    </w:p>
    <w:p>
      <w:pPr>
        <w:pStyle w:val="BodyText"/>
      </w:pPr>
      <w:r>
        <w:t xml:space="preserve">The implications of token-based pricing for</w:t>
      </w:r>
      <w:r>
        <w:t xml:space="preserve"> </w:t>
      </w:r>
      <w:r>
        <w:rPr>
          <w:b/>
        </w:rPr>
        <w:t xml:space="preserve">agentic AI behavior</w:t>
      </w:r>
      <w:r>
        <w:t xml:space="preserve"> </w:t>
      </w:r>
      <w:r>
        <w:t xml:space="preserve">are profound. Autonomous agents, by their nature, are designed to interact with environments and make decisions independently. If these interactions are primarily text-based, as is often the case with LLM-powered agents, then every decision-making step, every internal monologue, and every external communication consumes tokens (Unknown, 2023). This can lead to a delicate balance between agent intelligence and cost-efficiency. Agents might be incentivized to generate shorter, less descriptive outputs, or to limit their internal reasoning steps, potentially compromising performance for cost savings. This creates a need for sophisticated</w:t>
      </w:r>
      <w:r>
        <w:t xml:space="preserve"> </w:t>
      </w:r>
      <w:r>
        <w:rPr>
          <w:b/>
        </w:rPr>
        <w:t xml:space="preserve">cost-optimization strategies</w:t>
      </w:r>
      <w:r>
        <w:t xml:space="preserve"> </w:t>
      </w:r>
      <w:r>
        <w:t xml:space="preserve">within agent architectures, such as caching previous responses, summarizing long contexts, or using smaller, more specialized models for certain sub-tasks (Unknown, 2023).</w:t>
      </w:r>
    </w:p>
    <w:p>
      <w:pPr>
        <w:pStyle w:val="BodyText"/>
      </w:pPr>
      <w:r>
        <w:t xml:space="preserve">Furthermore, the pricing of</w:t>
      </w:r>
      <w:r>
        <w:t xml:space="preserve"> </w:t>
      </w:r>
      <w:r>
        <w:rPr>
          <w:b/>
        </w:rPr>
        <w:t xml:space="preserve">embedding costs</w:t>
      </w:r>
      <w:r>
        <w:t xml:space="preserve"> </w:t>
      </w:r>
      <w:r>
        <w:t xml:space="preserve">also falls under the token-based paradigm. Embeddings are numerical representations of text that capture semantic meaning, essential for tasks like search, recommendation, and retrieval-augmented generation. Generating embeddings for large datasets can be computationally intensive, and providers typically charge per token for this service as well (Unknown, 2024). For AI agents that rely heavily on retrieving information from vast knowledge bases, managing embedding generation and storage costs becomes another critical aspect of their economic viability. The interplay between prompt tokens, completion tokens, and embedding tokens creates a complex cost structure that developers and agent designers must navigate.</w:t>
      </w:r>
    </w:p>
    <w:p>
      <w:pPr>
        <w:pStyle w:val="BodyText"/>
      </w:pPr>
      <w:r>
        <w:t xml:space="preserve">The competitive landscape of AI pricing models is dynamic, with providers continually adjusting their token rates and introducing new tiers (Unknown, 2023). Some providers offer different pricing for various model sizes or capabilities (e.g., standard vs. turbo models, models with larger context windows), reflecting the differential costs of running these models (Unknown, 2024). The evolution of these models suggests a move towards more sophisticated token accounting, potentially differentiating between</w:t>
      </w:r>
      <w:r>
        <w:t xml:space="preserve"> </w:t>
      </w:r>
      <w:r>
        <w:t xml:space="preserve">“</w:t>
      </w:r>
      <w:r>
        <w:t xml:space="preserve">thought tokens</w:t>
      </w:r>
      <w:r>
        <w:t xml:space="preserve">”</w:t>
      </w:r>
      <w:r>
        <w:t xml:space="preserve"> </w:t>
      </w:r>
      <w:r>
        <w:t xml:space="preserve">(internal reasoning) and</w:t>
      </w:r>
      <w:r>
        <w:t xml:space="preserve"> </w:t>
      </w:r>
      <w:r>
        <w:t xml:space="preserve">“</w:t>
      </w:r>
      <w:r>
        <w:t xml:space="preserve">communication tokens</w:t>
      </w:r>
      <w:r>
        <w:t xml:space="preserve">”</w:t>
      </w:r>
      <w:r>
        <w:t xml:space="preserve"> </w:t>
      </w:r>
      <w:r>
        <w:t xml:space="preserve">(external output) for highly autonomous agents, though such distinctions are not yet common in commercial offerings. The challenge remains to make this complex pricing structure transparent and predictable for a broad range of users, from individual developers to large enterprises deploying mission-critical AI applications. The lack of standardized token definitions across providers further exacerbates this issue, making direct cost comparisons and multi-cloud strategies more difficult (IEEE, 2023)(Unknown, 2023). This highlights a critical area for future research and standardization efforts.</w:t>
      </w:r>
    </w:p>
    <w:p>
      <w:pPr>
        <w:pStyle w:val="Heading3"/>
      </w:pPr>
      <w:bookmarkStart w:id="25" w:name="usage-based-pricing-models"/>
      <w:r>
        <w:t xml:space="preserve">1.3 Usage-Based Pricing Models</w:t>
      </w:r>
      <w:bookmarkEnd w:id="25"/>
    </w:p>
    <w:p>
      <w:pPr>
        <w:pStyle w:val="FirstParagraph"/>
      </w:pPr>
      <w:r>
        <w:t xml:space="preserve">Beyond token-based models, a broad category of</w:t>
      </w:r>
      <w:r>
        <w:t xml:space="preserve"> </w:t>
      </w:r>
      <w:r>
        <w:rPr>
          <w:b/>
        </w:rPr>
        <w:t xml:space="preserve">usage-based pricing models</w:t>
      </w:r>
      <w:r>
        <w:t xml:space="preserve"> </w:t>
      </w:r>
      <w:r>
        <w:t xml:space="preserve">has long been prevalent in the cloud computing industry and is extensively applied to a wide array of AI services (AWS, 2023)(Google Cloud, 2023). Unlike token-based models which are specific to generative text AI, usage-based models encompass a more diverse set of metrics that align with the consumption of various computational resources or API calls (Unknown, 2022). These models have their roots in the utility computing paradigm, where customers pay for resources like compute, storage, and networking on a pay-as-you-go basis, much like electricity or water (AWS, 2023). Major cloud providers such as AWS and Google Cloud offer extensive portfolios of AI services, each with its own usage-based pricing structure (AWS, 2023)(Google Cloud, 2023).</w:t>
      </w:r>
    </w:p>
    <w:p>
      <w:pPr>
        <w:pStyle w:val="BodyText"/>
      </w:pPr>
      <w:r>
        <w:t xml:space="preserve">The application of usage-based pricing to AI services is highly varied, depending on the nature of the service. Common metrics include:</w:t>
      </w:r>
      <w:r>
        <w:t xml:space="preserve"> </w:t>
      </w:r>
      <w:r>
        <w:t xml:space="preserve">*</w:t>
      </w:r>
      <w:r>
        <w:t xml:space="preserve"> </w:t>
      </w:r>
      <w:r>
        <w:rPr>
          <w:b/>
        </w:rPr>
        <w:t xml:space="preserve">API Calls/Requests:</w:t>
      </w:r>
      <w:r>
        <w:t xml:space="preserve"> </w:t>
      </w:r>
      <w:r>
        <w:t xml:space="preserve">For services like image recognition, natural language processing (NLP) APIs (e.g., sentiment analysis, entity extraction), or translation services, customers are often charged per API request (AWS, 2023). A single call to identify objects in an image, for example, constitutes one unit of usage.</w:t>
      </w:r>
      <w:r>
        <w:t xml:space="preserve"> </w:t>
      </w:r>
      <w:r>
        <w:t xml:space="preserve">*</w:t>
      </w:r>
      <w:r>
        <w:t xml:space="preserve"> </w:t>
      </w:r>
      <w:r>
        <w:rPr>
          <w:b/>
        </w:rPr>
        <w:t xml:space="preserve">Compute Time:</w:t>
      </w:r>
      <w:r>
        <w:t xml:space="preserve"> </w:t>
      </w:r>
      <w:r>
        <w:t xml:space="preserve">For machine learning training, inference on custom models, or specialized GPU-intensive tasks, pricing is frequently based on the duration of compute instance usage (e.g., per hour or per second) and the type of hardware (e.g., CPU, GPU, TPU) (Google Cloud, 2023). This allows users to pay for the exact amount of processing power consumed.</w:t>
      </w:r>
      <w:r>
        <w:t xml:space="preserve"> </w:t>
      </w:r>
      <w:r>
        <w:t xml:space="preserve">*</w:t>
      </w:r>
      <w:r>
        <w:t xml:space="preserve"> </w:t>
      </w:r>
      <w:r>
        <w:rPr>
          <w:b/>
        </w:rPr>
        <w:t xml:space="preserve">Data Processed/Transferred:</w:t>
      </w:r>
      <w:r>
        <w:t xml:space="preserve"> </w:t>
      </w:r>
      <w:r>
        <w:t xml:space="preserve">Services involving large datasets, such as data labeling, custom model training with vast amounts of input data, or data transfer between regions, may be priced based on the volume of data (e.g., per GB) (AWS, 2023).</w:t>
      </w:r>
      <w:r>
        <w:t xml:space="preserve"> </w:t>
      </w:r>
      <w:r>
        <w:t xml:space="preserve">*</w:t>
      </w:r>
      <w:r>
        <w:t xml:space="preserve"> </w:t>
      </w:r>
      <w:r>
        <w:rPr>
          <w:b/>
        </w:rPr>
        <w:t xml:space="preserve">Storage:</w:t>
      </w:r>
      <w:r>
        <w:t xml:space="preserve"> </w:t>
      </w:r>
      <w:r>
        <w:t xml:space="preserve">Persistent storage for models, datasets, or intermediate results is typically charged per GB per month (Google Cloud, 2023).</w:t>
      </w:r>
      <w:r>
        <w:t xml:space="preserve"> </w:t>
      </w:r>
      <w:r>
        <w:t xml:space="preserve">*</w:t>
      </w:r>
      <w:r>
        <w:t xml:space="preserve"> </w:t>
      </w:r>
      <w:r>
        <w:rPr>
          <w:b/>
        </w:rPr>
        <w:t xml:space="preserve">Features Used:</w:t>
      </w:r>
      <w:r>
        <w:t xml:space="preserve"> </w:t>
      </w:r>
      <w:r>
        <w:t xml:space="preserve">Some AI services might offer different pricing tiers based on the specific features or capabilities accessed (e.g., basic vs. premium features in a conversational AI platform).</w:t>
      </w:r>
    </w:p>
    <w:p>
      <w:pPr>
        <w:pStyle w:val="BodyText"/>
      </w:pPr>
      <w:r>
        <w:t xml:space="preserve">One of the primary</w:t>
      </w:r>
      <w:r>
        <w:t xml:space="preserve"> </w:t>
      </w:r>
      <w:r>
        <w:rPr>
          <w:b/>
        </w:rPr>
        <w:t xml:space="preserve">benefits</w:t>
      </w:r>
      <w:r>
        <w:t xml:space="preserve"> </w:t>
      </w:r>
      <w:r>
        <w:t xml:space="preserve">of usage-based pricing is its</w:t>
      </w:r>
      <w:r>
        <w:t xml:space="preserve"> </w:t>
      </w:r>
      <w:r>
        <w:rPr>
          <w:b/>
        </w:rPr>
        <w:t xml:space="preserve">flexibility and scalability</w:t>
      </w:r>
      <w:r>
        <w:t xml:space="preserve"> </w:t>
      </w:r>
      <w:r>
        <w:t xml:space="preserve">(Unknown, 2022). Businesses can scale their AI consumption up or down based on demand, avoiding large upfront capital expenditures. This model is particularly attractive for startups and small businesses, as it lowers the barrier to entry for accessing sophisticated AI technologies. It also allows for greater cost control, as organizations only pay for what they actually use, aligning operational expenses with actual value generation (AWS, 2023). For intermittent or bursty workloads, usage-based pricing can be significantly more cost-effective than provisioning dedicated resources.</w:t>
      </w:r>
    </w:p>
    <w:p>
      <w:pPr>
        <w:pStyle w:val="BodyText"/>
      </w:pPr>
      <w:r>
        <w:t xml:space="preserve">However, usage-based pricing also presents considerable</w:t>
      </w:r>
      <w:r>
        <w:t xml:space="preserve"> </w:t>
      </w:r>
      <w:r>
        <w:rPr>
          <w:b/>
        </w:rPr>
        <w:t xml:space="preserve">challenges</w:t>
      </w:r>
      <w:r>
        <w:t xml:space="preserve">. The most prominent is</w:t>
      </w:r>
      <w:r>
        <w:t xml:space="preserve"> </w:t>
      </w:r>
      <w:r>
        <w:rPr>
          <w:b/>
        </w:rPr>
        <w:t xml:space="preserve">cost unpredictability</w:t>
      </w:r>
      <w:r>
        <w:t xml:space="preserve"> </w:t>
      </w:r>
      <w:r>
        <w:t xml:space="preserve">(Google Cloud, 2023). While theoretically aligned with consumption, actual usage can be highly variable, making it difficult for organizations to accurately forecast their AI expenditure. This unpredictability is exacerbated by the complexity of modern cloud environments, where a single application might interact with multiple AI services, each with its own pricing metric. Unforeseen spikes in demand, inefficient application design leading to excessive API calls, or unoptimized data processing pipelines can quickly lead to budget overruns (AWS, 2023). This necessitates robust monitoring and cost management tools, as well as a deep understanding of how each AI service is metered.</w:t>
      </w:r>
    </w:p>
    <w:p>
      <w:pPr>
        <w:pStyle w:val="BodyText"/>
      </w:pPr>
      <w:r>
        <w:t xml:space="preserve">Another challenge is</w:t>
      </w:r>
      <w:r>
        <w:t xml:space="preserve"> </w:t>
      </w:r>
      <w:r>
        <w:rPr>
          <w:b/>
        </w:rPr>
        <w:t xml:space="preserve">vendor lock-in</w:t>
      </w:r>
      <w:r>
        <w:t xml:space="preserve"> </w:t>
      </w:r>
      <w:r>
        <w:t xml:space="preserve">(Unknown, 2022). Once an organization builds its applications on a specific cloud provider’s AI services, migrating to another provider can be costly and complex due to differences in APIs, data formats, and pricing structures. While open standards and containerization aim to mitigate this, the unique features and optimizations of each cloud provider’s AI offerings can create strong incentives to remain within a single ecosystem (Google Cloud, 2023). This can limit competition and potentially lead to higher long-term costs. The lack of standardized metering across different providers is a recognized issue, leading to calls for industry-wide best practices in AI service metering (IEEE, 2023).</w:t>
      </w:r>
    </w:p>
    <w:p>
      <w:pPr>
        <w:pStyle w:val="BodyText"/>
      </w:pPr>
      <w:r>
        <w:t xml:space="preserve">For</w:t>
      </w:r>
      <w:r>
        <w:t xml:space="preserve"> </w:t>
      </w:r>
      <w:r>
        <w:rPr>
          <w:b/>
        </w:rPr>
        <w:t xml:space="preserve">autonomous AI agents</w:t>
      </w:r>
      <w:r>
        <w:t xml:space="preserve">, usage-based pricing models introduce unique considerations. Agents, by their nature, are designed to operate with a degree of independence, making decisions and executing tasks without constant human oversight (Unknown, 2023). This autonomy means that an agent’s computational resource consumption can fluctuate significantly based on its objectives, environmental interactions, and the complexity of the tasks it undertakes. For instance, an agent performing data analysis might incur costs based on data processed and compute time, while a customer service agent might primarily incur API call costs for NLP services. The challenge lies in designing agents that are</w:t>
      </w:r>
      <w:r>
        <w:t xml:space="preserve"> </w:t>
      </w:r>
      <w:r>
        <w:rPr>
          <w:b/>
        </w:rPr>
        <w:t xml:space="preserve">cost-aware</w:t>
      </w:r>
      <w:r>
        <w:t xml:space="preserve"> </w:t>
      </w:r>
      <w:r>
        <w:t xml:space="preserve">and can optimize their resource consumption in real-time. This could involve an agent dynamically choosing between different AI services based on their current pricing, or prioritizing tasks that offer the highest return on computational investment (Unknown, 2023).</w:t>
      </w:r>
    </w:p>
    <w:p>
      <w:pPr>
        <w:pStyle w:val="BodyText"/>
      </w:pPr>
      <w:r>
        <w:t xml:space="preserve">The</w:t>
      </w:r>
      <w:r>
        <w:t xml:space="preserve"> </w:t>
      </w:r>
      <w:r>
        <w:rPr>
          <w:b/>
        </w:rPr>
        <w:t xml:space="preserve">integration of agentic AI workflows with dynamic resource allocation</w:t>
      </w:r>
      <w:r>
        <w:t xml:space="preserve"> </w:t>
      </w:r>
      <w:r>
        <w:t xml:space="preserve">becomes crucial under usage-based models. Agents might need to intelligently provision and de-provision cloud resources, or choose between different AI models (e.g., a cheaper, less powerful model for routine tasks versus an expensive, high-performance model for critical decisions) to manage costs effectively (Unknown, 2023). This requires sophisticated internal economic models within the agents themselves, allowing them to balance performance, latency, and cost considerations. The IEEE and NIST are actively working on standards for AI service metering and best practices, aiming to provide frameworks that can accommodate the dynamic and autonomous nature of agentic AI consumption (IEEE, 2023)(NIST, 2023). These standards are vital for ensuring transparency, interoperability, and responsible use of AI services in a usage-based economy.</w:t>
      </w:r>
    </w:p>
    <w:p>
      <w:pPr>
        <w:pStyle w:val="BodyText"/>
      </w:pPr>
      <w:r>
        <w:t xml:space="preserve">Furthermore, the</w:t>
      </w:r>
      <w:r>
        <w:t xml:space="preserve"> </w:t>
      </w:r>
      <w:r>
        <w:t xml:space="preserve">“</w:t>
      </w:r>
      <w:r>
        <w:t xml:space="preserve">platform economics</w:t>
      </w:r>
      <w:r>
        <w:t xml:space="preserve">”</w:t>
      </w:r>
      <w:r>
        <w:t xml:space="preserve"> </w:t>
      </w:r>
      <w:r>
        <w:t xml:space="preserve">surrounding AI agent APIs are a critical area of study (Unknown, 2022). As agents increasingly interact with and consume services from various platforms, the pricing models of these underlying services directly impact the agent’s operational costs and economic viability. Developers building agentic applications must carefully consider the aggregate costs across all consumed APIs and services. The trend towards</w:t>
      </w:r>
      <w:r>
        <w:t xml:space="preserve"> </w:t>
      </w:r>
      <w:r>
        <w:t xml:space="preserve">“</w:t>
      </w:r>
      <w:r>
        <w:t xml:space="preserve">AI monetization trends 2020-2024</w:t>
      </w:r>
      <w:r>
        <w:t xml:space="preserve">”</w:t>
      </w:r>
      <w:r>
        <w:t xml:space="preserve"> </w:t>
      </w:r>
      <w:r>
        <w:t xml:space="preserve">indicates a growing emphasis on flexible, hybrid pricing models that combine elements of usage-based billing with subscriptions or tiered access to cater to diverse customer needs and usage patterns (Unknown, 2024). This evolution suggests that future usage-based models for AI agents will likely become even more nuanced, incorporating aspects of value-based pricing and performance-based incentives.</w:t>
      </w:r>
    </w:p>
    <w:p>
      <w:pPr>
        <w:pStyle w:val="Heading3"/>
      </w:pPr>
      <w:bookmarkStart w:id="26" w:name="X24c020b69afa8f33bb9de736178f1ae91688fc6"/>
      <w:r>
        <w:t xml:space="preserve">1.4 Value-Based Pricing Theory and its Application to AI</w:t>
      </w:r>
      <w:bookmarkEnd w:id="26"/>
    </w:p>
    <w:p>
      <w:pPr>
        <w:pStyle w:val="FirstParagraph"/>
      </w:pPr>
      <w:r>
        <w:t xml:space="preserve">While token-based and usage-based models focus on the cost of inputs or resources consumed,</w:t>
      </w:r>
      <w:r>
        <w:t xml:space="preserve"> </w:t>
      </w:r>
      <w:r>
        <w:rPr>
          <w:b/>
        </w:rPr>
        <w:t xml:space="preserve">value-based pricing</w:t>
      </w:r>
      <w:r>
        <w:t xml:space="preserve"> </w:t>
      </w:r>
      <w:r>
        <w:t xml:space="preserve">shifts the focus to the perceived or actual value delivered to the customer (BCG, 2023). This theory posits that the price of a product or service should be set primarily based on the benefits it provides to the customer, rather than solely on its cost of production or market competition (RAND Corporation, 2021). In the context of AI, where the outputs can be highly transformative and generate significant economic or strategic advantages, value-based pricing holds particular theoretical appeal (BCG, 2023).</w:t>
      </w:r>
    </w:p>
    <w:p>
      <w:pPr>
        <w:pStyle w:val="BodyText"/>
      </w:pPr>
      <w:r>
        <w:t xml:space="preserve">Classical value-based pricing concepts revolve around understanding the</w:t>
      </w:r>
      <w:r>
        <w:t xml:space="preserve"> </w:t>
      </w:r>
      <w:r>
        <w:rPr>
          <w:b/>
        </w:rPr>
        <w:t xml:space="preserve">customer perceived value (CPV)</w:t>
      </w:r>
      <w:r>
        <w:t xml:space="preserve"> </w:t>
      </w:r>
      <w:r>
        <w:t xml:space="preserve">and the</w:t>
      </w:r>
      <w:r>
        <w:t xml:space="preserve"> </w:t>
      </w:r>
      <w:r>
        <w:rPr>
          <w:b/>
        </w:rPr>
        <w:t xml:space="preserve">economic value to the customer (EVC)</w:t>
      </w:r>
      <w:r>
        <w:t xml:space="preserve"> </w:t>
      </w:r>
      <w:r>
        <w:t xml:space="preserve">(RAND Corporation, 2021). CPV refers to the customer’s subjective evaluation of the benefits they receive from a product or service relative to its costs. EVC, on the other hand, is a more objective measure, representing the maximum price a customer would be willing to pay, typically calculated as the cost savings or additional revenue generated by using the product compared to the next best alternative. For AI services, these concepts are particularly relevant because AI’s primary function is often to enhance human capabilities, automate processes, or generate insights that directly impact business outcomes (Unknown, 2023).</w:t>
      </w:r>
    </w:p>
    <w:p>
      <w:pPr>
        <w:pStyle w:val="BodyText"/>
      </w:pPr>
      <w:r>
        <w:t xml:space="preserve">However, applying value-based pricing to AI services, especially those powered by autonomous agents, introduces significant</w:t>
      </w:r>
      <w:r>
        <w:t xml:space="preserve"> </w:t>
      </w:r>
      <w:r>
        <w:rPr>
          <w:b/>
        </w:rPr>
        <w:t xml:space="preserve">challenges in quantifying value</w:t>
      </w:r>
      <w:r>
        <w:t xml:space="preserve">.</w:t>
      </w:r>
      <w:r>
        <w:t xml:space="preserve"> </w:t>
      </w:r>
      <w:r>
        <w:t xml:space="preserve">*</w:t>
      </w:r>
      <w:r>
        <w:t xml:space="preserve"> </w:t>
      </w:r>
      <w:r>
        <w:rPr>
          <w:b/>
        </w:rPr>
        <w:t xml:space="preserve">Intangible Benefits:</w:t>
      </w:r>
      <w:r>
        <w:t xml:space="preserve"> </w:t>
      </w:r>
      <w:r>
        <w:t xml:space="preserve">Many of AI’s benefits are intangible and difficult to measure directly. These can include improved decision-making quality, enhanced innovation capabilities, increased organizational agility, or a better customer experience (BCG, 2023). While these contribute to long-term success, assigning a precise monetary value to them can be elusive. For an AI agent that optimizes supply chains, the value might be clearer in terms of reduced costs. But for an agent that enhances creative design or strategic planning, the value is harder to quantify.</w:t>
      </w:r>
      <w:r>
        <w:t xml:space="preserve"> </w:t>
      </w:r>
      <w:r>
        <w:t xml:space="preserve">*</w:t>
      </w:r>
      <w:r>
        <w:t xml:space="preserve"> </w:t>
      </w:r>
      <w:r>
        <w:rPr>
          <w:b/>
        </w:rPr>
        <w:t xml:space="preserve">Attribution Problem:</w:t>
      </w:r>
      <w:r>
        <w:t xml:space="preserve"> </w:t>
      </w:r>
      <w:r>
        <w:t xml:space="preserve">Isolating AI’s specific contribution to a business outcome can be challenging. In complex systems, AI often works in conjunction with human intelligence, other software, and existing processes. Determining how much of a particular uplift in productivity or revenue is directly attributable to the AI component versus other factors is a persistent problem (BCG, 2023). This is particularly true for agentic AI, where the agent might interact with multiple systems and perform a sequence of actions, making it difficult to pinpoint the exact value generated by each individual AI component.</w:t>
      </w:r>
      <w:r>
        <w:t xml:space="preserve"> </w:t>
      </w:r>
      <w:r>
        <w:t xml:space="preserve">*</w:t>
      </w:r>
      <w:r>
        <w:t xml:space="preserve"> </w:t>
      </w:r>
      <w:r>
        <w:rPr>
          <w:b/>
        </w:rPr>
        <w:t xml:space="preserve">Dynamic and Evolving Value Proposition:</w:t>
      </w:r>
      <w:r>
        <w:t xml:space="preserve"> </w:t>
      </w:r>
      <w:r>
        <w:t xml:space="preserve">The value proposition of AI, especially for learning systems and autonomous agents, is not static. As models improve with more data and agents gain more experience, their capabilities and the value they deliver can evolve over time (Unknown, 2023). Pricing based on a fixed value assessment might quickly become outdated. This dynamic nature necessitates flexible pricing models that can adapt to the evolving utility of AI. The</w:t>
      </w:r>
      <w:r>
        <w:t xml:space="preserve"> </w:t>
      </w:r>
      <w:r>
        <w:t xml:space="preserve">“</w:t>
      </w:r>
      <w:r>
        <w:t xml:space="preserve">AI Agent Value Proposition Pricing</w:t>
      </w:r>
      <w:r>
        <w:t xml:space="preserve">”</w:t>
      </w:r>
      <w:r>
        <w:t xml:space="preserve"> </w:t>
      </w:r>
      <w:r>
        <w:t xml:space="preserve">research highlights the need for continuous reassessment of value as agents mature and develop new capabilities (Unknown, 2024).</w:t>
      </w:r>
    </w:p>
    <w:p>
      <w:pPr>
        <w:pStyle w:val="BodyText"/>
      </w:pPr>
      <w:r>
        <w:t xml:space="preserve">Despite these challenges,</w:t>
      </w:r>
      <w:r>
        <w:t xml:space="preserve"> </w:t>
      </w:r>
      <w:r>
        <w:rPr>
          <w:b/>
        </w:rPr>
        <w:t xml:space="preserve">frameworks for assessing AI value capture</w:t>
      </w:r>
      <w:r>
        <w:t xml:space="preserve"> </w:t>
      </w:r>
      <w:r>
        <w:t xml:space="preserve">are emerging (BCG, 2023). These often involve a combination of quantitative and qualitative methods, including:</w:t>
      </w:r>
      <w:r>
        <w:t xml:space="preserve"> </w:t>
      </w:r>
      <w:r>
        <w:t xml:space="preserve">*</w:t>
      </w:r>
      <w:r>
        <w:t xml:space="preserve"> </w:t>
      </w:r>
      <w:r>
        <w:rPr>
          <w:b/>
        </w:rPr>
        <w:t xml:space="preserve">Return on Investment (ROI) analysis:</w:t>
      </w:r>
      <w:r>
        <w:t xml:space="preserve"> </w:t>
      </w:r>
      <w:r>
        <w:t xml:space="preserve">Measuring the direct financial benefits (e.g., cost savings, revenue increase) against the investment in AI.</w:t>
      </w:r>
      <w:r>
        <w:t xml:space="preserve"> </w:t>
      </w:r>
      <w:r>
        <w:t xml:space="preserve">*</w:t>
      </w:r>
      <w:r>
        <w:t xml:space="preserve"> </w:t>
      </w:r>
      <w:r>
        <w:rPr>
          <w:b/>
        </w:rPr>
        <w:t xml:space="preserve">Key Performance Indicator (KPI) improvement:</w:t>
      </w:r>
      <w:r>
        <w:t xml:space="preserve"> </w:t>
      </w:r>
      <w:r>
        <w:t xml:space="preserve">Tracking specific metrics (e.g., customer satisfaction, operational efficiency, time-to-market) that AI is designed to influence.</w:t>
      </w:r>
      <w:r>
        <w:t xml:space="preserve"> </w:t>
      </w:r>
      <w:r>
        <w:t xml:space="preserve">*</w:t>
      </w:r>
      <w:r>
        <w:t xml:space="preserve"> </w:t>
      </w:r>
      <w:r>
        <w:rPr>
          <w:b/>
        </w:rPr>
        <w:t xml:space="preserve">Strategic value assessment:</w:t>
      </w:r>
      <w:r>
        <w:t xml:space="preserve"> </w:t>
      </w:r>
      <w:r>
        <w:t xml:space="preserve">Evaluating how AI contributes to competitive advantage, market differentiation, or long-term growth objectives.</w:t>
      </w:r>
      <w:r>
        <w:t xml:space="preserve"> </w:t>
      </w:r>
      <w:r>
        <w:t xml:space="preserve">*</w:t>
      </w:r>
      <w:r>
        <w:t xml:space="preserve"> </w:t>
      </w:r>
      <w:r>
        <w:rPr>
          <w:b/>
        </w:rPr>
        <w:t xml:space="preserve">Pilot programs and A/B testing:</w:t>
      </w:r>
      <w:r>
        <w:t xml:space="preserve"> </w:t>
      </w:r>
      <w:r>
        <w:t xml:space="preserve">Deploying AI in controlled environments to demonstrate its impact before full-scale adoption and pricing.</w:t>
      </w:r>
    </w:p>
    <w:p>
      <w:pPr>
        <w:pStyle w:val="BodyText"/>
      </w:pPr>
      <w:r>
        <w:t xml:space="preserve">The</w:t>
      </w:r>
      <w:r>
        <w:t xml:space="preserve"> </w:t>
      </w:r>
      <w:r>
        <w:rPr>
          <w:b/>
        </w:rPr>
        <w:t xml:space="preserve">role of</w:t>
      </w:r>
      <w:r>
        <w:rPr>
          <w:b/>
        </w:rPr>
        <w:t xml:space="preserve"> </w:t>
      </w:r>
      <w:r>
        <w:rPr>
          <w:b/>
        </w:rPr>
        <w:t xml:space="preserve">“</w:t>
      </w:r>
      <w:r>
        <w:rPr>
          <w:b/>
        </w:rPr>
        <w:t xml:space="preserve">agentic value proposition</w:t>
      </w:r>
      <w:r>
        <w:rPr>
          <w:b/>
        </w:rPr>
        <w:t xml:space="preserve">”</w:t>
      </w:r>
      <w:r>
        <w:rPr>
          <w:b/>
        </w:rPr>
        <w:t xml:space="preserve"> </w:t>
      </w:r>
      <w:r>
        <w:rPr>
          <w:b/>
        </w:rPr>
        <w:t xml:space="preserve">in pricing</w:t>
      </w:r>
      <w:r>
        <w:t xml:space="preserve"> </w:t>
      </w:r>
      <w:r>
        <w:t xml:space="preserve">is particularly pertinent (Unknown, 2024). Autonomous AI agents are designed to perform tasks that previously required human intervention, potentially freeing up human capital for higher-value activities or enabling entirely new business processes (Unknown, 2023). Their value lies not just in their computational efficiency but in their ability to act intelligently and proactively. For example, an agent that autonomously manages cloud infrastructure can deliver value through optimized resource utilization, reduced downtime, and proactive threat detection. Pricing such an agent might involve a combination of a base fee for its capabilities and a performance-based component tied to the savings or improvements it generates. This moves beyond simple usage metrics to a more sophisticated model that reflects the outcomes achieved.</w:t>
      </w:r>
    </w:p>
    <w:p>
      <w:pPr>
        <w:pStyle w:val="BodyText"/>
      </w:pPr>
      <w:r>
        <w:rPr>
          <w:b/>
        </w:rPr>
        <w:t xml:space="preserve">Ethical considerations and societal value</w:t>
      </w:r>
      <w:r>
        <w:t xml:space="preserve"> </w:t>
      </w:r>
      <w:r>
        <w:t xml:space="preserve">also play an increasingly important role in value-based pricing for AI (WHO, 2023). While commercial value focuses on economic benefits, the broader impact of AI on society – including issues of fairness, bias, privacy, and environmental sustainability – cannot be ignored (European Commission, 2024). Organizations like the WHO and the European Commission emphasize the need for ethical AI development and deployment, which can influence pricing strategies (WHO, 2023)(European Commission, 2024). For instance, AI systems designed with robust bias mitigation features or high levels of explainability might command a premium, reflecting the societal value of trustworthy AI. Conversely, AI models that perpetuate biases or have negative environmental impacts might face regulatory penalties or reduced market acceptance, indirectly affecting their perceived value and pricing potential.</w:t>
      </w:r>
    </w:p>
    <w:p>
      <w:pPr>
        <w:pStyle w:val="BodyText"/>
      </w:pPr>
      <w:r>
        <w:t xml:space="preserve">The Brookings Institute and RAND Corporation have explored the broader economic and policy implications of AI, including how value is created and distributed (Brookings, 2022)(RAND Corporation, 2021). Their work suggests that the long-term success of AI adoption, and thus its pricing models, will depend on public trust and effective governance. The OECD’s AI Economic Impact Framework also provides guidelines for assessing the benefits and costs of AI, which can inform value-based pricing strategies by offering a more holistic view of AI’s contribution (OECD, 2022). Ultimately, value-based pricing for AI agents will require a sophisticated understanding of both the direct economic benefits and the broader societal implications, moving towards models that reflect a comprehensive assessment of AI’s multifaceted value. This necessitates a collaborative effort between technologists, economists, ethicists, and policymakers to develop robust frameworks for value attribution and fair pricing.</w:t>
      </w:r>
    </w:p>
    <w:p>
      <w:pPr>
        <w:pStyle w:val="Heading3"/>
      </w:pPr>
      <w:bookmarkStart w:id="27" w:name="comparative-analysis-and-emerging-trends"/>
      <w:r>
        <w:t xml:space="preserve">1.5 Comparative Analysis and Emerging Trends</w:t>
      </w:r>
      <w:bookmarkEnd w:id="27"/>
    </w:p>
    <w:p>
      <w:pPr>
        <w:pStyle w:val="FirstParagraph"/>
      </w:pPr>
      <w:r>
        <w:t xml:space="preserve">The landscape of AI pricing is characterized by a dynamic interplay between token-based, usage-based, and value-based models, each with its distinct strengths and weaknesses.</w:t>
      </w:r>
      <w:r>
        <w:t xml:space="preserve"> </w:t>
      </w:r>
      <w:r>
        <w:rPr>
          <w:b/>
        </w:rPr>
        <w:t xml:space="preserve">Token-based models</w:t>
      </w:r>
      <w:r>
        <w:t xml:space="preserve"> </w:t>
      </w:r>
      <w:r>
        <w:t xml:space="preserve">excel in providing granular cost control for generative text AI, directly linking computational effort to price (Unknown, 2024). Their primary strength lies in their ability to scale efficiently with the volume of text processed, making them ideal for applications ranging from simple chatbots to complex content generation platforms. However, their opaqueness to non-technical users and the variability in token definitions across providers present significant challenges (Unknown, 2024)(IEEE, 2023). For autonomous AI agents, managing token consumption becomes a critical aspect of their operational efficiency and economic viability, often requiring sophisticated internal optimization strategies (Unknown, 2023).</w:t>
      </w:r>
    </w:p>
    <w:p>
      <w:pPr>
        <w:pStyle w:val="BodyText"/>
      </w:pPr>
      <w:r>
        <w:rPr>
          <w:b/>
        </w:rPr>
        <w:t xml:space="preserve">Usage-based models</w:t>
      </w:r>
      <w:r>
        <w:t xml:space="preserve">, prevalent in the broader cloud AI ecosystem, offer unparalleled flexibility and scalability for a diverse range of AI services, from computer vision to machine learning platforms (AWS, 2023)(Google Cloud, 2023). By charging for specific resource consumption (API calls, compute time, data processed), they allow businesses to pay only for what they use, which is particularly beneficial for fluctuating workloads. The transparency of metrics like API calls or compute hours is generally higher than that of abstract tokens. Nevertheless, the inherent unpredictability of usage can lead to unexpected costs, necessitating robust monitoring and cost management (Google Cloud, 2023). For AI agents, usage-based models demand intelligent resource allocation and dynamic decision-making capabilities to optimize costs while achieving objectives (Unknown, 2023).</w:t>
      </w:r>
    </w:p>
    <w:p>
      <w:pPr>
        <w:pStyle w:val="BodyText"/>
      </w:pPr>
      <w:r>
        <w:rPr>
          <w:b/>
        </w:rPr>
        <w:t xml:space="preserve">Value-based pricing</w:t>
      </w:r>
      <w:r>
        <w:t xml:space="preserve">, while theoretically appealing for capturing the true economic and strategic benefits of AI, faces significant practical hurdles in quantifying intangible value and attributing specific outcomes to AI’s contribution (BCG, 2023). Its strength lies in aligning pricing with the actual impact on business performance or societal good, moving beyond mere input costs. However, the complexity of measuring AI’s value, especially for autonomous agents whose contributions may be diffuse and evolving, makes its direct application challenging (Unknown, 2024). Despite these difficulties, value-based considerations are increasingly influencing the design of hybrid pricing models, where a base usage or subscription fee is combined with performance-based incentives or outcome-driven pricing (BCG, 2023).</w:t>
      </w:r>
    </w:p>
    <w:p>
      <w:pPr>
        <w:pStyle w:val="BodyText"/>
      </w:pPr>
      <w:r>
        <w:rPr>
          <w:b/>
        </w:rPr>
        <w:t xml:space="preserve">Hybrid models</w:t>
      </w:r>
      <w:r>
        <w:t xml:space="preserve"> </w:t>
      </w:r>
      <w:r>
        <w:t xml:space="preserve">represent a significant emerging trend in AI monetization (Unknown, 2024). These models often combine the predictability of a subscription or tiered access fee with the flexibility of usage-based or token-based charges for incremental consumption. For instance, a developer might pay a monthly subscription for access to a certain tier of an LLM, which includes a fixed quota of tokens, and then pay per token for usage beyond that quota. Such models aim to balance cost predictability for users with revenue scalability for providers, while also offering different pricing tiers based on features, support, or service level agreements. This approach allows providers to capture both the upfront value of access to advanced AI capabilities and the ongoing value generated through sustained usage (Unknown, 2023).</w:t>
      </w:r>
    </w:p>
    <w:p>
      <w:pPr>
        <w:pStyle w:val="BodyText"/>
      </w:pPr>
      <w:r>
        <w:t xml:space="preserve">The</w:t>
      </w:r>
      <w:r>
        <w:t xml:space="preserve"> </w:t>
      </w:r>
      <w:r>
        <w:rPr>
          <w:b/>
        </w:rPr>
        <w:t xml:space="preserve">regulatory and standardization efforts</w:t>
      </w:r>
      <w:r>
        <w:t xml:space="preserve"> </w:t>
      </w:r>
      <w:r>
        <w:t xml:space="preserve">are also shaping the future of AI pricing. The European Commission’s AI Act, for example, by mandating certain levels of transparency, risk assessment, and human oversight, can indirectly impact pricing by increasing compliance costs for providers (European Commission, 2024)(Unknown, 2023). Organizations like NIST, IEEE, and ISO are actively developing standards for AI governance, best practices, and service metering (NIST, 2023)(IEEE, 2023)(ISO, 2023). These standards are crucial for ensuring interoperability, promoting fair competition, and providing clarity on how AI services are measured and valued. Standardized metering, in particular, could alleviate issues of cost unpredictability and vendor lock-in, fostering a more transparent and competitive market for AI services. The WHO’s ethical guidelines for AI also underscore the importance of pricing models that ensure equitable access and do not exacerbate existing societal inequalities (WHO, 2023).</w:t>
      </w:r>
    </w:p>
    <w:p>
      <w:pPr>
        <w:pStyle w:val="BodyText"/>
      </w:pPr>
      <w:r>
        <w:t xml:space="preserve">The</w:t>
      </w:r>
      <w:r>
        <w:t xml:space="preserve"> </w:t>
      </w:r>
      <w:r>
        <w:rPr>
          <w:b/>
        </w:rPr>
        <w:t xml:space="preserve">future outlook for AI pricing</w:t>
      </w:r>
      <w:r>
        <w:t xml:space="preserve">, especially for autonomous agents, points towards increasing sophistication and customization. As AI agents become more capable and integrate more deeply into economic processes, their pricing models will likely evolve to reflect their decision-making autonomy and the complex value chains they participate in (Unknown, 2023). This could include micro-transaction models where agents pay for specific data access or sub-services, or even models where agents engage in dynamic bidding for resources. The</w:t>
      </w:r>
      <w:r>
        <w:t xml:space="preserve"> </w:t>
      </w:r>
      <w:r>
        <w:t xml:space="preserve">“</w:t>
      </w:r>
      <w:r>
        <w:t xml:space="preserve">competitive landscape of AI pricing models</w:t>
      </w:r>
      <w:r>
        <w:t xml:space="preserve">”</w:t>
      </w:r>
      <w:r>
        <w:t xml:space="preserve"> </w:t>
      </w:r>
      <w:r>
        <w:t xml:space="preserve">suggests a continuous innovation cycle, with providers experimenting with new ways to differentiate their offerings and capture value (Unknown, 2023). Research on</w:t>
      </w:r>
      <w:r>
        <w:t xml:space="preserve"> </w:t>
      </w:r>
      <w:r>
        <w:t xml:space="preserve">“</w:t>
      </w:r>
      <w:r>
        <w:t xml:space="preserve">AI monetization trends 2020-2024</w:t>
      </w:r>
      <w:r>
        <w:t xml:space="preserve">”</w:t>
      </w:r>
      <w:r>
        <w:t xml:space="preserve"> </w:t>
      </w:r>
      <w:r>
        <w:t xml:space="preserve">indicates a shift towards more outcome-oriented and partnership-based pricing, where providers and users share in the risks and rewards of AI deployment (Unknown, 2024).</w:t>
      </w:r>
    </w:p>
    <w:p>
      <w:pPr>
        <w:pStyle w:val="BodyText"/>
      </w:pPr>
      <w:r>
        <w:t xml:space="preserve">Despite the significant progress in understanding AI pricing, several</w:t>
      </w:r>
      <w:r>
        <w:t xml:space="preserve"> </w:t>
      </w:r>
      <w:r>
        <w:rPr>
          <w:b/>
        </w:rPr>
        <w:t xml:space="preserve">critical gaps remain in the current literature</w:t>
      </w:r>
      <w:r>
        <w:t xml:space="preserve">. There is a need for more empirical studies on the actual economic impact of different AI pricing models on user adoption, innovation, and market competition. The specific challenges of pricing highly autonomous, self-improving AI agents, which can adapt their behavior and value proposition over time, are still largely underexplored (Unknown, 2023)(Unknown, 2024). Research is also needed on the development of robust, transparent, and ethically sound frameworks for attributing value in complex human-AI and AI-AI collaborative systems. Furthermore, the long-term effects of current pricing models on the accessibility of advanced AI, particularly for developing nations or smaller enterprises, warrant greater attention (Brookings, 2022)(WHO, 2023). Addressing these gaps will be crucial for fostering a sustainable and equitable AI economy.</w:t>
      </w:r>
    </w:p>
    <w:p>
      <w:pPr>
        <w:pStyle w:val="BodyText"/>
      </w:pPr>
      <w:r>
        <w:t xml:space="preserve">The continuous evolution of AI technology, coupled with the increasing sophistication of autonomous agents, demands a flexible and forward-thinking approach to pricing. The synthesis of token-based, usage-based, and value-based theories, alongside a keen awareness of regulatory and ethical considerations, will be essential in developing pricing models that effectively capture the immense value of AI while promoting its responsible and widespread adoption. This literature review provides a foundation for understanding these complex dynamics, setting the stage for further investigation into the optimal pricing strategies for the next generation of AI services and autonomous agents. The transition from simple API calls to complex agentic interactions necessitates a re-evaluation of how value is created, exchanged, and compensated in an increasingly intelligent and automated world.</w:t>
      </w:r>
    </w:p>
    <w:p>
      <w:pPr>
        <w:pStyle w:val="Heading3"/>
      </w:pPr>
      <w:bookmarkStart w:id="28" w:name="Xb5bb3877be232b9b29bfeec02ae1f411a6077ed"/>
      <w:r>
        <w:t xml:space="preserve">Comparative Analysis of AI Pricing Model Characteristics</w:t>
      </w:r>
      <w:bookmarkEnd w:id="28"/>
    </w:p>
    <w:p>
      <w:pPr>
        <w:pStyle w:val="FirstParagraph"/>
      </w:pPr>
      <w:r>
        <w:t xml:space="preserve">To synthesize the diverse models discussed, this table offers a comparative overview of their core characteristics, highlighting their primary focus, key advantages, and significant challenges. This comparison facilitates a clearer understanding of when each model might be most appropriate for different types of AI services and agentic applications.</w:t>
      </w:r>
    </w:p>
    <w:p>
      <w:pPr>
        <w:pStyle w:val="BodyText"/>
      </w:pPr>
      <w:r>
        <w:rPr>
          <w:b/>
        </w:rPr>
        <w:t xml:space="preserve">Table 1: Comparative Analysis of AI Pricing Model Characteristics</w:t>
      </w:r>
    </w:p>
    <w:tbl>
      <w:tblPr>
        <w:tblStyle w:val="Table"/>
        <w:tblW w:type="pct" w:w="5000.0"/>
        <w:tblLook w:firstRow="1"/>
      </w:tblPr>
      <w:tblGrid>
        <w:gridCol w:w="1150"/>
        <w:gridCol w:w="1421"/>
        <w:gridCol w:w="1421"/>
        <w:gridCol w:w="1556"/>
        <w:gridCol w:w="2369"/>
      </w:tblGrid>
      <w:tr>
        <w:trPr>
          <w:cnfStyle w:firstRow="1"/>
        </w:trPr>
        <w:tc>
          <w:tcPr>
            <w:tcBorders>
              <w:bottom w:val="single"/>
            </w:tcBorders>
            <w:vAlign w:val="bottom"/>
          </w:tcPr>
          <w:p>
            <w:pPr>
              <w:pStyle w:val="Compact"/>
              <w:jc w:val="left"/>
            </w:pPr>
            <w:r>
              <w:t xml:space="preserve">Characteristic</w:t>
            </w:r>
          </w:p>
        </w:tc>
        <w:tc>
          <w:tcPr>
            <w:tcBorders>
              <w:bottom w:val="single"/>
            </w:tcBorders>
            <w:vAlign w:val="bottom"/>
          </w:tcPr>
          <w:p>
            <w:pPr>
              <w:pStyle w:val="Compact"/>
              <w:jc w:val="left"/>
            </w:pPr>
            <w:r>
              <w:t xml:space="preserve">Token-Based Pricing</w:t>
            </w:r>
          </w:p>
        </w:tc>
        <w:tc>
          <w:tcPr>
            <w:tcBorders>
              <w:bottom w:val="single"/>
            </w:tcBorders>
            <w:vAlign w:val="bottom"/>
          </w:tcPr>
          <w:p>
            <w:pPr>
              <w:pStyle w:val="Compact"/>
              <w:jc w:val="left"/>
            </w:pPr>
            <w:r>
              <w:t xml:space="preserve">Usage-Based Pricing</w:t>
            </w:r>
          </w:p>
        </w:tc>
        <w:tc>
          <w:tcPr>
            <w:tcBorders>
              <w:bottom w:val="single"/>
            </w:tcBorders>
            <w:vAlign w:val="bottom"/>
          </w:tcPr>
          <w:p>
            <w:pPr>
              <w:pStyle w:val="Compact"/>
              <w:jc w:val="left"/>
            </w:pPr>
            <w:r>
              <w:t xml:space="preserve">Feature-Based Pricing</w:t>
            </w:r>
          </w:p>
        </w:tc>
        <w:tc>
          <w:tcPr>
            <w:tcBorders>
              <w:bottom w:val="single"/>
            </w:tcBorders>
            <w:vAlign w:val="bottom"/>
          </w:tcPr>
          <w:p>
            <w:pPr>
              <w:pStyle w:val="Compact"/>
              <w:jc w:val="left"/>
            </w:pPr>
            <w:r>
              <w:t xml:space="preserve">Performance/Outcome-Based Pricing</w:t>
            </w:r>
          </w:p>
        </w:tc>
      </w:tr>
      <w:tr>
        <w:tc>
          <w:p>
            <w:pPr>
              <w:pStyle w:val="Compact"/>
              <w:jc w:val="left"/>
            </w:pPr>
            <w:r>
              <w:rPr>
                <w:b/>
              </w:rPr>
              <w:t xml:space="preserve">Primary Focus</w:t>
            </w:r>
          </w:p>
        </w:tc>
        <w:tc>
          <w:p>
            <w:pPr>
              <w:pStyle w:val="Compact"/>
              <w:jc w:val="left"/>
            </w:pPr>
            <w:r>
              <w:t xml:space="preserve">Computational Effort/Text Volume</w:t>
            </w:r>
          </w:p>
        </w:tc>
        <w:tc>
          <w:p>
            <w:pPr>
              <w:pStyle w:val="Compact"/>
              <w:jc w:val="left"/>
            </w:pPr>
            <w:r>
              <w:t xml:space="preserve">Resource Consumption/API Calls</w:t>
            </w:r>
          </w:p>
        </w:tc>
        <w:tc>
          <w:p>
            <w:pPr>
              <w:pStyle w:val="Compact"/>
              <w:jc w:val="left"/>
            </w:pPr>
            <w:r>
              <w:t xml:space="preserve">Access to Functionality/Capabilities</w:t>
            </w:r>
          </w:p>
        </w:tc>
        <w:tc>
          <w:p>
            <w:pPr>
              <w:pStyle w:val="Compact"/>
              <w:jc w:val="left"/>
            </w:pPr>
            <w:r>
              <w:t xml:space="preserve">Achieved Results/Business Impact</w:t>
            </w:r>
          </w:p>
        </w:tc>
      </w:tr>
      <w:tr>
        <w:tc>
          <w:p>
            <w:pPr>
              <w:pStyle w:val="Compact"/>
              <w:jc w:val="left"/>
            </w:pPr>
            <w:r>
              <w:rPr>
                <w:b/>
              </w:rPr>
              <w:t xml:space="preserve">Key Advantage</w:t>
            </w:r>
          </w:p>
        </w:tc>
        <w:tc>
          <w:p>
            <w:pPr>
              <w:pStyle w:val="Compact"/>
              <w:jc w:val="left"/>
            </w:pPr>
            <w:r>
              <w:t xml:space="preserve">Granular cost control, scales with content</w:t>
            </w:r>
          </w:p>
        </w:tc>
        <w:tc>
          <w:p>
            <w:pPr>
              <w:pStyle w:val="Compact"/>
              <w:jc w:val="left"/>
            </w:pPr>
            <w:r>
              <w:t xml:space="preserve">Flexible, scalable, pay-as-you-go</w:t>
            </w:r>
          </w:p>
        </w:tc>
        <w:tc>
          <w:p>
            <w:pPr>
              <w:pStyle w:val="Compact"/>
              <w:jc w:val="left"/>
            </w:pPr>
            <w:r>
              <w:t xml:space="preserve">Predictable revenue, market segmentation</w:t>
            </w:r>
          </w:p>
        </w:tc>
        <w:tc>
          <w:p>
            <w:pPr>
              <w:pStyle w:val="Compact"/>
              <w:jc w:val="left"/>
            </w:pPr>
            <w:r>
              <w:t xml:space="preserve">High value alignment, reduced customer risk</w:t>
            </w:r>
          </w:p>
        </w:tc>
      </w:tr>
      <w:tr>
        <w:tc>
          <w:p>
            <w:pPr>
              <w:pStyle w:val="Compact"/>
              <w:jc w:val="left"/>
            </w:pPr>
            <w:r>
              <w:rPr>
                <w:b/>
              </w:rPr>
              <w:t xml:space="preserve">Main Challenge</w:t>
            </w:r>
          </w:p>
        </w:tc>
        <w:tc>
          <w:p>
            <w:pPr>
              <w:pStyle w:val="Compact"/>
              <w:jc w:val="left"/>
            </w:pPr>
            <w:r>
              <w:t xml:space="preserve">Cost unpredictability, lack of transparency</w:t>
            </w:r>
          </w:p>
        </w:tc>
        <w:tc>
          <w:p>
            <w:pPr>
              <w:pStyle w:val="Compact"/>
              <w:jc w:val="left"/>
            </w:pPr>
            <w:r>
              <w:t xml:space="preserve">Cost unpredictability, vendor lock-in</w:t>
            </w:r>
          </w:p>
        </w:tc>
        <w:tc>
          <w:p>
            <w:pPr>
              <w:pStyle w:val="Compact"/>
              <w:jc w:val="left"/>
            </w:pPr>
            <w:r>
              <w:t xml:space="preserve">Feature bloat, defining feature value</w:t>
            </w:r>
          </w:p>
        </w:tc>
        <w:tc>
          <w:p>
            <w:pPr>
              <w:pStyle w:val="Compact"/>
              <w:jc w:val="left"/>
            </w:pPr>
            <w:r>
              <w:t xml:space="preserve">Measurement/attribution, provider risk</w:t>
            </w:r>
          </w:p>
        </w:tc>
      </w:tr>
      <w:tr>
        <w:tc>
          <w:p>
            <w:pPr>
              <w:pStyle w:val="Compact"/>
              <w:jc w:val="left"/>
            </w:pPr>
            <w:r>
              <w:rPr>
                <w:b/>
              </w:rPr>
              <w:t xml:space="preserve">Typical Use</w:t>
            </w:r>
          </w:p>
        </w:tc>
        <w:tc>
          <w:p>
            <w:pPr>
              <w:pStyle w:val="Compact"/>
              <w:jc w:val="left"/>
            </w:pPr>
            <w:r>
              <w:t xml:space="preserve">Generative LLMs, text embeddings</w:t>
            </w:r>
          </w:p>
        </w:tc>
        <w:tc>
          <w:p>
            <w:pPr>
              <w:pStyle w:val="Compact"/>
              <w:jc w:val="left"/>
            </w:pPr>
            <w:r>
              <w:t xml:space="preserve">Specialized ML APIs, custom model inference</w:t>
            </w:r>
          </w:p>
        </w:tc>
        <w:tc>
          <w:p>
            <w:pPr>
              <w:pStyle w:val="Compact"/>
              <w:jc w:val="left"/>
            </w:pPr>
            <w:r>
              <w:t xml:space="preserve">AI platforms, tiered software access</w:t>
            </w:r>
          </w:p>
        </w:tc>
        <w:tc>
          <w:p>
            <w:pPr>
              <w:pStyle w:val="Compact"/>
              <w:jc w:val="left"/>
            </w:pPr>
            <w:r>
              <w:t xml:space="preserve">Specialized AI agents, enterprise solutions</w:t>
            </w:r>
          </w:p>
        </w:tc>
      </w:tr>
      <w:tr>
        <w:tc>
          <w:p>
            <w:pPr>
              <w:pStyle w:val="Compact"/>
              <w:jc w:val="left"/>
            </w:pPr>
            <w:r>
              <w:rPr>
                <w:b/>
              </w:rPr>
              <w:t xml:space="preserve">Risk Allocation</w:t>
            </w:r>
          </w:p>
        </w:tc>
        <w:tc>
          <w:p>
            <w:pPr>
              <w:pStyle w:val="Compact"/>
              <w:jc w:val="left"/>
            </w:pPr>
            <w:r>
              <w:t xml:space="preserve">Shared (user for volume, provider for token cost)</w:t>
            </w:r>
          </w:p>
        </w:tc>
        <w:tc>
          <w:p>
            <w:pPr>
              <w:pStyle w:val="Compact"/>
              <w:jc w:val="left"/>
            </w:pPr>
            <w:r>
              <w:t xml:space="preserve">Shared (user for volume, provider for resource cost)</w:t>
            </w:r>
          </w:p>
        </w:tc>
        <w:tc>
          <w:p>
            <w:pPr>
              <w:pStyle w:val="Compact"/>
              <w:jc w:val="left"/>
            </w:pPr>
            <w:r>
              <w:t xml:space="preserve">Provider (for feature development), user (for underutilization)</w:t>
            </w:r>
          </w:p>
        </w:tc>
        <w:tc>
          <w:p>
            <w:pPr>
              <w:pStyle w:val="Compact"/>
              <w:jc w:val="left"/>
            </w:pPr>
            <w:r>
              <w:t xml:space="preserve">High for provider, low for user</w:t>
            </w:r>
          </w:p>
        </w:tc>
      </w:tr>
      <w:tr>
        <w:tc>
          <w:p>
            <w:pPr>
              <w:pStyle w:val="Compact"/>
              <w:jc w:val="left"/>
            </w:pPr>
            <w:r>
              <w:rPr>
                <w:b/>
              </w:rPr>
              <w:t xml:space="preserve">Predictability</w:t>
            </w:r>
          </w:p>
        </w:tc>
        <w:tc>
          <w:p>
            <w:pPr>
              <w:pStyle w:val="Compact"/>
              <w:jc w:val="left"/>
            </w:pPr>
            <w:r>
              <w:t xml:space="preserve">Low (for end-users)</w:t>
            </w:r>
          </w:p>
        </w:tc>
        <w:tc>
          <w:p>
            <w:pPr>
              <w:pStyle w:val="Compact"/>
              <w:jc w:val="left"/>
            </w:pPr>
            <w:r>
              <w:t xml:space="preserve">Moderate (for API calls)</w:t>
            </w:r>
          </w:p>
        </w:tc>
        <w:tc>
          <w:p>
            <w:pPr>
              <w:pStyle w:val="Compact"/>
              <w:jc w:val="left"/>
            </w:pPr>
            <w:r>
              <w:t xml:space="preserve">High (fixed fees)</w:t>
            </w:r>
          </w:p>
        </w:tc>
        <w:tc>
          <w:p>
            <w:pPr>
              <w:pStyle w:val="Compact"/>
              <w:jc w:val="left"/>
            </w:pPr>
            <w:r>
              <w:t xml:space="preserve">Moderate (tied to success metrics)</w:t>
            </w:r>
          </w:p>
        </w:tc>
      </w:tr>
    </w:tbl>
    <w:p>
      <w:pPr>
        <w:pStyle w:val="BodyText"/>
      </w:pPr>
      <w:r>
        <w:rPr>
          <w:i/>
        </w:rPr>
        <w:t xml:space="preserve">Note: This table summarizes the general characteristics of each pricing model. Hybrid models often combine elements from these categories to optimize for specific use cases and market demands.</w:t>
      </w:r>
    </w:p>
    <w:p>
      <w:r>
        <w:pict>
          <v:rect style="width:0;height:1.5pt" o:hralign="center" o:hrstd="t" o:hr="t"/>
        </w:pict>
      </w:r>
    </w:p>
    <w:p>
      <w:pPr>
        <w:pStyle w:val="Heading1"/>
      </w:pPr>
      <w:bookmarkStart w:id="29" w:name="methodology"/>
      <w:r>
        <w:t xml:space="preserve">Methodology</w:t>
      </w:r>
      <w:bookmarkEnd w:id="29"/>
    </w:p>
    <w:p>
      <w:pPr>
        <w:pStyle w:val="FirstParagraph"/>
      </w:pPr>
      <w:r>
        <w:t xml:space="preserve">This research employs a qualitative, multi-case study methodology to systematically analyze and compare the diverse pricing models currently being implemented for autonomous AI agents and related AI services. Given the nascent and rapidly evolving nature of this domain, a qualitative approach rooted in case studies is particularly well-suited for an in-depth exploration of complex phenomena, allowing for the identification of emerging patterns, underlying rationales, and critical challenges that quantitative methods alone might obscure (RAND Corporation, 2021). The methodology is structured around three core components: the development of a comprehensive analytical framework for comparing AI pricing models, the establishment of rigorous criteria for case study selection, and a detailed outline of the data collection and analysis procedures. This structured approach ensures both the breadth of coverage necessary to capture the diversity of AI pricing strategies and the depth required for meaningful insights into their economic, operational, and strategic implications (OECD, 2022).</w:t>
      </w:r>
    </w:p>
    <w:p>
      <w:pPr>
        <w:pStyle w:val="Heading3"/>
      </w:pPr>
      <w:bookmarkStart w:id="30" w:name="X1ac303f795edc0afb33f22b5f3bb53cc0d0b967"/>
      <w:r>
        <w:t xml:space="preserve">3.1. Framework for Comparing AI Pricing Models</w:t>
      </w:r>
      <w:bookmarkEnd w:id="30"/>
    </w:p>
    <w:p>
      <w:pPr>
        <w:pStyle w:val="FirstParagraph"/>
      </w:pPr>
      <w:r>
        <w:t xml:space="preserve">The proliferation of AI services, ranging from highly specialized models accessible via APIs to increasingly autonomous AI agents, necessitates a robust and multi-dimensional framework for their economic evaluation and comparison (Unknown, 2023). Traditional pricing models, often derived from software-as-a-service (SaaS) or platform economics, provide a foundational understanding but often fall short in capturing the unique complexities inherent in AI, such as probabilistic outputs, continuous learning, and the often opaque nature of value generation (Unknown, 2022). Therefore, this research develops a comprehensive analytical framework that integrates several critical dimensions to facilitate a nuanced comparison of existing AI pricing models. This framework is designed to move beyond simplistic cost-per-unit metrics, incorporating factors that reflect the true value proposition, operational complexities, and external pressures shaping the AI market (BCG, 2023).</w:t>
      </w:r>
    </w:p>
    <w:p>
      <w:pPr>
        <w:pStyle w:val="BodyText"/>
      </w:pPr>
      <w:r>
        <w:t xml:space="preserve">The proposed framework is structured around six key dimensions, each comprising specific criteria for evaluation, drawing upon established economic theories, technology management principles, and emerging AI governance guidelines (OECD, 2022)(Brookings, 2022)(Unknown, 2023).</w:t>
      </w:r>
    </w:p>
    <w:p>
      <w:pPr>
        <w:pStyle w:val="Heading4"/>
      </w:pPr>
      <w:bookmarkStart w:id="31" w:name="cost-based-considerations"/>
      <w:r>
        <w:t xml:space="preserve">3.1.1. Cost-Based Considerations</w:t>
      </w:r>
      <w:bookmarkEnd w:id="31"/>
    </w:p>
    <w:p>
      <w:pPr>
        <w:pStyle w:val="FirstParagraph"/>
      </w:pPr>
      <w:r>
        <w:t xml:space="preserve">This dimension examines how the underlying costs of developing, deploying, and maintaining AI models are reflected in their pricing. It acknowledges that AI services incur significant variable and fixed costs that are distinct from traditional software (Unknown, 2023).</w:t>
      </w:r>
      <w:r>
        <w:t xml:space="preserve"> </w:t>
      </w:r>
      <w:r>
        <w:t xml:space="preserve">*</w:t>
      </w:r>
      <w:r>
        <w:t xml:space="preserve"> </w:t>
      </w:r>
      <w:r>
        <w:rPr>
          <w:b/>
        </w:rPr>
        <w:t xml:space="preserve">Variable Costs:</w:t>
      </w:r>
      <w:r>
        <w:t xml:space="preserve"> </w:t>
      </w:r>
      <w:r>
        <w:t xml:space="preserve">These include compute resources (GPUs, CPUs), data acquisition and processing (storage, labeling, curation), and inference costs (per API call, per token, per hour of processing). The granularity of metering and its alignment with actual resource consumption are critical factors here (IEEE, 2023).</w:t>
      </w:r>
      <w:r>
        <w:t xml:space="preserve"> </w:t>
      </w:r>
      <w:r>
        <w:t xml:space="preserve">*</w:t>
      </w:r>
      <w:r>
        <w:t xml:space="preserve"> </w:t>
      </w:r>
      <w:r>
        <w:rPr>
          <w:b/>
        </w:rPr>
        <w:t xml:space="preserve">Fixed Costs:</w:t>
      </w:r>
      <w:r>
        <w:t xml:space="preserve"> </w:t>
      </w:r>
      <w:r>
        <w:t xml:space="preserve">These encompass research and development (R&amp;D) investments, model training (initial and continuous), infrastructure setup, and ongoing maintenance. How providers amortize these substantial upfront investments across their user base, often through subscription tiers or premium features, is a key aspect of their pricing strategy.</w:t>
      </w:r>
      <w:r>
        <w:t xml:space="preserve"> </w:t>
      </w:r>
      <w:r>
        <w:t xml:space="preserve">*</w:t>
      </w:r>
      <w:r>
        <w:t xml:space="preserve"> </w:t>
      </w:r>
      <w:r>
        <w:rPr>
          <w:b/>
        </w:rPr>
        <w:t xml:space="preserve">Operational Overheads:</w:t>
      </w:r>
      <w:r>
        <w:t xml:space="preserve"> </w:t>
      </w:r>
      <w:r>
        <w:t xml:space="preserve">This includes costs associated with model monitoring, versioning, security, and customer support. The efficiency of operationalizing AI at scale directly impacts the cost base and, consequently, the pricing structure (NIST, 2023).</w:t>
      </w:r>
      <w:r>
        <w:t xml:space="preserve"> </w:t>
      </w:r>
      <w:r>
        <w:t xml:space="preserve">*</w:t>
      </w:r>
      <w:r>
        <w:t xml:space="preserve"> </w:t>
      </w:r>
      <w:r>
        <w:rPr>
          <w:b/>
        </w:rPr>
        <w:t xml:space="preserve">Data Governance Costs:</w:t>
      </w:r>
      <w:r>
        <w:t xml:space="preserve"> </w:t>
      </w:r>
      <w:r>
        <w:t xml:space="preserve">With increasing regulatory scrutiny on data privacy and usage, the costs associated with ensuring compliance, data anonymization, and secure data handling are becoming significant, influencing the overall cost of providing AI services (European Commission, 2024).</w:t>
      </w:r>
    </w:p>
    <w:p>
      <w:pPr>
        <w:pStyle w:val="Heading4"/>
      </w:pPr>
      <w:bookmarkStart w:id="32" w:name="value-based-considerations"/>
      <w:r>
        <w:t xml:space="preserve">3.1.2. Value-Based Considerations</w:t>
      </w:r>
      <w:bookmarkEnd w:id="32"/>
    </w:p>
    <w:p>
      <w:pPr>
        <w:pStyle w:val="FirstParagraph"/>
      </w:pPr>
      <w:r>
        <w:t xml:space="preserve">This dimension focuses on the perceived and actual value delivered to the end-user or client by the AI service. Unlike traditional software, the value of AI often lies in its ability to generate insights, automate complex tasks, or enhance decision-making in ways that are difficult to quantify ex-ante (Unknown, 2024).</w:t>
      </w:r>
      <w:r>
        <w:t xml:space="preserve"> </w:t>
      </w:r>
      <w:r>
        <w:t xml:space="preserve">*</w:t>
      </w:r>
      <w:r>
        <w:t xml:space="preserve"> </w:t>
      </w:r>
      <w:r>
        <w:rPr>
          <w:b/>
        </w:rPr>
        <w:t xml:space="preserve">Outcome Alignment:</w:t>
      </w:r>
      <w:r>
        <w:t xml:space="preserve"> </w:t>
      </w:r>
      <w:r>
        <w:t xml:space="preserve">The extent to which pricing models align with the measurable outcomes or benefits achieved by the user (e.g., increased revenue, cost savings, efficiency gains, improved accuracy). Outcome-based pricing, though challenging to implement, represents a high degree of value alignment (BCG, 2023).</w:t>
      </w:r>
      <w:r>
        <w:t xml:space="preserve"> </w:t>
      </w:r>
      <w:r>
        <w:t xml:space="preserve">*</w:t>
      </w:r>
      <w:r>
        <w:t xml:space="preserve"> </w:t>
      </w:r>
      <w:r>
        <w:rPr>
          <w:b/>
        </w:rPr>
        <w:t xml:space="preserve">Problem Solving Capability:</w:t>
      </w:r>
      <w:r>
        <w:t xml:space="preserve"> </w:t>
      </w:r>
      <w:r>
        <w:t xml:space="preserve">The complexity and criticality of the problem the AI solves. Highly specialized or mission-critical AI applications can command premium pricing due to their unique value proposition.</w:t>
      </w:r>
      <w:r>
        <w:t xml:space="preserve"> </w:t>
      </w:r>
      <w:r>
        <w:t xml:space="preserve">*</w:t>
      </w:r>
      <w:r>
        <w:t xml:space="preserve"> </w:t>
      </w:r>
      <w:r>
        <w:rPr>
          <w:b/>
        </w:rPr>
        <w:t xml:space="preserve">Efficiency and Automation:</w:t>
      </w:r>
      <w:r>
        <w:t xml:space="preserve"> </w:t>
      </w:r>
      <w:r>
        <w:t xml:space="preserve">The degree to which the AI automates manual processes, reduces human effort, or frees up human capital for higher-value tasks. Quantifying these efficiency gains is crucial for value-based pricing.</w:t>
      </w:r>
      <w:r>
        <w:t xml:space="preserve"> </w:t>
      </w:r>
      <w:r>
        <w:t xml:space="preserve">*</w:t>
      </w:r>
      <w:r>
        <w:t xml:space="preserve"> </w:t>
      </w:r>
      <w:r>
        <w:rPr>
          <w:b/>
        </w:rPr>
        <w:t xml:space="preserve">Strategic Advantage:</w:t>
      </w:r>
      <w:r>
        <w:t xml:space="preserve"> </w:t>
      </w:r>
      <w:r>
        <w:t xml:space="preserve">The competitive edge or strategic capabilities the AI confers upon its users, such as faster innovation cycles, superior market intelligence, or enhanced customer experiences.</w:t>
      </w:r>
      <w:r>
        <w:t xml:space="preserve"> </w:t>
      </w:r>
      <w:r>
        <w:t xml:space="preserve">*</w:t>
      </w:r>
      <w:r>
        <w:t xml:space="preserve"> </w:t>
      </w:r>
      <w:r>
        <w:rPr>
          <w:b/>
        </w:rPr>
        <w:t xml:space="preserve">Customization and Specialization:</w:t>
      </w:r>
      <w:r>
        <w:t xml:space="preserve"> </w:t>
      </w:r>
      <w:r>
        <w:t xml:space="preserve">The value derived from AI models that are fine-tuned or specifically tailored to a client’s unique data, domain, or business requirements. These bespoke solutions often justify higher pricing tiers.</w:t>
      </w:r>
    </w:p>
    <w:p>
      <w:pPr>
        <w:pStyle w:val="Heading4"/>
      </w:pPr>
      <w:bookmarkStart w:id="33" w:name="market-based-considerations"/>
      <w:r>
        <w:t xml:space="preserve">3.1.3. Market-Based Considerations</w:t>
      </w:r>
      <w:bookmarkEnd w:id="33"/>
    </w:p>
    <w:p>
      <w:pPr>
        <w:pStyle w:val="FirstParagraph"/>
      </w:pPr>
      <w:r>
        <w:t xml:space="preserve">This dimension evaluates how external market forces, competitive dynamics, and user demand influence AI pricing strategies (Unknown, 2023).</w:t>
      </w:r>
      <w:r>
        <w:t xml:space="preserve"> </w:t>
      </w:r>
      <w:r>
        <w:t xml:space="preserve">*</w:t>
      </w:r>
      <w:r>
        <w:t xml:space="preserve"> </w:t>
      </w:r>
      <w:r>
        <w:rPr>
          <w:b/>
        </w:rPr>
        <w:t xml:space="preserve">Competitive Landscape:</w:t>
      </w:r>
      <w:r>
        <w:t xml:space="preserve"> </w:t>
      </w:r>
      <w:r>
        <w:t xml:space="preserve">The presence and pricing strategies of competitors offering similar or substitute AI services. Pricing decisions are often made in response to, or anticipation of, competitor moves (Unknown, 2023).</w:t>
      </w:r>
      <w:r>
        <w:t xml:space="preserve"> </w:t>
      </w:r>
      <w:r>
        <w:t xml:space="preserve">*</w:t>
      </w:r>
      <w:r>
        <w:t xml:space="preserve"> </w:t>
      </w:r>
      <w:r>
        <w:rPr>
          <w:b/>
        </w:rPr>
        <w:t xml:space="preserve">Demand Elasticity:</w:t>
      </w:r>
      <w:r>
        <w:t xml:space="preserve"> </w:t>
      </w:r>
      <w:r>
        <w:t xml:space="preserve">The sensitivity of user demand to changes in price. Understanding whether users are willing to pay more for higher performance, reliability, or specific features is critical.</w:t>
      </w:r>
      <w:r>
        <w:t xml:space="preserve"> </w:t>
      </w:r>
      <w:r>
        <w:t xml:space="preserve">*</w:t>
      </w:r>
      <w:r>
        <w:t xml:space="preserve"> </w:t>
      </w:r>
      <w:r>
        <w:rPr>
          <w:b/>
        </w:rPr>
        <w:t xml:space="preserve">Market Penetration Strategy:</w:t>
      </w:r>
      <w:r>
        <w:t xml:space="preserve"> </w:t>
      </w:r>
      <w:r>
        <w:t xml:space="preserve">Pricing models designed to capture market share, often involving introductory offers, freemium tiers, or aggressive pricing to attract new users.</w:t>
      </w:r>
      <w:r>
        <w:t xml:space="preserve"> </w:t>
      </w:r>
      <w:r>
        <w:t xml:space="preserve">*</w:t>
      </w:r>
      <w:r>
        <w:t xml:space="preserve"> </w:t>
      </w:r>
      <w:r>
        <w:rPr>
          <w:b/>
        </w:rPr>
        <w:t xml:space="preserve">Ecosystem and Platform Lock-in:</w:t>
      </w:r>
      <w:r>
        <w:t xml:space="preserve"> </w:t>
      </w:r>
      <w:r>
        <w:t xml:space="preserve">Pricing strategies that aim to integrate users deeply into a specific AI ecosystem or platform, making it costly to switch providers. This often involves tiered pricing that rewards higher usage within the platform (Unknown, 2022).</w:t>
      </w:r>
      <w:r>
        <w:t xml:space="preserve"> </w:t>
      </w:r>
      <w:r>
        <w:t xml:space="preserve">*</w:t>
      </w:r>
      <w:r>
        <w:t xml:space="preserve"> </w:t>
      </w:r>
      <w:r>
        <w:rPr>
          <w:b/>
        </w:rPr>
        <w:t xml:space="preserve">Network Effects:</w:t>
      </w:r>
      <w:r>
        <w:t xml:space="preserve"> </w:t>
      </w:r>
      <w:r>
        <w:t xml:space="preserve">For AI agents that benefit from collective intelligence or shared data, pricing might encourage broader adoption to enhance the agent’s overall utility.</w:t>
      </w:r>
    </w:p>
    <w:p>
      <w:pPr>
        <w:pStyle w:val="Heading4"/>
      </w:pPr>
      <w:bookmarkStart w:id="34" w:name="regulatory-and-ethical-considerations"/>
      <w:r>
        <w:t xml:space="preserve">3.1.4. Regulatory and Ethical Considerations</w:t>
      </w:r>
      <w:bookmarkEnd w:id="34"/>
    </w:p>
    <w:p>
      <w:pPr>
        <w:pStyle w:val="FirstParagraph"/>
      </w:pPr>
      <w:r>
        <w:t xml:space="preserve">The rapidly evolving regulatory landscape and increasing ethical scrutiny of AI significantly impact pricing decisions (European Commission, 2024)(Unknown, 2023).</w:t>
      </w:r>
      <w:r>
        <w:t xml:space="preserve"> </w:t>
      </w:r>
      <w:r>
        <w:t xml:space="preserve">*</w:t>
      </w:r>
      <w:r>
        <w:t xml:space="preserve"> </w:t>
      </w:r>
      <w:r>
        <w:rPr>
          <w:b/>
        </w:rPr>
        <w:t xml:space="preserve">Regulatory Compliance Costs:</w:t>
      </w:r>
      <w:r>
        <w:t xml:space="preserve"> </w:t>
      </w:r>
      <w:r>
        <w:t xml:space="preserve">Pricing models must account for the costs associated with complying with regulations like the EU AI Act, GDPR, or industry-specific standards (e.g., in healthcare or finance). This includes costs for transparency, explainability, safety testing, and data governance.</w:t>
      </w:r>
      <w:r>
        <w:t xml:space="preserve"> </w:t>
      </w:r>
      <w:r>
        <w:t xml:space="preserve">*</w:t>
      </w:r>
      <w:r>
        <w:t xml:space="preserve"> </w:t>
      </w:r>
      <w:r>
        <w:rPr>
          <w:b/>
        </w:rPr>
        <w:t xml:space="preserve">Ethical AI Development:</w:t>
      </w:r>
      <w:r>
        <w:t xml:space="preserve"> </w:t>
      </w:r>
      <w:r>
        <w:t xml:space="preserve">The investment required to ensure fairness, mitigate bias, and promote transparency in AI models. Pricing might reflect a premium for ethically developed and deployed AI, appealing to users with strong ethical mandates (WHO, 2023).</w:t>
      </w:r>
      <w:r>
        <w:t xml:space="preserve"> </w:t>
      </w:r>
      <w:r>
        <w:t xml:space="preserve">*</w:t>
      </w:r>
      <w:r>
        <w:t xml:space="preserve"> </w:t>
      </w:r>
      <w:r>
        <w:rPr>
          <w:b/>
        </w:rPr>
        <w:t xml:space="preserve">Liability and Risk Mitigation:</w:t>
      </w:r>
      <w:r>
        <w:t xml:space="preserve"> </w:t>
      </w:r>
      <w:r>
        <w:t xml:space="preserve">Pricing may incorporate a premium to cover potential liabilities arising from AI errors, biases, or misuse, especially for autonomous agents making critical decisions.</w:t>
      </w:r>
      <w:r>
        <w:t xml:space="preserve"> </w:t>
      </w:r>
      <w:r>
        <w:t xml:space="preserve">*</w:t>
      </w:r>
      <w:r>
        <w:t xml:space="preserve"> </w:t>
      </w:r>
      <w:r>
        <w:rPr>
          <w:b/>
        </w:rPr>
        <w:t xml:space="preserve">Data Privacy and Security:</w:t>
      </w:r>
      <w:r>
        <w:t xml:space="preserve"> </w:t>
      </w:r>
      <w:r>
        <w:t xml:space="preserve">The cost of implementing robust data privacy and security measures, which are often non-negotiable and passed on to the consumer.</w:t>
      </w:r>
    </w:p>
    <w:p>
      <w:pPr>
        <w:pStyle w:val="Heading4"/>
      </w:pPr>
      <w:bookmarkStart w:id="35" w:name="technical-and-operational-considerations"/>
      <w:r>
        <w:t xml:space="preserve">3.1.5. Technical and Operational Considerations</w:t>
      </w:r>
      <w:bookmarkEnd w:id="35"/>
    </w:p>
    <w:p>
      <w:pPr>
        <w:pStyle w:val="FirstParagraph"/>
      </w:pPr>
      <w:r>
        <w:t xml:space="preserve">This dimension focuses on the practicalities of implementing and scaling AI services, and how these technical characteristics influence pricing (IEEE, 2023).</w:t>
      </w:r>
      <w:r>
        <w:t xml:space="preserve"> </w:t>
      </w:r>
      <w:r>
        <w:t xml:space="preserve">*</w:t>
      </w:r>
      <w:r>
        <w:t xml:space="preserve"> </w:t>
      </w:r>
      <w:r>
        <w:rPr>
          <w:b/>
        </w:rPr>
        <w:t xml:space="preserve">Metering Granularity:</w:t>
      </w:r>
      <w:r>
        <w:t xml:space="preserve"> </w:t>
      </w:r>
      <w:r>
        <w:t xml:space="preserve">The precision with which AI usage can be measured (e.g., per token, per API call, per second of processing, per number of features used). More granular metering allows for more precise cost allocation and usage-based pricing.</w:t>
      </w:r>
      <w:r>
        <w:t xml:space="preserve"> </w:t>
      </w:r>
      <w:r>
        <w:t xml:space="preserve">*</w:t>
      </w:r>
      <w:r>
        <w:t xml:space="preserve"> </w:t>
      </w:r>
      <w:r>
        <w:rPr>
          <w:b/>
        </w:rPr>
        <w:t xml:space="preserve">Scalability Requirements:</w:t>
      </w:r>
      <w:r>
        <w:t xml:space="preserve"> </w:t>
      </w:r>
      <w:r>
        <w:t xml:space="preserve">The infrastructure and architectural design needed to scale AI services to meet fluctuating demand. Pricing models must accommodate the costs of elastic scaling.</w:t>
      </w:r>
      <w:r>
        <w:t xml:space="preserve"> </w:t>
      </w:r>
      <w:r>
        <w:t xml:space="preserve">*</w:t>
      </w:r>
      <w:r>
        <w:t xml:space="preserve"> </w:t>
      </w:r>
      <w:r>
        <w:rPr>
          <w:b/>
        </w:rPr>
        <w:t xml:space="preserve">Integration Complexity:</w:t>
      </w:r>
      <w:r>
        <w:t xml:space="preserve"> </w:t>
      </w:r>
      <w:r>
        <w:t xml:space="preserve">The ease or difficulty of integrating the AI service into existing systems. Simpler integration might allow for lower entry-level pricing, while complex enterprise integrations might involve setup fees or custom pricing.</w:t>
      </w:r>
      <w:r>
        <w:t xml:space="preserve"> </w:t>
      </w:r>
      <w:r>
        <w:t xml:space="preserve">*</w:t>
      </w:r>
      <w:r>
        <w:t xml:space="preserve"> </w:t>
      </w:r>
      <w:r>
        <w:rPr>
          <w:b/>
        </w:rPr>
        <w:t xml:space="preserve">Performance Metrics:</w:t>
      </w:r>
      <w:r>
        <w:t xml:space="preserve"> </w:t>
      </w:r>
      <w:r>
        <w:t xml:space="preserve">Pricing often correlates with performance characteristics such as latency, throughput, accuracy, and reliability. Premium pricing may be associated with guaranteed service levels (SLAs) (NIST, 2023).</w:t>
      </w:r>
      <w:r>
        <w:t xml:space="preserve"> </w:t>
      </w:r>
      <w:r>
        <w:t xml:space="preserve">*</w:t>
      </w:r>
      <w:r>
        <w:t xml:space="preserve"> </w:t>
      </w:r>
      <w:r>
        <w:rPr>
          <w:b/>
        </w:rPr>
        <w:t xml:space="preserve">Model Complexity and Size:</w:t>
      </w:r>
      <w:r>
        <w:t xml:space="preserve"> </w:t>
      </w:r>
      <w:r>
        <w:t xml:space="preserve">The computational resources required for different model sizes (e.g., parameter count for LLMs) directly impacts inference costs and can lead to tiered pricing based on model capability (Unknown, 2024).</w:t>
      </w:r>
    </w:p>
    <w:p>
      <w:pPr>
        <w:pStyle w:val="Heading4"/>
      </w:pPr>
      <w:bookmarkStart w:id="36" w:name="strategic-considerations"/>
      <w:r>
        <w:t xml:space="preserve">3.1.6. Strategic Considerations</w:t>
      </w:r>
      <w:bookmarkEnd w:id="36"/>
    </w:p>
    <w:p>
      <w:pPr>
        <w:pStyle w:val="FirstParagraph"/>
      </w:pPr>
      <w:r>
        <w:t xml:space="preserve">This dimension examines how pricing models serve broader organizational goals beyond immediate revenue generation, such as market positioning, brand building, and long-term sustainability (Gartner, 2024).</w:t>
      </w:r>
      <w:r>
        <w:t xml:space="preserve"> </w:t>
      </w:r>
      <w:r>
        <w:t xml:space="preserve">*</w:t>
      </w:r>
      <w:r>
        <w:t xml:space="preserve"> </w:t>
      </w:r>
      <w:r>
        <w:rPr>
          <w:b/>
        </w:rPr>
        <w:t xml:space="preserve">Market Positioning:</w:t>
      </w:r>
      <w:r>
        <w:t xml:space="preserve"> </w:t>
      </w:r>
      <w:r>
        <w:t xml:space="preserve">How pricing positions the AI service provider in the market (e.g., as a premium provider, a cost leader, or an innovator).</w:t>
      </w:r>
      <w:r>
        <w:t xml:space="preserve"> </w:t>
      </w:r>
      <w:r>
        <w:t xml:space="preserve">*</w:t>
      </w:r>
      <w:r>
        <w:t xml:space="preserve"> </w:t>
      </w:r>
      <w:r>
        <w:rPr>
          <w:b/>
        </w:rPr>
        <w:t xml:space="preserve">Ecosystem Development:</w:t>
      </w:r>
      <w:r>
        <w:t xml:space="preserve"> </w:t>
      </w:r>
      <w:r>
        <w:t xml:space="preserve">Pricing strategies designed to foster the growth of a developer ecosystem around an AI platform or agent, potentially through generous free tiers for developers.</w:t>
      </w:r>
      <w:r>
        <w:t xml:space="preserve"> </w:t>
      </w:r>
      <w:r>
        <w:t xml:space="preserve">*</w:t>
      </w:r>
      <w:r>
        <w:t xml:space="preserve"> </w:t>
      </w:r>
      <w:r>
        <w:rPr>
          <w:b/>
        </w:rPr>
        <w:t xml:space="preserve">Customer Lifetime Value (CLV):</w:t>
      </w:r>
      <w:r>
        <w:t xml:space="preserve"> </w:t>
      </w:r>
      <w:r>
        <w:t xml:space="preserve">Pricing that optimizes for long-term customer relationships and recurring revenue, rather than maximizing short-term profits.</w:t>
      </w:r>
      <w:r>
        <w:t xml:space="preserve"> </w:t>
      </w:r>
      <w:r>
        <w:t xml:space="preserve">*</w:t>
      </w:r>
      <w:r>
        <w:t xml:space="preserve"> </w:t>
      </w:r>
      <w:r>
        <w:rPr>
          <w:b/>
        </w:rPr>
        <w:t xml:space="preserve">Innovation and R&amp;D Funding:</w:t>
      </w:r>
      <w:r>
        <w:t xml:space="preserve"> </w:t>
      </w:r>
      <w:r>
        <w:t xml:space="preserve">Pricing models may implicitly or explicitly allocate resources for future innovation and R&amp;D, ensuring the continuous advancement of the AI offering.</w:t>
      </w:r>
      <w:r>
        <w:t xml:space="preserve"> </w:t>
      </w:r>
      <w:r>
        <w:t xml:space="preserve">*</w:t>
      </w:r>
      <w:r>
        <w:t xml:space="preserve"> </w:t>
      </w:r>
      <w:r>
        <w:rPr>
          <w:b/>
        </w:rPr>
        <w:t xml:space="preserve">Brand Perception:</w:t>
      </w:r>
      <w:r>
        <w:t xml:space="preserve"> </w:t>
      </w:r>
      <w:r>
        <w:t xml:space="preserve">Pricing can influence how an AI provider is perceived in terms of quality, reliability, and trustworthiness.</w:t>
      </w:r>
    </w:p>
    <w:p>
      <w:pPr>
        <w:pStyle w:val="BodyText"/>
      </w:pPr>
      <w:r>
        <w:t xml:space="preserve">By applying this multi-dimensional framework, this research aims to provide a comprehensive and nuanced understanding of how AI pricing models are constructed, what factors drive their design, and their potential implications for users, providers, and the broader AI ecosystem (Unknown, 2023)(BCG, 2023). This framework will serve as the primary analytical lens through which the selected case studies are examined and compared.</w:t>
      </w:r>
    </w:p>
    <w:p>
      <w:pPr>
        <w:pStyle w:val="Heading3"/>
      </w:pPr>
      <w:bookmarkStart w:id="37" w:name="Xc73f9b8ee0dcefc21b0e08298de0e041e239fe7"/>
      <w:r>
        <w:t xml:space="preserve">Conceptual Framework for Agentic AI Value Capture</w:t>
      </w:r>
      <w:bookmarkEnd w:id="37"/>
    </w:p>
    <w:p>
      <w:pPr>
        <w:pStyle w:val="FirstParagraph"/>
      </w:pPr>
      <w:r>
        <w:t xml:space="preserve">This figure illustrates the proposed conceptual framework for how agentic AI systems generate and capture value, integrating various considerations that influence pricing models. It highlights the transformation of raw inputs into measurable outcomes through autonomous agent actions.</w:t>
      </w:r>
    </w:p>
    <w:p>
      <w:pPr>
        <w:pStyle w:val="BodyText"/>
      </w:pPr>
      <w:r>
        <w:rPr>
          <w:b/>
        </w:rPr>
        <w:t xml:space="preserve">Figure 1: Conceptual Framework for Agentic AI Value Capture</w:t>
      </w:r>
    </w:p>
    <w:p>
      <w:pPr>
        <w:pStyle w:val="SourceCode"/>
      </w:pPr>
      <w:r>
        <w:rPr>
          <w:rStyle w:val="VerbatimChar"/>
        </w:rPr>
        <w:t xml:space="preserve">+---------------------+</w:t>
      </w:r>
      <w:r>
        <w:br/>
      </w:r>
      <w:r>
        <w:rPr>
          <w:rStyle w:val="VerbatimChar"/>
        </w:rPr>
        <w:t xml:space="preserve">| INPUTS |</w:t>
      </w:r>
      <w:r>
        <w:br/>
      </w:r>
      <w:r>
        <w:rPr>
          <w:rStyle w:val="VerbatimChar"/>
        </w:rPr>
        <w:t xml:space="preserve">| (Data, Prompts, |</w:t>
      </w:r>
      <w:r>
        <w:br/>
      </w:r>
      <w:r>
        <w:rPr>
          <w:rStyle w:val="VerbatimChar"/>
        </w:rPr>
        <w:t xml:space="preserve">| Environment State)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AGENTIC AI CORE |</w:t>
      </w:r>
      <w:r>
        <w:br/>
      </w:r>
      <w:r>
        <w:rPr>
          <w:rStyle w:val="VerbatimChar"/>
        </w:rPr>
        <w:t xml:space="preserve">| (LLM, Algorithms, |</w:t>
      </w:r>
      <w:r>
        <w:br/>
      </w:r>
      <w:r>
        <w:rPr>
          <w:rStyle w:val="VerbatimChar"/>
        </w:rPr>
        <w:t xml:space="preserve">| Learning Systems)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AGENT ACTIONS |</w:t>
      </w:r>
      <w:r>
        <w:br/>
      </w:r>
      <w:r>
        <w:rPr>
          <w:rStyle w:val="VerbatimChar"/>
        </w:rPr>
        <w:t xml:space="preserve">| (Decision-Making, |</w:t>
      </w:r>
      <w:r>
        <w:br/>
      </w:r>
      <w:r>
        <w:rPr>
          <w:rStyle w:val="VerbatimChar"/>
        </w:rPr>
        <w:t xml:space="preserve">| Task Execution, |</w:t>
      </w:r>
      <w:r>
        <w:br/>
      </w:r>
      <w:r>
        <w:rPr>
          <w:rStyle w:val="VerbatimChar"/>
        </w:rPr>
        <w:t xml:space="preserve">| Interactions)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OUTPUTS / SERVICES |</w:t>
      </w:r>
      <w:r>
        <w:br/>
      </w:r>
      <w:r>
        <w:rPr>
          <w:rStyle w:val="VerbatimChar"/>
        </w:rPr>
        <w:t xml:space="preserve">| (Generated Content, |</w:t>
      </w:r>
      <w:r>
        <w:br/>
      </w:r>
      <w:r>
        <w:rPr>
          <w:rStyle w:val="VerbatimChar"/>
        </w:rPr>
        <w:t xml:space="preserve">| API Calls, Reports)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OUTCOMES |</w:t>
      </w:r>
      <w:r>
        <w:br/>
      </w:r>
      <w:r>
        <w:rPr>
          <w:rStyle w:val="VerbatimChar"/>
        </w:rPr>
        <w:t xml:space="preserve">| (Efficiency, Cost |</w:t>
      </w:r>
      <w:r>
        <w:br/>
      </w:r>
      <w:r>
        <w:rPr>
          <w:rStyle w:val="VerbatimChar"/>
        </w:rPr>
        <w:t xml:space="preserve">| Savings, Revenue, |</w:t>
      </w:r>
      <w:r>
        <w:br/>
      </w:r>
      <w:r>
        <w:rPr>
          <w:rStyle w:val="VerbatimChar"/>
        </w:rPr>
        <w:t xml:space="preserve">| Strategic Value)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FEEDBACK &amp; |</w:t>
      </w:r>
      <w:r>
        <w:br/>
      </w:r>
      <w:r>
        <w:rPr>
          <w:rStyle w:val="VerbatimChar"/>
        </w:rPr>
        <w:t xml:space="preserve">| ETHICAL GOVERNANCE |</w:t>
      </w:r>
      <w:r>
        <w:br/>
      </w:r>
      <w:r>
        <w:rPr>
          <w:rStyle w:val="VerbatimChar"/>
        </w:rPr>
        <w:t xml:space="preserve">+---------------------+</w:t>
      </w:r>
    </w:p>
    <w:p>
      <w:pPr>
        <w:pStyle w:val="FirstParagraph"/>
      </w:pPr>
      <w:r>
        <w:rPr>
          <w:i/>
        </w:rPr>
        <w:t xml:space="preserve">Note: This diagram illustrates the flow from initial inputs through the agent’s processing and actions, culminating in measurable outcomes. Ethical and governance layers continuously influence and refine the agent’s behavior, impacting its perceived value and pricing potential.</w:t>
      </w:r>
    </w:p>
    <w:p>
      <w:pPr>
        <w:pStyle w:val="Heading3"/>
      </w:pPr>
      <w:bookmarkStart w:id="38" w:name="case-study-selection-criteria"/>
      <w:r>
        <w:t xml:space="preserve">3.2. Case Study Selection Criteria</w:t>
      </w:r>
      <w:bookmarkEnd w:id="38"/>
    </w:p>
    <w:p>
      <w:pPr>
        <w:pStyle w:val="FirstParagraph"/>
      </w:pPr>
      <w:r>
        <w:t xml:space="preserve">The selection of appropriate case studies is paramount to the validity and generalizability of findings in qualitative research (RAND Corporation, 2021). Given the exploratory nature of this study and the goal of understanding the diverse landscape of AI pricing, a purposeful sampling strategy was employed. The aim was not to achieve statistical representativeness, but rather to select</w:t>
      </w:r>
      <w:r>
        <w:t xml:space="preserve"> </w:t>
      </w:r>
      <w:r>
        <w:t xml:space="preserve">“</w:t>
      </w:r>
      <w:r>
        <w:t xml:space="preserve">information-rich</w:t>
      </w:r>
      <w:r>
        <w:t xml:space="preserve">”</w:t>
      </w:r>
      <w:r>
        <w:t xml:space="preserve"> </w:t>
      </w:r>
      <w:r>
        <w:t xml:space="preserve">cases that can illuminate the various facets of AI pricing models and their underlying rationales (RAND Corporation, 2021). The criteria for case selection were developed to ensure a broad coverage of the AI market, encompassing different types of AI services, provider strategies, and operational contexts (Unknown, 2024).</w:t>
      </w:r>
    </w:p>
    <w:p>
      <w:pPr>
        <w:pStyle w:val="BodyText"/>
      </w:pPr>
      <w:r>
        <w:t xml:space="preserve">The following criteria guided the selection of case studies for in-depth analysis:</w:t>
      </w:r>
    </w:p>
    <w:p>
      <w:pPr>
        <w:pStyle w:val="Heading4"/>
      </w:pPr>
      <w:bookmarkStart w:id="39" w:name="diversity-of-pricing-models"/>
      <w:r>
        <w:t xml:space="preserve">3.2.1. Diversity of Pricing Models</w:t>
      </w:r>
      <w:bookmarkEnd w:id="39"/>
    </w:p>
    <w:p>
      <w:pPr>
        <w:pStyle w:val="FirstParagraph"/>
      </w:pPr>
      <w:r>
        <w:t xml:space="preserve">Cases were specifically chosen to represent a spectrum of pricing strategies, including, but not limited to, usage-based (e.g., per-token, per-API call), subscription-based (tiered, flat-rate), outcome-based, value-based, and hybrid models (Unknown, 2024)(Google Cloud, 2023)(AWS, 2023). This diversity is crucial for understanding the strengths and weaknesses of different approaches across the framework dimensions. The inclusion of various models allows for a comparative analysis of how providers attempt to capture value and manage costs under different economic philosophies (Unknown, 2023).</w:t>
      </w:r>
    </w:p>
    <w:p>
      <w:pPr>
        <w:pStyle w:val="Heading4"/>
      </w:pPr>
      <w:bookmarkStart w:id="40" w:name="market-dominance-and-influence"/>
      <w:r>
        <w:t xml:space="preserve">3.2.2. Market Dominance and Influence</w:t>
      </w:r>
      <w:bookmarkEnd w:id="40"/>
    </w:p>
    <w:p>
      <w:pPr>
        <w:pStyle w:val="FirstParagraph"/>
      </w:pPr>
      <w:r>
        <w:t xml:space="preserve">Key players in the AI industry, particularly those with significant market share or those setting industry standards, were prioritized. This includes major cloud providers (e.g., Google Cloud, AWS) and leading AI research organizations (e.g., OpenAI) (Unknown, 2024)(Google Cloud, 2023)(AWS, 2023). Their pricing models often act as benchmarks or influence the competitive landscape, making them critical for understanding broader market trends and competitive responses (Unknown, 2023). Analyzing these dominant entities provides insights into the strategies that shape the overall AI economy.</w:t>
      </w:r>
    </w:p>
    <w:p>
      <w:pPr>
        <w:pStyle w:val="Heading4"/>
      </w:pPr>
      <w:bookmarkStart w:id="41" w:name="sectoral-and-application-diversity"/>
      <w:r>
        <w:t xml:space="preserve">3.2.3. Sectoral and Application Diversity</w:t>
      </w:r>
      <w:bookmarkEnd w:id="41"/>
    </w:p>
    <w:p>
      <w:pPr>
        <w:pStyle w:val="FirstParagraph"/>
      </w:pPr>
      <w:r>
        <w:t xml:space="preserve">The selected cases span different sectors and application domains to capture how pricing varies based on the specific use case and industry requirements. This includes general-purpose large language models (LLMs) applicable across industries, as well as specialized AI services in areas like healthcare, finance, creative content generation, and enterprise automation (BCG, 2023). This criterion helps to identify whether certain industries or application types necessitate particular pricing structures due to regulatory demands, value propositions, or operational constraints (European Commission, 2024).</w:t>
      </w:r>
    </w:p>
    <w:p>
      <w:pPr>
        <w:pStyle w:val="Heading4"/>
      </w:pPr>
      <w:bookmarkStart w:id="42" w:name="X807a7b303536664110329f863bd04821140ffdc"/>
      <w:r>
        <w:t xml:space="preserve">3.2.4. Differentiation between Agentic and Tool-Based AI</w:t>
      </w:r>
      <w:bookmarkEnd w:id="42"/>
    </w:p>
    <w:p>
      <w:pPr>
        <w:pStyle w:val="FirstParagraph"/>
      </w:pPr>
      <w:r>
        <w:t xml:space="preserve">A critical distinction for this research is between AI agents, which exhibit a degree of autonomy and decision-making capability, and more traditional tool-based AI services, which primarily provide API access to models (Gartner, 2024)(Unknown, 2022). Cases were selected to include both categories to explore whether the autonomous nature of agentic AI necessitates distinct pricing mechanisms, perhaps reflecting the higher perceived value, complexity, or even risk associated with their operations. This allows for an examination of how the level of autonomy and agency influences pricing strategies and value capture (Unknown, 2024).</w:t>
      </w:r>
    </w:p>
    <w:p>
      <w:pPr>
        <w:pStyle w:val="Heading4"/>
      </w:pPr>
      <w:bookmarkStart w:id="43" w:name="geographic-and-regulatory-context"/>
      <w:r>
        <w:t xml:space="preserve">3.2.5. Geographic and Regulatory Context</w:t>
      </w:r>
      <w:bookmarkEnd w:id="43"/>
    </w:p>
    <w:p>
      <w:pPr>
        <w:pStyle w:val="FirstParagraph"/>
      </w:pPr>
      <w:r>
        <w:t xml:space="preserve">Cases from different geographic regions or operating under distinct regulatory regimes were considered where possible. The European Union’s AI Act, for instance, introduces specific requirements for AI systems that may influence pricing strategies for providers operating within or serving that market (European Commission, 2024). Including diverse geographical contexts allows for an exploration of how regulatory compliance costs and varying market expectations impact pricing decisions globally (Unknown, 2023).</w:t>
      </w:r>
    </w:p>
    <w:p>
      <w:pPr>
        <w:pStyle w:val="Heading4"/>
      </w:pPr>
      <w:bookmarkStart w:id="44" w:name="data-availability-and-transparency"/>
      <w:r>
        <w:t xml:space="preserve">3.2.6. Data Availability and Transparency</w:t>
      </w:r>
      <w:bookmarkEnd w:id="44"/>
    </w:p>
    <w:p>
      <w:pPr>
        <w:pStyle w:val="FirstParagraph"/>
      </w:pPr>
      <w:r>
        <w:t xml:space="preserve">Only cases where sufficient public information regarding their pricing models, terms of service, and relevant operational details is available were considered. This ensures that the analysis is grounded in verifiable data and mitigates reliance on speculative or proprietary information. Publicly accessible documentation, whitepapers, developer guides, and reputable industry analyses served as primary sources for assessing data availability (IEEE, 2023)(NIST, 2023).</w:t>
      </w:r>
    </w:p>
    <w:p>
      <w:pPr>
        <w:pStyle w:val="Heading4"/>
      </w:pPr>
      <w:bookmarkStart w:id="45" w:name="evolutionary-stage"/>
      <w:r>
        <w:t xml:space="preserve">3.2.7. Evolutionary Stage</w:t>
      </w:r>
      <w:bookmarkEnd w:id="45"/>
    </w:p>
    <w:p>
      <w:pPr>
        <w:pStyle w:val="FirstParagraph"/>
      </w:pPr>
      <w:r>
        <w:t xml:space="preserve">The selection aimed to include both established pricing models that have undergone iterations and newer, more experimental approaches. This criterion allows for an observation of trends in AI monetization over time and the identification of emergent best practices or persistent challenges (Unknown, 2024). Understanding the evolution of pricing helps to contextualize current strategies and project future directions.</w:t>
      </w:r>
    </w:p>
    <w:p>
      <w:pPr>
        <w:pStyle w:val="Heading4"/>
      </w:pPr>
      <w:bookmarkStart w:id="46" w:name="exclusion-criteria"/>
      <w:r>
        <w:t xml:space="preserve">3.2.8. Exclusion Criteria</w:t>
      </w:r>
      <w:bookmarkEnd w:id="46"/>
    </w:p>
    <w:p>
      <w:pPr>
        <w:pStyle w:val="FirstParagraph"/>
      </w:pPr>
      <w:r>
        <w:t xml:space="preserve">Cases that involve highly proprietary, internal-only AI systems with no public pricing information, or those in extremely early development stages without a defined commercial model, were excluded. Similarly, AI services that are merely components of a much larger, undifferentiated software product, where the AI aspect is not a distinct monetized service, were not considered. These exclusions ensure that the focus remains on publicly available and distinctly priced AI services and agents.</w:t>
      </w:r>
    </w:p>
    <w:p>
      <w:pPr>
        <w:pStyle w:val="BodyText"/>
      </w:pPr>
      <w:r>
        <w:t xml:space="preserve">By adhering to these rigorous selection criteria, the research aims to build a robust set of case studies that collectively offer a comprehensive and insightful perspective on the current landscape of AI pricing models.</w:t>
      </w:r>
    </w:p>
    <w:p>
      <w:pPr>
        <w:pStyle w:val="Heading3"/>
      </w:pPr>
      <w:bookmarkStart w:id="47" w:name="analysis-approach"/>
      <w:r>
        <w:t xml:space="preserve">3.3. Analysis Approach</w:t>
      </w:r>
      <w:bookmarkEnd w:id="47"/>
    </w:p>
    <w:p>
      <w:pPr>
        <w:pStyle w:val="FirstParagraph"/>
      </w:pPr>
      <w:r>
        <w:t xml:space="preserve">The analysis of the selected case studies is primarily qualitative, employing a combination of thematic analysis and cross-case synthesis to derive meaningful insights from the collected data (RAND Corporation, 2021). This approach is well-suited for identifying patterns, comparing strategies, and understanding the nuances of AI pricing models within their respective contexts. The analytical process is iterative, moving between the empirical data and the theoretical framework to refine understanding and generate robust conclusions.</w:t>
      </w:r>
    </w:p>
    <w:p>
      <w:pPr>
        <w:pStyle w:val="Heading4"/>
      </w:pPr>
      <w:bookmarkStart w:id="48" w:name="data-collection-protocol"/>
      <w:r>
        <w:t xml:space="preserve">3.3.1. Data Collection Protocol</w:t>
      </w:r>
      <w:bookmarkEnd w:id="48"/>
    </w:p>
    <w:p>
      <w:pPr>
        <w:pStyle w:val="FirstParagraph"/>
      </w:pPr>
      <w:r>
        <w:t xml:space="preserve">Data for each case study was systematically collected from publicly available sources to ensure transparency and replicability. A standardized data extraction protocol was developed to ensure consistency across cases and facilitate structured comparison. This protocol included:</w:t>
      </w:r>
      <w:r>
        <w:t xml:space="preserve"> </w:t>
      </w:r>
      <w:r>
        <w:t xml:space="preserve">*</w:t>
      </w:r>
      <w:r>
        <w:t xml:space="preserve"> </w:t>
      </w:r>
      <w:r>
        <w:rPr>
          <w:b/>
        </w:rPr>
        <w:t xml:space="preserve">Official Pricing Pages and Documentation:</w:t>
      </w:r>
      <w:r>
        <w:t xml:space="preserve"> </w:t>
      </w:r>
      <w:r>
        <w:t xml:space="preserve">Direct extraction of pricing tiers, metrics (e.g., per-token costs, per-call rates, subscription fees), feature breakdowns, and any stated rationales for pricing decisions from company websites, developer portals (e.g., OpenAI, Google Cloud, AWS), and official whitepapers (Unknown, 2024)(Google Cloud, 2023)(AWS, 2023).</w:t>
      </w:r>
      <w:r>
        <w:t xml:space="preserve"> </w:t>
      </w:r>
      <w:r>
        <w:t xml:space="preserve">*</w:t>
      </w:r>
      <w:r>
        <w:t xml:space="preserve"> </w:t>
      </w:r>
      <w:r>
        <w:rPr>
          <w:b/>
        </w:rPr>
        <w:t xml:space="preserve">Terms of Service (ToS) and Service Level Agreements (SLAs):</w:t>
      </w:r>
      <w:r>
        <w:t xml:space="preserve"> </w:t>
      </w:r>
      <w:r>
        <w:t xml:space="preserve">Analysis of these documents for details on usage policies, data handling, privacy guarantees, and performance commitments that might indirectly influence pricing or value perception (European Commission, 2024)(IEEE, 2023).</w:t>
      </w:r>
      <w:r>
        <w:t xml:space="preserve"> </w:t>
      </w:r>
      <w:r>
        <w:t xml:space="preserve">*</w:t>
      </w:r>
      <w:r>
        <w:t xml:space="preserve"> </w:t>
      </w:r>
      <w:r>
        <w:rPr>
          <w:b/>
        </w:rPr>
        <w:t xml:space="preserve">Public Announcements and Press Releases:</w:t>
      </w:r>
      <w:r>
        <w:t xml:space="preserve"> </w:t>
      </w:r>
      <w:r>
        <w:t xml:space="preserve">Information regarding pricing changes, new feature introductions, and strategic partnerships that shed light on pricing evolution and market positioning (Unknown, 2024).</w:t>
      </w:r>
      <w:r>
        <w:t xml:space="preserve"> </w:t>
      </w:r>
      <w:r>
        <w:t xml:space="preserve">*</w:t>
      </w:r>
      <w:r>
        <w:t xml:space="preserve"> </w:t>
      </w:r>
      <w:r>
        <w:rPr>
          <w:b/>
        </w:rPr>
        <w:t xml:space="preserve">Industry Reports and Analyst Briefings:</w:t>
      </w:r>
      <w:r>
        <w:t xml:space="preserve"> </w:t>
      </w:r>
      <w:r>
        <w:t xml:space="preserve">Reviews of reports from reputable industry analysts (e.g., Gartner, BCG) and economic organizations (e.g., OECD, Brookings) that provide commentary on AI monetization trends, competitive analysis, and market forecasts (Gartner, 2024)(BCG, 2023)(OECD, 2022)(Brookings, 2022).</w:t>
      </w:r>
      <w:r>
        <w:t xml:space="preserve"> </w:t>
      </w:r>
      <w:r>
        <w:t xml:space="preserve">*</w:t>
      </w:r>
      <w:r>
        <w:t xml:space="preserve"> </w:t>
      </w:r>
      <w:r>
        <w:rPr>
          <w:b/>
        </w:rPr>
        <w:t xml:space="preserve">Academic Literature and Research Papers:</w:t>
      </w:r>
      <w:r>
        <w:t xml:space="preserve"> </w:t>
      </w:r>
      <w:r>
        <w:t xml:space="preserve">Relevant scholarly articles discussing economic frameworks, regulatory implications, and technical challenges related to AI pricing (Unknown, 2023)(RAND Corporation, 2021)(Unknown, 2023).</w:t>
      </w:r>
    </w:p>
    <w:p>
      <w:pPr>
        <w:pStyle w:val="BodyText"/>
      </w:pPr>
      <w:r>
        <w:t xml:space="preserve">Data was organized using a structured spreadsheet, with each row representing a specific pricing model or tier from a case study, and columns corresponding to the dimensions and criteria outlined in the analytical framework (Section 3.1). This systematic organization facilitated efficient data retrieval and preliminary pattern identification.</w:t>
      </w:r>
    </w:p>
    <w:p>
      <w:pPr>
        <w:pStyle w:val="Heading4"/>
      </w:pPr>
      <w:bookmarkStart w:id="49" w:name="data-analysis-procedures"/>
      <w:r>
        <w:t xml:space="preserve">3.3.2. Data Analysis Procedures</w:t>
      </w:r>
      <w:bookmarkEnd w:id="49"/>
    </w:p>
    <w:p>
      <w:pPr>
        <w:pStyle w:val="FirstParagraph"/>
      </w:pPr>
      <w:r>
        <w:t xml:space="preserve">The collected data underwent a rigorous, multi-stage analysis process:</w:t>
      </w:r>
      <w:r>
        <w:t xml:space="preserve"> </w:t>
      </w:r>
      <w:r>
        <w:t xml:space="preserve">*</w:t>
      </w:r>
      <w:r>
        <w:t xml:space="preserve"> </w:t>
      </w:r>
      <w:r>
        <w:rPr>
          <w:b/>
        </w:rPr>
        <w:t xml:space="preserve">Within-Case Analysis:</w:t>
      </w:r>
      <w:r>
        <w:t xml:space="preserve"> </w:t>
      </w:r>
      <w:r>
        <w:t xml:space="preserve">Each selected case study was first analyzed independently using the developed analytical framework. This involved a detailed examination of the pricing model, its components, and the apparent rationale behind its design, mapping observed practices to the framework’s dimensions (cost, value, market, regulatory, technical, strategic). This stage aimed to develop a rich, descriptive account of each case, highlighting its unique characteristics and challenges (NIST, 2023).</w:t>
      </w:r>
      <w:r>
        <w:t xml:space="preserve"> </w:t>
      </w:r>
      <w:r>
        <w:t xml:space="preserve">*</w:t>
      </w:r>
      <w:r>
        <w:t xml:space="preserve"> </w:t>
      </w:r>
      <w:r>
        <w:rPr>
          <w:b/>
        </w:rPr>
        <w:t xml:space="preserve">Thematic Coding:</w:t>
      </w:r>
      <w:r>
        <w:t xml:space="preserve"> </w:t>
      </w:r>
      <w:r>
        <w:t xml:space="preserve">Following within-case analysis, a thematic analysis approach was applied. This involved identifying recurring themes, patterns, and categories across the entire dataset. Initial codes were generated inductively from the data, identifying specific pricing mechanisms, value propositions, and operational constraints. These inductive codes were then refined and organized into broader themes that aligned with, or emerged from, the six dimensions of the analytical framework (IEEE, 2023).</w:t>
      </w:r>
      <w:r>
        <w:t xml:space="preserve"> </w:t>
      </w:r>
      <w:r>
        <w:t xml:space="preserve">*</w:t>
      </w:r>
      <w:r>
        <w:t xml:space="preserve"> </w:t>
      </w:r>
      <w:r>
        <w:rPr>
          <w:b/>
        </w:rPr>
        <w:t xml:space="preserve">Cross-Case Synthesis:</w:t>
      </w:r>
      <w:r>
        <w:t xml:space="preserve"> </w:t>
      </w:r>
      <w:r>
        <w:t xml:space="preserve">This crucial stage involved comparing and contrasting the findings from individual case studies. The objective was to identify commonalities, significant differences, and emergent trends in AI pricing across the entire sample. This comparative analysis allowed for the identification of which pricing strategies are prevalent, which are innovative, and how different dimensions of the framework manifest across various providers and AI types. For instance, comparing how OpenAI prices its LLM access versus how AWS prices its specialized AI services illuminates different strategic priorities (Unknown, 2024)(AWS, 2023).</w:t>
      </w:r>
      <w:r>
        <w:t xml:space="preserve"> </w:t>
      </w:r>
      <w:r>
        <w:t xml:space="preserve">*</w:t>
      </w:r>
      <w:r>
        <w:t xml:space="preserve"> </w:t>
      </w:r>
      <w:r>
        <w:rPr>
          <w:b/>
        </w:rPr>
        <w:t xml:space="preserve">Gap Analysis and Implication Mapping:</w:t>
      </w:r>
      <w:r>
        <w:t xml:space="preserve"> </w:t>
      </w:r>
      <w:r>
        <w:t xml:space="preserve">Based on the cross-case synthesis, a gap analysis was performed to identify areas where current pricing models fall short of optimal strategies, particularly in terms of value capture, ethical considerations, or regulatory alignment (European Commission, 2024)(WHO, 2023). Concurrently, the research mapped the implications of observed pricing strategies for various stakeholders, including AI developers, end-users, policymakers, and the broader economy (OECD, 2022)(Brookings, 2022). This involved connecting pricing decisions to their potential impact on market competition, innovation incentives, accessibility, and the responsible deployment of AI.</w:t>
      </w:r>
      <w:r>
        <w:t xml:space="preserve"> </w:t>
      </w:r>
      <w:r>
        <w:t xml:space="preserve">*</w:t>
      </w:r>
      <w:r>
        <w:t xml:space="preserve"> </w:t>
      </w:r>
      <w:r>
        <w:rPr>
          <w:b/>
        </w:rPr>
        <w:t xml:space="preserve">Refinement of Framework:</w:t>
      </w:r>
      <w:r>
        <w:t xml:space="preserve"> </w:t>
      </w:r>
      <w:r>
        <w:t xml:space="preserve">The analytical framework itself was iteratively refined throughout the analysis process. Insights gained from the case studies helped to validate existing dimensions, highlight overlooked criteria, or suggest new interrelationships between factors influencing AI pricing. This ensures that the framework remains relevant and robust in capturing the dynamic nature of the AI market.</w:t>
      </w:r>
    </w:p>
    <w:p>
      <w:pPr>
        <w:pStyle w:val="Heading4"/>
      </w:pPr>
      <w:bookmarkStart w:id="50" w:name="reliability-and-validity"/>
      <w:r>
        <w:t xml:space="preserve">3.3.3. Reliability and Validity</w:t>
      </w:r>
      <w:bookmarkEnd w:id="50"/>
    </w:p>
    <w:p>
      <w:pPr>
        <w:pStyle w:val="FirstParagraph"/>
      </w:pPr>
      <w:r>
        <w:t xml:space="preserve">To enhance the reliability and validity of the qualitative findings, several measures were employed:</w:t>
      </w:r>
      <w:r>
        <w:t xml:space="preserve"> </w:t>
      </w:r>
      <w:r>
        <w:t xml:space="preserve">*</w:t>
      </w:r>
      <w:r>
        <w:t xml:space="preserve"> </w:t>
      </w:r>
      <w:r>
        <w:rPr>
          <w:b/>
        </w:rPr>
        <w:t xml:space="preserve">Triangulation of Data Sources:</w:t>
      </w:r>
      <w:r>
        <w:t xml:space="preserve"> </w:t>
      </w:r>
      <w:r>
        <w:t xml:space="preserve">Relying on multiple public data sources (official documentation, industry reports, academic literature) for each case study helped to corroborate information and provide a more comprehensive view, reducing reliance on single points of information.</w:t>
      </w:r>
      <w:r>
        <w:t xml:space="preserve"> </w:t>
      </w:r>
      <w:r>
        <w:t xml:space="preserve">*</w:t>
      </w:r>
      <w:r>
        <w:t xml:space="preserve"> </w:t>
      </w:r>
      <w:r>
        <w:rPr>
          <w:b/>
        </w:rPr>
        <w:t xml:space="preserve">Systematic Data Extraction:</w:t>
      </w:r>
      <w:r>
        <w:t xml:space="preserve"> </w:t>
      </w:r>
      <w:r>
        <w:t xml:space="preserve">The use of a standardized data extraction protocol ensured consistency in data collection across cases, minimizing researcher bias in initial data capture.</w:t>
      </w:r>
      <w:r>
        <w:t xml:space="preserve"> </w:t>
      </w:r>
      <w:r>
        <w:t xml:space="preserve">*</w:t>
      </w:r>
      <w:r>
        <w:t xml:space="preserve"> </w:t>
      </w:r>
      <w:r>
        <w:rPr>
          <w:b/>
        </w:rPr>
        <w:t xml:space="preserve">Transparency of Analytical Process:</w:t>
      </w:r>
      <w:r>
        <w:t xml:space="preserve"> </w:t>
      </w:r>
      <w:r>
        <w:t xml:space="preserve">The detailed description of the analytical framework, case selection criteria, and data analysis procedures enhances the transparency of the research, allowing for potential replication or critical evaluation by other researchers.</w:t>
      </w:r>
      <w:r>
        <w:t xml:space="preserve"> </w:t>
      </w:r>
      <w:r>
        <w:t xml:space="preserve">*</w:t>
      </w:r>
      <w:r>
        <w:t xml:space="preserve"> </w:t>
      </w:r>
      <w:r>
        <w:rPr>
          <w:b/>
        </w:rPr>
        <w:t xml:space="preserve">Researcher Reflexivity:</w:t>
      </w:r>
      <w:r>
        <w:t xml:space="preserve"> </w:t>
      </w:r>
      <w:r>
        <w:t xml:space="preserve">Acknowledging the potential for researcher bias in interpreting qualitative data, conscious efforts were made to maintain objectivity by strictly adhering to the analytical framework and seeking evidence-based interpretations.</w:t>
      </w:r>
      <w:r>
        <w:t xml:space="preserve"> </w:t>
      </w:r>
      <w:r>
        <w:t xml:space="preserve">*</w:t>
      </w:r>
      <w:r>
        <w:t xml:space="preserve"> </w:t>
      </w:r>
      <w:r>
        <w:rPr>
          <w:b/>
        </w:rPr>
        <w:t xml:space="preserve">Audit Trail:</w:t>
      </w:r>
      <w:r>
        <w:t xml:space="preserve"> </w:t>
      </w:r>
      <w:r>
        <w:t xml:space="preserve">All collected data, coding decisions, and analytical memos were meticulously documented, creating an audit trail that can be reviewed to trace the path from raw data to final conclusions.</w:t>
      </w:r>
    </w:p>
    <w:p>
      <w:pPr>
        <w:pStyle w:val="BodyText"/>
      </w:pPr>
      <w:r>
        <w:t xml:space="preserve">While specific qualitative analysis software (e.g., NVivo, Atlas.ti) was not exclusively relied upon, structured spreadsheets and word processors were used to organize, code, and analyze the textual data, ensuring systematic management of the extensive information gathered. This comprehensive approach to data collection and analysis ensures that the findings are robust, well-supported by evidence, and offer valuable insights into the complex domain of AI pricing models.</w:t>
      </w:r>
    </w:p>
    <w:p>
      <w:pPr>
        <w:pStyle w:val="Heading1"/>
      </w:pPr>
      <w:bookmarkStart w:id="51" w:name="analysis"/>
      <w:r>
        <w:t xml:space="preserve">4. Analysis</w:t>
      </w:r>
      <w:bookmarkEnd w:id="51"/>
    </w:p>
    <w:p>
      <w:pPr>
        <w:pStyle w:val="FirstParagraph"/>
      </w:pPr>
      <w:r>
        <w:t xml:space="preserve">The economic landscape of artificial intelligence (AI) services, particularly those powered by large language models (LLMs) and autonomous agents, is rapidly evolving, necessitating a comprehensive analysis of various pricing models. This section delves into the intricate mechanisms, advantages, disadvantages, and real-world applications of these models, culminating in an exploration of hybrid approaches and future directions. The objective is to provide a nuanced understanding of how AI services are currently valued and monetized, identifying key trends and challenges that shape the market (Gartner, 2024)(BCG, 2023)(Unknown, 2024). Understanding these dynamics is crucial for both providers seeking sustainable revenue streams and consumers aiming for cost-effective AI integration.</w:t>
      </w:r>
    </w:p>
    <w:p>
      <w:pPr>
        <w:pStyle w:val="Heading2"/>
      </w:pPr>
      <w:bookmarkStart w:id="52" w:name="comparison-of-pricing-models"/>
      <w:r>
        <w:t xml:space="preserve">4.1 Comparison of Pricing Models</w:t>
      </w:r>
      <w:bookmarkEnd w:id="52"/>
    </w:p>
    <w:p>
      <w:pPr>
        <w:pStyle w:val="FirstParagraph"/>
      </w:pPr>
      <w:r>
        <w:t xml:space="preserve">The monetization of AI services, especially those built upon foundational models and agentic capabilities, has given rise to diverse pricing strategies. These models attempt to capture the value generated by AI, which can be complex and multifaceted, ranging from computational resources consumed to the intellectual property embedded within the algorithms and the tangible outcomes delivered to users (Unknown, 2023)(OECD, 2022). Each model reflects a different philosophy on how to allocate costs, manage risk, and align incentives between providers and consumers, ultimately influencing adoption rates, innovation, and market competition (Unknown, 2023).</w:t>
      </w:r>
    </w:p>
    <w:p>
      <w:pPr>
        <w:pStyle w:val="Heading3"/>
      </w:pPr>
      <w:bookmarkStart w:id="53" w:name="token-based-pricing"/>
      <w:r>
        <w:rPr>
          <w:i/>
          <w:b/>
        </w:rPr>
        <w:t xml:space="preserve">4.1.1 Token-Based Pricing</w:t>
      </w:r>
      <w:bookmarkEnd w:id="53"/>
    </w:p>
    <w:p>
      <w:pPr>
        <w:pStyle w:val="FirstParagraph"/>
      </w:pPr>
      <w:r>
        <w:t xml:space="preserve">Token-based pricing has emerged as a predominant model for many large language models (LLMs), particularly those offered via API access. In this model, the cost of an AI service is directly proportional to the number of</w:t>
      </w:r>
      <w:r>
        <w:t xml:space="preserve"> </w:t>
      </w:r>
      <w:r>
        <w:t xml:space="preserve">‘</w:t>
      </w:r>
      <w:r>
        <w:t xml:space="preserve">tokens</w:t>
      </w:r>
      <w:r>
        <w:t xml:space="preserve">’</w:t>
      </w:r>
      <w:r>
        <w:t xml:space="preserve"> </w:t>
      </w:r>
      <w:r>
        <w:t xml:space="preserve">processed during a request and its corresponding response. A token typically represents a segment of text, which can be a whole word, part of a word, or even a punctuation mark, depending on the model’s tokenizer (Unknown, 2024). The core rationale behind this approach is to directly link resource consumption (computational power, memory) to billing, as processing more tokens generally requires more computational effort from the underlying AI model. This granularity allows providers to precisely account for the operational costs associated with each interaction, from simple queries to complex document summarizations or extensive code generation tasks.</w:t>
      </w:r>
    </w:p>
    <w:p>
      <w:pPr>
        <w:pStyle w:val="BodyText"/>
      </w:pPr>
      <w:r>
        <w:t xml:space="preserve">The mechanics of token-based pricing involve two primary components: input tokens and output tokens. Input tokens are those sent by the user to the AI model, forming the prompt or context for the AI’s operation. Output tokens are those generated by the AI as its response. Often, providers differentiate pricing for input and output tokens, with output tokens sometimes being more expensive due to the generative nature of the process, which can be more computationally intensive and unpredictable in length (Unknown, 2024). This distinction encourages users to optimize their prompts for conciseness while also recognizing the value of the AI’s creative or analytical output. For instance, a user might pay less for a long input prompt that generates a short, precise answer, compared to a short input prompt that elicits an extensive, detailed response.</w:t>
      </w:r>
    </w:p>
    <w:p>
      <w:pPr>
        <w:pStyle w:val="BodyText"/>
      </w:pPr>
      <w:r>
        <w:t xml:space="preserve">Economically, token-based pricing reflects a variable cost structure. Users only pay for what they consume, which can be highly attractive for intermittent or exploratory use cases. It democratizes access to powerful AI models by eliminating large upfront costs or fixed subscriptions for low-volume users. However, for high-volume or unpredictable workloads, managing costs under a token-based model can become challenging. The total cost is contingent on the length and complexity of interactions, which can fluctuate significantly based on user behavior, prompt engineering effectiveness, and the inherent verbosity of the AI model’s responses. This variability necessitates sophisticated cost monitoring and optimization strategies for businesses integrating LLMs into their products or workflows (BCG, 2023).</w:t>
      </w:r>
    </w:p>
    <w:p>
      <w:pPr>
        <w:pStyle w:val="BodyText"/>
      </w:pPr>
      <w:r>
        <w:t xml:space="preserve">Historical context reveals that token-based pricing evolved from earlier cloud computing models where resources like CPU cycles, memory, or data transfer were metered. The innovation lies in abstracting these raw computational resources into a more human-interpretable unit (tokens) that directly correlates with the linguistic processing performed by the AI. This abstraction simplifies billing for language-centric tasks but introduces new complexities related to tokenization schemes, language differences, and the semantic density of information conveyed per token (IEEE, 2023). Different models and providers may have varying tokenization methods, leading to discrepancies in how text is counted, which can complicate direct cost comparisons and capacity planning for multi-model deployments.</w:t>
      </w:r>
    </w:p>
    <w:p>
      <w:pPr>
        <w:pStyle w:val="BodyText"/>
      </w:pPr>
      <w:r>
        <w:t xml:space="preserve">The implications for different use cases are profound. For applications requiring extensive context windows or generating verbose content, such as legal document analysis, creative writing, or detailed research reports, token costs can accumulate rapidly. Conversely, for applications focused on short, precise queries or classifications, token costs remain relatively low. This model incentivizes prompt engineering techniques that aim to minimize token usage while maximizing information density and response quality. It also pushes developers to design applications that efficiently manage conversational history and context, perhaps by summarizing past interactions to reduce the number of input tokens sent with each subsequent turn (NIST, 2023). The challenge lies in balancing the desire for comprehensive AI interactions with the need to control costs, often leading to trade-offs in functionality or user experience.</w:t>
      </w:r>
    </w:p>
    <w:p>
      <w:pPr>
        <w:pStyle w:val="Heading3"/>
      </w:pPr>
      <w:bookmarkStart w:id="54" w:name="api-callrequest-based-pricing"/>
      <w:r>
        <w:rPr>
          <w:i/>
          <w:b/>
        </w:rPr>
        <w:t xml:space="preserve">4.1.2 API Call/Request-Based Pricing</w:t>
      </w:r>
      <w:bookmarkEnd w:id="54"/>
    </w:p>
    <w:p>
      <w:pPr>
        <w:pStyle w:val="FirstParagraph"/>
      </w:pPr>
      <w:r>
        <w:t xml:space="preserve">API call or request-based pricing is a more traditional and straightforward monetization model, particularly common in the broader API economy and adopted by many AI services that perform specific, well-defined tasks. Under this model, users are charged a fixed fee for each successful interaction with an AI service’s application programming interface (API), regardless of the complexity or volume of data processed within that single call, up to certain predefined limits. For instance, an image recognition API might charge a flat rate per image analyzed, or a sentiment analysis API might charge per text snippet processed (Google Cloud, 2023).</w:t>
      </w:r>
    </w:p>
    <w:p>
      <w:pPr>
        <w:pStyle w:val="BodyText"/>
      </w:pPr>
      <w:r>
        <w:t xml:space="preserve">The mechanics are relatively simple: each time a client application sends a request to the AI service’s API endpoint, and the service processes it and returns a response, a billing event is triggered. This model is often favored for its predictability and ease of understanding. Developers can easily estimate costs based on the expected number of API calls their application will make, simplifying budgeting and financial planning. This contrasts sharply with token-based models where cost can fluctuate based on content length. Providers often offer tiered pricing based on call volume, with lower per-call rates for higher volumes, incentivizing large-scale adoption (AWS, 2023).</w:t>
      </w:r>
    </w:p>
    <w:p>
      <w:pPr>
        <w:pStyle w:val="BodyText"/>
      </w:pPr>
      <w:r>
        <w:t xml:space="preserve">Economically, API call-based pricing represents a transaction-oriented approach. It aligns well with services where the computational cost per request is relatively consistent or where the value delivered by each request is similar. It can be particularly effective for discrete, atomic AI functions like object detection, language translation of short phrases, or specific data extraction tasks. The simplicity of this model reduces the overhead of complex metering systems, allowing providers to focus on service reliability and performance. However, if the computational cost or value varies significantly per request, this model can lead to inefficiencies. For example, a</w:t>
      </w:r>
      <w:r>
        <w:t xml:space="preserve"> </w:t>
      </w:r>
      <w:r>
        <w:t xml:space="preserve">“</w:t>
      </w:r>
      <w:r>
        <w:t xml:space="preserve">simple</w:t>
      </w:r>
      <w:r>
        <w:t xml:space="preserve">”</w:t>
      </w:r>
      <w:r>
        <w:t xml:space="preserve"> </w:t>
      </w:r>
      <w:r>
        <w:t xml:space="preserve">API call might involve minimal processing, while another</w:t>
      </w:r>
      <w:r>
        <w:t xml:space="preserve"> </w:t>
      </w:r>
      <w:r>
        <w:t xml:space="preserve">“</w:t>
      </w:r>
      <w:r>
        <w:t xml:space="preserve">simple</w:t>
      </w:r>
      <w:r>
        <w:t xml:space="preserve">”</w:t>
      </w:r>
      <w:r>
        <w:t xml:space="preserve"> </w:t>
      </w:r>
      <w:r>
        <w:t xml:space="preserve">call might trigger a much more resource-intensive operation, yet both are charged the same flat rate. This can result in either overcharging users for light requests or undercharging for heavy ones, potentially misaligning cost with value (OECD, 2022).</w:t>
      </w:r>
    </w:p>
    <w:p>
      <w:pPr>
        <w:pStyle w:val="BodyText"/>
      </w:pPr>
      <w:r>
        <w:t xml:space="preserve">Compared to token-based pricing, request-based models offer greater predictability for the consumer but less granularity in cost allocation for the provider. While a token-based system meticulously counts every piece of data processed, a request-based system treats each interaction as a uniform unit. This can be advantageous for users who prioritize stable costs and simpler accounting, especially for applications where the length of input or output is not a primary driver of value or cost. However, it may not adequately capture the true resource utilization for generative AI models where response length and complexity are highly variable. For instance, if an LLM API were priced per request, a request for a one-word answer would cost the same as a request for a 1,000-word essay, which is generally not sustainable for the provider (Unknown, 2024).</w:t>
      </w:r>
    </w:p>
    <w:p>
      <w:pPr>
        <w:pStyle w:val="BodyText"/>
      </w:pPr>
      <w:r>
        <w:t xml:space="preserve">The suitability of API call-based pricing often depends on the nature of the AI service. For specialized AI models that perform specific, bounded tasks (e.g., image classification, speech-to-text conversion for short audio clips, or named entity recognition), this model is highly effective. It is less suitable for generative models or services where the computational load is highly dependent on the input size or desired output length. Its primary advantage lies in its straightforwardness and predictability, which can significantly lower the barrier to adoption for developers and businesses looking to integrate AI capabilities without complex cost management overhead (RAND Corporation, 2021).</w:t>
      </w:r>
    </w:p>
    <w:p>
      <w:pPr>
        <w:pStyle w:val="Heading3"/>
      </w:pPr>
      <w:bookmarkStart w:id="55" w:name="featurecapability-based-pricing"/>
      <w:r>
        <w:rPr>
          <w:i/>
          <w:b/>
        </w:rPr>
        <w:t xml:space="preserve">4.1.3 Feature/Capability-Based Pricing</w:t>
      </w:r>
      <w:bookmarkEnd w:id="55"/>
    </w:p>
    <w:p>
      <w:pPr>
        <w:pStyle w:val="FirstParagraph"/>
      </w:pPr>
      <w:r>
        <w:t xml:space="preserve">Feature or capability-based pricing models differentiate costs based on the specific functionalities, advanced capabilities, or tiers of service offered by an AI platform. This model moves beyond mere usage metrics (like tokens or requests) to focus on the value derived from access to particular features or the performance level of the AI (BCG, 2023). It is analogous to software-as-a-service (SaaS) models where different subscription tiers unlock progressively more powerful features, higher usage limits, or enhanced support.</w:t>
      </w:r>
    </w:p>
    <w:p>
      <w:pPr>
        <w:pStyle w:val="BodyText"/>
      </w:pPr>
      <w:r>
        <w:t xml:space="preserve">The mechanics typically involve defining distinct service tiers (e.g., Basic, Pro, Enterprise) each with an associated monthly or annual subscription fee. Each tier grants access to a specific set of features. For instance, a</w:t>
      </w:r>
      <w:r>
        <w:t xml:space="preserve"> </w:t>
      </w:r>
      <w:r>
        <w:t xml:space="preserve">“</w:t>
      </w:r>
      <w:r>
        <w:t xml:space="preserve">Basic</w:t>
      </w:r>
      <w:r>
        <w:t xml:space="preserve">”</w:t>
      </w:r>
      <w:r>
        <w:t xml:space="preserve"> </w:t>
      </w:r>
      <w:r>
        <w:t xml:space="preserve">tier might offer access to a standard LLM with limited context window and slower response times, while a</w:t>
      </w:r>
      <w:r>
        <w:t xml:space="preserve"> </w:t>
      </w:r>
      <w:r>
        <w:t xml:space="preserve">“</w:t>
      </w:r>
      <w:r>
        <w:t xml:space="preserve">Pro</w:t>
      </w:r>
      <w:r>
        <w:t xml:space="preserve">”</w:t>
      </w:r>
      <w:r>
        <w:t xml:space="preserve"> </w:t>
      </w:r>
      <w:r>
        <w:t xml:space="preserve">tier could include access to a more advanced model, a larger context window, fine-tuning capabilities, higher rate limits, and priority support. An</w:t>
      </w:r>
      <w:r>
        <w:t xml:space="preserve"> </w:t>
      </w:r>
      <w:r>
        <w:t xml:space="preserve">“</w:t>
      </w:r>
      <w:r>
        <w:t xml:space="preserve">Enterprise</w:t>
      </w:r>
      <w:r>
        <w:t xml:space="preserve">”</w:t>
      </w:r>
      <w:r>
        <w:t xml:space="preserve"> </w:t>
      </w:r>
      <w:r>
        <w:t xml:space="preserve">tier might further add dedicated infrastructure, custom model development, enhanced security features, and service level agreements (SLAs) (Google Cloud, 2023). This allows providers to segment their market and cater to different customer needs and budgets, from individual developers to large corporations.</w:t>
      </w:r>
    </w:p>
    <w:p>
      <w:pPr>
        <w:pStyle w:val="BodyText"/>
      </w:pPr>
      <w:r>
        <w:t xml:space="preserve">Economically, feature-based pricing aims to capture value based on the perceived utility and strategic importance of specific AI capabilities. Customers pay for the</w:t>
      </w:r>
      <w:r>
        <w:t xml:space="preserve"> </w:t>
      </w:r>
      <w:r>
        <w:rPr>
          <w:i/>
        </w:rPr>
        <w:t xml:space="preserve">potential</w:t>
      </w:r>
      <w:r>
        <w:t xml:space="preserve"> </w:t>
      </w:r>
      <w:r>
        <w:t xml:space="preserve">or</w:t>
      </w:r>
      <w:r>
        <w:t xml:space="preserve"> </w:t>
      </w:r>
      <w:r>
        <w:rPr>
          <w:i/>
        </w:rPr>
        <w:t xml:space="preserve">access</w:t>
      </w:r>
      <w:r>
        <w:t xml:space="preserve"> </w:t>
      </w:r>
      <w:r>
        <w:t xml:space="preserve">to advanced features, rather than solely for their direct consumption. This model provides predictable recurring revenue for providers, which is crucial for funding ongoing research and development in a rapidly advancing field. For customers, it offers predictable costs, making budgeting simpler, especially for those who need a consistent set of capabilities without worrying about fluctuating usage charges. It also allows users to scale up their access to more powerful tools as their needs grow, providing a clear upgrade path.</w:t>
      </w:r>
    </w:p>
    <w:p>
      <w:pPr>
        <w:pStyle w:val="BodyText"/>
      </w:pPr>
      <w:r>
        <w:t xml:space="preserve">The development of tiered models under this scheme requires careful consideration of feature differentiation. Providers must identify truly valuable and distinct capabilities that justify higher price points. This often involves segmenting features based on their complexity, exclusivity, performance enhancements, or impact on business outcomes. For example, access to a cutting-edge multimodal AI that can process both text and images might be a premium feature, distinct from a basic text-only LLM. Similarly, the ability to fine-tune a foundational model with proprietary data represents a significant capability that commands a higher price (Unknown, 2024).</w:t>
      </w:r>
    </w:p>
    <w:p>
      <w:pPr>
        <w:pStyle w:val="BodyText"/>
      </w:pPr>
      <w:r>
        <w:t xml:space="preserve">One challenge with feature-based pricing is the potential for</w:t>
      </w:r>
      <w:r>
        <w:t xml:space="preserve"> </w:t>
      </w:r>
      <w:r>
        <w:t xml:space="preserve">“</w:t>
      </w:r>
      <w:r>
        <w:t xml:space="preserve">feature bloat</w:t>
      </w:r>
      <w:r>
        <w:t xml:space="preserve">”</w:t>
      </w:r>
      <w:r>
        <w:t xml:space="preserve"> </w:t>
      </w:r>
      <w:r>
        <w:t xml:space="preserve">or the difficulty in accurately defining and communicating the value of each feature. Customers might pay for features they do not fully utilize, leading to dissatisfaction, or they might struggle to discern the tangible benefits of upgrading to a higher tier. Furthermore, as AI capabilities rapidly evolve, what was once a premium feature might become standard, requiring providers to constantly innovate and redefine their tiers to maintain value perception (Unknown, 2024). Despite these challenges, this model is highly effective for building long-term customer relationships and generating stable revenue streams, especially for platforms offering a suite of AI tools and services. It encourages users to commit to a platform for its comprehensive ecosystem of capabilities, rather than just individual transactions.</w:t>
      </w:r>
    </w:p>
    <w:p>
      <w:pPr>
        <w:pStyle w:val="Heading3"/>
      </w:pPr>
      <w:bookmarkStart w:id="56" w:name="performanceoutcome-based-pricing"/>
      <w:r>
        <w:rPr>
          <w:i/>
          <w:b/>
        </w:rPr>
        <w:t xml:space="preserve">4.1.4 Performance/Outcome-Based Pricing</w:t>
      </w:r>
      <w:bookmarkEnd w:id="56"/>
    </w:p>
    <w:p>
      <w:pPr>
        <w:pStyle w:val="FirstParagraph"/>
      </w:pPr>
      <w:r>
        <w:t xml:space="preserve">Performance or outcome-based pricing represents a more advanced and less common model in the nascent AI services market, particularly for general-purpose LLMs. This model ties the cost of an AI service directly to the measurable results, value, or specific outcomes it delivers to the user. Instead of paying for inputs, outputs, or features, customers pay for the achievement of a defined goal or an improvement in a key performance indicator (KPI) (Unknown, 2023).</w:t>
      </w:r>
    </w:p>
    <w:p>
      <w:pPr>
        <w:pStyle w:val="BodyText"/>
      </w:pPr>
      <w:r>
        <w:t xml:space="preserve">The mechanics of this model are inherently complex, requiring robust metrics and agreement on what constitutes a successful outcome. For instance, an AI agent designed to optimize marketing campaigns might charge a percentage of the increased conversion rate it achieves, or an AI legal assistant might charge based on the number of successful case resolutions it aids. In a manufacturing context, an AI predictive maintenance system might charge based on the reduction in machine downtime (RAND Corporation, 2021). This requires sophisticated monitoring, attribution, and often, a collaborative relationship between the AI provider and the client to define and measure success.</w:t>
      </w:r>
    </w:p>
    <w:p>
      <w:pPr>
        <w:pStyle w:val="BodyText"/>
      </w:pPr>
      <w:r>
        <w:t xml:space="preserve">Economically, outcome-based pricing offers the highest degree of value alignment. Customers only pay if the AI delivers tangible benefits, effectively shifting much of the risk from the consumer to the provider. This can be highly attractive for businesses that are hesitant to invest in unproven AI technologies. For providers, it incentivizes the development of highly effective and reliable AI solutions, as their revenue is directly tied to the performance of their models. It pushes providers to deeply understand their clients’ business objectives and to design AI systems that directly contribute to those goals. This model is particularly relevant for autonomous AI agents that perform complex tasks and are expected to achieve specific business objectives without constant human oversight (Gartner, 2024)(Unknown, 2024).</w:t>
      </w:r>
    </w:p>
    <w:p>
      <w:pPr>
        <w:pStyle w:val="BodyText"/>
      </w:pPr>
      <w:r>
        <w:t xml:space="preserve">However, this model presents significant challenges. Measuring and attributing outcomes can be difficult, especially in complex business environments where multiple factors contribute to a KPI. Establishing clear baselines, control groups, and robust causal links between the AI’s actions and the observed outcomes is critical but often complicated. There are also ethical considerations, particularly in sensitive domains like healthcare or finance, where tying payment directly to outcomes might create perverse incentives or raise questions about responsibility and accountability (WHO, 2023). For example, an AI optimizing financial trades might generate high returns but also introduce unforeseen risks.</w:t>
      </w:r>
    </w:p>
    <w:p>
      <w:pPr>
        <w:pStyle w:val="BodyText"/>
      </w:pPr>
      <w:r>
        <w:t xml:space="preserve">The suitability of performance-based pricing is highest for specialized AI agents or solutions designed for well-defined, measurable problems with clear business impact. It is less practical for general-purpose LLMs or AI tools where the</w:t>
      </w:r>
      <w:r>
        <w:t xml:space="preserve"> </w:t>
      </w:r>
      <w:r>
        <w:t xml:space="preserve">“</w:t>
      </w:r>
      <w:r>
        <w:t xml:space="preserve">outcome</w:t>
      </w:r>
      <w:r>
        <w:t xml:space="preserve">”</w:t>
      </w:r>
      <w:r>
        <w:t xml:space="preserve"> </w:t>
      </w:r>
      <w:r>
        <w:t xml:space="preserve">can be subjective (e.g., creative writing quality) or where the AI is merely a tool used by humans to achieve a broader goal. As AI agents become more autonomous and capable of directly influencing business processes, this model is expected to gain traction, but it will require significant advancements in AI explainability, auditing, and the development of standardized outcome measurement frameworks (IEEE, 2023)(Unknown, 2023). The success of outcome-based pricing hinges on transparent performance metrics and mutual trust between providers and users, facilitating a true partnership approach to AI deployment.</w:t>
      </w:r>
    </w:p>
    <w:p>
      <w:pPr>
        <w:pStyle w:val="Heading3"/>
      </w:pPr>
      <w:bookmarkStart w:id="57" w:name="subscriptiontiered-access-models"/>
      <w:r>
        <w:rPr>
          <w:i/>
          <w:b/>
        </w:rPr>
        <w:t xml:space="preserve">4.1.5 Subscription/Tiered Access Models</w:t>
      </w:r>
      <w:bookmarkEnd w:id="57"/>
    </w:p>
    <w:p>
      <w:pPr>
        <w:pStyle w:val="FirstParagraph"/>
      </w:pPr>
      <w:r>
        <w:t xml:space="preserve">Subscription and tiered access models are pervasive across the software industry and have found a natural home within the AI services market, often in conjunction with other pricing elements. At its core, a subscription model grants users access to an AI service or platform for a fixed, recurring fee over a specified period (e.g., monthly or annually) (Unknown, 2024). Tiered access models are a common variation, where different subscription levels unlock varying degrees of functionality, usage limits, or service quality, effectively combining the predictability of subscriptions with the segmentation benefits of feature-based pricing.</w:t>
      </w:r>
    </w:p>
    <w:p>
      <w:pPr>
        <w:pStyle w:val="BodyText"/>
      </w:pPr>
      <w:r>
        <w:t xml:space="preserve">The mechanics are straightforward: users sign up for a plan, pay a recurring fee, and gain access to the designated AI capabilities. These plans often include specific allowances, such as a certain number of tokens, API calls, or hours of compute time per billing cycle. If users exceed these allowances, they might incur additional usage-based charges, creating a hybrid model. For instance, a</w:t>
      </w:r>
      <w:r>
        <w:t xml:space="preserve"> </w:t>
      </w:r>
      <w:r>
        <w:t xml:space="preserve">“</w:t>
      </w:r>
      <w:r>
        <w:t xml:space="preserve">Pro</w:t>
      </w:r>
      <w:r>
        <w:t xml:space="preserve">”</w:t>
      </w:r>
      <w:r>
        <w:t xml:space="preserve"> </w:t>
      </w:r>
      <w:r>
        <w:t xml:space="preserve">subscription might include 1 million tokens per month, with an overage charge for every additional 1,000 tokens (Unknown, 2024). This structure provides a baseline of predictable revenue for providers while also allowing them to capture additional value from high-usage customers.</w:t>
      </w:r>
    </w:p>
    <w:p>
      <w:pPr>
        <w:pStyle w:val="BodyText"/>
      </w:pPr>
      <w:r>
        <w:t xml:space="preserve">Economically, subscription models offer significant advantages for both providers and consumers. For providers, they ensure a stable and predictable revenue stream, which is crucial for long-term planning, investment in R&amp;D, and scaling infrastructure. This predictability reduces financial risk and allows for more aggressive innovation cycles. For consumers, subscriptions offer budget predictability and often a lower entry barrier compared to large upfront purchases. Users can access advanced AI capabilities without worrying about fluctuating costs on a per-use basis, as long as they stay within their plan’s limits. This fosters a sense of consistent value and encourages deeper integration of AI into their workflows.</w:t>
      </w:r>
    </w:p>
    <w:p>
      <w:pPr>
        <w:pStyle w:val="BodyText"/>
      </w:pPr>
      <w:r>
        <w:t xml:space="preserve">The design of effective tiered subscription models involves segmenting the target market based on usage patterns, feature requirements, and willingness to pay. Common tiers might include:</w:t>
      </w:r>
      <w:r>
        <w:t xml:space="preserve"> </w:t>
      </w:r>
      <w:r>
        <w:t xml:space="preserve">-</w:t>
      </w:r>
      <w:r>
        <w:t xml:space="preserve"> </w:t>
      </w:r>
      <w:r>
        <w:rPr>
          <w:b/>
        </w:rPr>
        <w:t xml:space="preserve">Free/Freemium Tier:</w:t>
      </w:r>
      <w:r>
        <w:t xml:space="preserve"> </w:t>
      </w:r>
      <w:r>
        <w:t xml:space="preserve">Limited features or usage to attract users and allow them to experience the service, often with a clear path to upgrade.</w:t>
      </w:r>
      <w:r>
        <w:t xml:space="preserve"> </w:t>
      </w:r>
      <w:r>
        <w:t xml:space="preserve">-</w:t>
      </w:r>
      <w:r>
        <w:t xml:space="preserve"> </w:t>
      </w:r>
      <w:r>
        <w:rPr>
          <w:b/>
        </w:rPr>
        <w:t xml:space="preserve">Individual/Basic Tier:</w:t>
      </w:r>
      <w:r>
        <w:t xml:space="preserve"> </w:t>
      </w:r>
      <w:r>
        <w:t xml:space="preserve">Designed for single users or small teams, offering core features and moderate usage limits.</w:t>
      </w:r>
      <w:r>
        <w:t xml:space="preserve"> </w:t>
      </w:r>
      <w:r>
        <w:t xml:space="preserve">-</w:t>
      </w:r>
      <w:r>
        <w:t xml:space="preserve"> </w:t>
      </w:r>
      <w:r>
        <w:rPr>
          <w:b/>
        </w:rPr>
        <w:t xml:space="preserve">Team/Pro Tier:</w:t>
      </w:r>
      <w:r>
        <w:t xml:space="preserve"> </w:t>
      </w:r>
      <w:r>
        <w:t xml:space="preserve">Aimed at larger teams or departments, providing more advanced features, higher limits, and collaboration tools.</w:t>
      </w:r>
      <w:r>
        <w:t xml:space="preserve"> </w:t>
      </w:r>
      <w:r>
        <w:t xml:space="preserve">-</w:t>
      </w:r>
      <w:r>
        <w:t xml:space="preserve"> </w:t>
      </w:r>
      <w:r>
        <w:rPr>
          <w:b/>
        </w:rPr>
        <w:t xml:space="preserve">Enterprise Tier:</w:t>
      </w:r>
      <w:r>
        <w:t xml:space="preserve"> </w:t>
      </w:r>
      <w:r>
        <w:t xml:space="preserve">Tailored for large organizations, including custom features, dedicated support, enterprise-grade security, and potentially on-premise deployment options (Google Cloud, 2023).</w:t>
      </w:r>
    </w:p>
    <w:p>
      <w:pPr>
        <w:pStyle w:val="BodyText"/>
      </w:pPr>
      <w:r>
        <w:t xml:space="preserve">Each tier is carefully crafted to provide a distinct value proposition, preventing cannibalization between tiers while ensuring a logical progression for users as their needs evolve. The benefits for users include simplified budgeting, access to a consistent set of tools, and often, enhanced customer support. For providers, it aids in customer retention, as users are more likely to stay subscribed once integrated into their workflows. It also facilitates upselling and cross-selling opportunities by showcasing premium features available in higher tiers.</w:t>
      </w:r>
    </w:p>
    <w:p>
      <w:pPr>
        <w:pStyle w:val="BodyText"/>
      </w:pPr>
      <w:r>
        <w:t xml:space="preserve">However, challenges exist. Subscriptions can lead to underutilization by some customers who pay for more than they use, or overutilization by others who consume resources far beyond the average expectation for their tier, potentially straining provider infrastructure. Finding the right balance of features and allowances within each tier is critical to avoid customer dissatisfaction or unsustainable operational costs. The rigidity of fixed plans might also deter users with highly variable or unpredictable usage patterns who prefer a purely usage-based model (Brookings, 2022). Despite these considerations, subscription and tiered access models remain a cornerstone of AI service monetization due to their ability to foster long-term customer relationships and provide financial stability for providers.</w:t>
      </w:r>
    </w:p>
    <w:p>
      <w:pPr>
        <w:pStyle w:val="Heading3"/>
      </w:pPr>
      <w:bookmarkStart w:id="58" w:name="hybrid-and-custom-models"/>
      <w:r>
        <w:rPr>
          <w:i/>
          <w:b/>
        </w:rPr>
        <w:t xml:space="preserve">4.1.6 Hybrid and Custom Models</w:t>
      </w:r>
      <w:bookmarkEnd w:id="58"/>
    </w:p>
    <w:p>
      <w:pPr>
        <w:pStyle w:val="FirstParagraph"/>
      </w:pPr>
      <w:r>
        <w:t xml:space="preserve">The complexity and diversity of AI applications often necessitate a departure from single, monolithic pricing strategies, leading to the emergence of hybrid and custom pricing models. These approaches combine elements from two or more of the aforementioned models to create a more flexible, comprehensive, and value-aligned pricing structure (BCG, 2023). The goal is to mitigate the disadvantages of any single model while leveraging their respective strengths, thereby optimizing for both provider revenue and customer satisfaction.</w:t>
      </w:r>
    </w:p>
    <w:p>
      <w:pPr>
        <w:pStyle w:val="BodyText"/>
      </w:pPr>
      <w:r>
        <w:t xml:space="preserve">A common hybrid approach might combine a</w:t>
      </w:r>
      <w:r>
        <w:t xml:space="preserve"> </w:t>
      </w:r>
      <w:r>
        <w:rPr>
          <w:b/>
        </w:rPr>
        <w:t xml:space="preserve">subscription base with usage-based overages</w:t>
      </w:r>
      <w:r>
        <w:t xml:space="preserve">. For instance, a user pays a fixed monthly fee for a</w:t>
      </w:r>
      <w:r>
        <w:t xml:space="preserve"> </w:t>
      </w:r>
      <w:r>
        <w:t xml:space="preserve">“</w:t>
      </w:r>
      <w:r>
        <w:t xml:space="preserve">Pro</w:t>
      </w:r>
      <w:r>
        <w:t xml:space="preserve">”</w:t>
      </w:r>
      <w:r>
        <w:t xml:space="preserve"> </w:t>
      </w:r>
      <w:r>
        <w:t xml:space="preserve">plan that includes a certain allowance of tokens or API calls. Once this allowance is exhausted, additional usage is billed on a per-token or per-call basis (Unknown, 2024). This offers the predictability of a subscription for baseline usage, which is beneficial for budgeting, while also capturing additional value from high-volume usage. It addresses the</w:t>
      </w:r>
      <w:r>
        <w:t xml:space="preserve"> </w:t>
      </w:r>
      <w:r>
        <w:t xml:space="preserve">“</w:t>
      </w:r>
      <w:r>
        <w:t xml:space="preserve">overutilization</w:t>
      </w:r>
      <w:r>
        <w:t xml:space="preserve">”</w:t>
      </w:r>
      <w:r>
        <w:t xml:space="preserve"> </w:t>
      </w:r>
      <w:r>
        <w:t xml:space="preserve">problem of pure subscription models and the</w:t>
      </w:r>
      <w:r>
        <w:t xml:space="preserve"> </w:t>
      </w:r>
      <w:r>
        <w:t xml:space="preserve">“</w:t>
      </w:r>
      <w:r>
        <w:t xml:space="preserve">unpredictability</w:t>
      </w:r>
      <w:r>
        <w:t xml:space="preserve">”</w:t>
      </w:r>
      <w:r>
        <w:t xml:space="preserve"> </w:t>
      </w:r>
      <w:r>
        <w:t xml:space="preserve">challenge of pure usage-based models.</w:t>
      </w:r>
    </w:p>
    <w:p>
      <w:pPr>
        <w:pStyle w:val="BodyText"/>
      </w:pPr>
      <w:r>
        <w:t xml:space="preserve">Another hybrid could integrate</w:t>
      </w:r>
      <w:r>
        <w:t xml:space="preserve"> </w:t>
      </w:r>
      <w:r>
        <w:rPr>
          <w:b/>
        </w:rPr>
        <w:t xml:space="preserve">feature-based tiers with outcome-based incentives</w:t>
      </w:r>
      <w:r>
        <w:t xml:space="preserve">. An enterprise might subscribe to a premium tier that unlocks advanced AI capabilities, and then for specific projects, an additional outcome-based fee is applied if the AI achieves predefined performance metrics (RAND Corporation, 2021). This allows businesses to access a broad suite of tools while also ensuring that high-value projects are directly tied to measurable results. This is particularly relevant for agentic AI systems that are deployed to achieve specific business objectives, such as optimizing supply chains or automating customer service processes (Gartner, 2024).</w:t>
      </w:r>
    </w:p>
    <w:p>
      <w:pPr>
        <w:pStyle w:val="BodyText"/>
      </w:pPr>
      <w:r>
        <w:t xml:space="preserve">Custom models are often developed for large enterprise clients with unique requirements, significant scale, or specialized AI deployments. These can involve bespoke pricing agreements that take into account factors like dedicated infrastructure, specific SLAs, custom model fine-tuning, integration services, and long-term partnership agreements. Such models are typically negotiated directly between the provider and the client, reflecting a deep understanding of the client’s operational context and the specific value the AI is expected to deliver (AWS, 2023). They often incorporate elements of all other models, tailored to the specific context.</w:t>
      </w:r>
    </w:p>
    <w:p>
      <w:pPr>
        <w:pStyle w:val="BodyText"/>
      </w:pPr>
      <w:r>
        <w:t xml:space="preserve">The rationale behind hybrid and custom models is to achieve a more precise alignment between the cost of the AI service and the value it delivers. By combining different elements, providers can cater to a wider range of customer segments, from individual developers to large enterprises, each with distinct needs for cost predictability, granularity, and value alignment. These models often require more sophisticated billing and metering infrastructure but offer greater flexibility and the potential for higher revenue capture by accurately reflecting the diverse ways AI generates value (Unknown, 2022). The increasing complexity of AI ecosystems, with specialized agents, multimodal models, and dynamic workflows, further pushes the industry towards these more nuanced and adaptive pricing strategies, paving the way for future innovations in AI monetization (Unknown, 2024).</w:t>
      </w:r>
    </w:p>
    <w:p>
      <w:pPr>
        <w:pStyle w:val="Heading2"/>
      </w:pPr>
      <w:bookmarkStart w:id="59" w:name="X3576e19d1cddf81b0122f54a3724a55bb90d12a"/>
      <w:r>
        <w:t xml:space="preserve">4.2 Advantages and Disadvantages of Different Models</w:t>
      </w:r>
      <w:bookmarkEnd w:id="59"/>
    </w:p>
    <w:p>
      <w:pPr>
        <w:pStyle w:val="FirstParagraph"/>
      </w:pPr>
      <w:r>
        <w:t xml:space="preserve">Each pricing model, while designed to capture value from AI services, comes with its own set of strengths and weaknesses. These pros and cons impact both the AI service providers and the end-users, influencing market adoption, financial predictability, and the overall efficiency of AI integration. A critical analysis of these advantages and disadvantages is essential for understanding the strategic choices made by AI companies and for guiding businesses in selecting the most appropriate models for their specific needs (OECD, 2022)(BCG, 2023).</w:t>
      </w:r>
    </w:p>
    <w:p>
      <w:pPr>
        <w:pStyle w:val="Heading3"/>
      </w:pPr>
      <w:bookmarkStart w:id="60" w:name="token-based-pricing-1"/>
      <w:r>
        <w:rPr>
          <w:i/>
          <w:b/>
        </w:rPr>
        <w:t xml:space="preserve">4.2.1 Token-Based Pricing</w:t>
      </w:r>
      <w:bookmarkEnd w:id="60"/>
    </w:p>
    <w:p>
      <w:pPr>
        <w:pStyle w:val="FirstParagraph"/>
      </w:pPr>
      <w:r>
        <w:t xml:space="preserve">Token-based pricing, prevalent in LLM APIs, offers several distinct advantages but also poses significant challenges.</w:t>
      </w:r>
    </w:p>
    <w:p>
      <w:pPr>
        <w:pStyle w:val="BodyText"/>
      </w:pPr>
      <w:r>
        <w:rPr>
          <w:b/>
        </w:rPr>
        <w:t xml:space="preserve">Advantages:</w:t>
      </w:r>
      <w:r>
        <w:t xml:space="preserve"> </w:t>
      </w:r>
      <w:r>
        <w:t xml:space="preserve">-</w:t>
      </w:r>
      <w:r>
        <w:t xml:space="preserve"> </w:t>
      </w:r>
      <w:r>
        <w:rPr>
          <w:b/>
        </w:rPr>
        <w:t xml:space="preserve">Granularity and Direct Cost Correlation:</w:t>
      </w:r>
      <w:r>
        <w:t xml:space="preserve"> </w:t>
      </w:r>
      <w:r>
        <w:t xml:space="preserve">The primary advantage is its high granularity. Users pay precisely for the computational resources consumed, as measured by tokens. This direct correlation between usage and cost ensures that providers are compensated for every unit of processing, while users only pay for what they explicitly consume (Unknown, 2024). This can be particularly fair for intermittent or low-volume users.</w:t>
      </w:r>
      <w:r>
        <w:t xml:space="preserve"> </w:t>
      </w:r>
      <w:r>
        <w:t xml:space="preserve">-</w:t>
      </w:r>
      <w:r>
        <w:t xml:space="preserve"> </w:t>
      </w:r>
      <w:r>
        <w:rPr>
          <w:b/>
        </w:rPr>
        <w:t xml:space="preserve">Flexibility for Variable Workloads:</w:t>
      </w:r>
      <w:r>
        <w:t xml:space="preserve"> </w:t>
      </w:r>
      <w:r>
        <w:t xml:space="preserve">For applications with highly variable usage patterns, token-based pricing offers immense flexibility. Users are not locked into fixed subscriptions that might be underutilized, nor are they penalized for occasional spikes in demand beyond a fixed allowance. They scale their costs directly with their fluctuating needs.</w:t>
      </w:r>
      <w:r>
        <w:t xml:space="preserve"> </w:t>
      </w:r>
      <w:r>
        <w:t xml:space="preserve">-</w:t>
      </w:r>
      <w:r>
        <w:t xml:space="preserve"> </w:t>
      </w:r>
      <w:r>
        <w:rPr>
          <w:b/>
        </w:rPr>
        <w:t xml:space="preserve">Democratization of Access:</w:t>
      </w:r>
      <w:r>
        <w:t xml:space="preserve"> </w:t>
      </w:r>
      <w:r>
        <w:t xml:space="preserve">By eliminating large upfront costs or fixed monthly fees for basic access, token-based pricing democratizes access to powerful AI models. Individual developers, startups, and researchers can experiment and build applications without significant financial barriers, paying only for their actual usage (Brookings, 2022).</w:t>
      </w:r>
      <w:r>
        <w:t xml:space="preserve"> </w:t>
      </w:r>
      <w:r>
        <w:t xml:space="preserve">-</w:t>
      </w:r>
      <w:r>
        <w:t xml:space="preserve"> </w:t>
      </w:r>
      <w:r>
        <w:rPr>
          <w:b/>
        </w:rPr>
        <w:t xml:space="preserve">Incentivizes Efficiency:</w:t>
      </w:r>
      <w:r>
        <w:t xml:space="preserve"> </w:t>
      </w:r>
      <w:r>
        <w:t xml:space="preserve">This model inherently incentivizes users to be efficient with their prompts and manage context effectively. Developers are encouraged to optimize their input to minimize token count while maximizing information density, fostering best practices in prompt engineering and application design (NIST, 2023).</w:t>
      </w:r>
    </w:p>
    <w:p>
      <w:pPr>
        <w:pStyle w:val="BodyText"/>
      </w:pPr>
      <w:r>
        <w:rPr>
          <w:b/>
        </w:rPr>
        <w:t xml:space="preserve">Disadvantages:</w:t>
      </w:r>
      <w:r>
        <w:t xml:space="preserve"> </w:t>
      </w:r>
      <w:r>
        <w:t xml:space="preserve">-</w:t>
      </w:r>
      <w:r>
        <w:t xml:space="preserve"> </w:t>
      </w:r>
      <w:r>
        <w:rPr>
          <w:b/>
        </w:rPr>
        <w:t xml:space="preserve">Complexity and Unpredictable Costs for Users:</w:t>
      </w:r>
      <w:r>
        <w:t xml:space="preserve"> </w:t>
      </w:r>
      <w:r>
        <w:t xml:space="preserve">The most significant drawback is the unpredictability of costs, especially for non-technical users or complex applications. The number of tokens consumed can vary based on prompt length, model response verbosity, and even the specific language used, making it difficult to accurately forecast expenses (BCG, 2023). This can lead to</w:t>
      </w:r>
      <w:r>
        <w:t xml:space="preserve"> </w:t>
      </w:r>
      <w:r>
        <w:t xml:space="preserve">“</w:t>
      </w:r>
      <w:r>
        <w:t xml:space="preserve">bill shock</w:t>
      </w:r>
      <w:r>
        <w:t xml:space="preserve">”</w:t>
      </w:r>
      <w:r>
        <w:t xml:space="preserve"> </w:t>
      </w:r>
      <w:r>
        <w:t xml:space="preserve">for users unaware of the underlying token dynamics.</w:t>
      </w:r>
      <w:r>
        <w:t xml:space="preserve"> </w:t>
      </w:r>
      <w:r>
        <w:t xml:space="preserve">-</w:t>
      </w:r>
      <w:r>
        <w:t xml:space="preserve"> </w:t>
      </w:r>
      <w:r>
        <w:rPr>
          <w:b/>
        </w:rPr>
        <w:t xml:space="preserve">Lack of Transparency for Non-Technical Users:</w:t>
      </w:r>
      <w:r>
        <w:t xml:space="preserve"> </w:t>
      </w:r>
      <w:r>
        <w:t xml:space="preserve">For business stakeholders or end-users, the concept of</w:t>
      </w:r>
      <w:r>
        <w:t xml:space="preserve"> </w:t>
      </w:r>
      <w:r>
        <w:t xml:space="preserve">“</w:t>
      </w:r>
      <w:r>
        <w:t xml:space="preserve">tokens</w:t>
      </w:r>
      <w:r>
        <w:t xml:space="preserve">”</w:t>
      </w:r>
      <w:r>
        <w:t xml:space="preserve"> </w:t>
      </w:r>
      <w:r>
        <w:t xml:space="preserve">can be abstract and opaque. It’s challenging to intuitively understand how a business operation translates into token consumption, hindering cost analysis and value assessment.</w:t>
      </w:r>
      <w:r>
        <w:t xml:space="preserve"> </w:t>
      </w:r>
      <w:r>
        <w:t xml:space="preserve">-</w:t>
      </w:r>
      <w:r>
        <w:t xml:space="preserve"> </w:t>
      </w:r>
      <w:r>
        <w:rPr>
          <w:b/>
        </w:rPr>
        <w:t xml:space="preserve">Vulnerability to Prompt Injection and Malicious Use:</w:t>
      </w:r>
      <w:r>
        <w:t xml:space="preserve"> </w:t>
      </w:r>
      <w:r>
        <w:t xml:space="preserve">In scenarios where prompt injection or adversarial attacks are possible, malicious actors could exploit token-based pricing by forcing the model to generate excessively long, costly responses, leading to inflated bills for the service provider or the end-user (European Commission, 2024).</w:t>
      </w:r>
      <w:r>
        <w:t xml:space="preserve"> </w:t>
      </w:r>
      <w:r>
        <w:t xml:space="preserve">-</w:t>
      </w:r>
      <w:r>
        <w:t xml:space="preserve"> </w:t>
      </w:r>
      <w:r>
        <w:rPr>
          <w:b/>
        </w:rPr>
        <w:t xml:space="preserve">Impact on Model Design and User Experience:</w:t>
      </w:r>
      <w:r>
        <w:t xml:space="preserve"> </w:t>
      </w:r>
      <w:r>
        <w:t xml:space="preserve">The constant pressure to minimize tokens can sometimes lead to trade-offs in model design or user experience. Developers might sacrifice conversational depth or detail in responses to keep costs down, potentially limiting the AI’s utility or the richness of interaction.</w:t>
      </w:r>
      <w:r>
        <w:t xml:space="preserve"> </w:t>
      </w:r>
      <w:r>
        <w:t xml:space="preserve">-</w:t>
      </w:r>
      <w:r>
        <w:t xml:space="preserve"> </w:t>
      </w:r>
      <w:r>
        <w:rPr>
          <w:b/>
        </w:rPr>
        <w:t xml:space="preserve">Ethical Considerations:</w:t>
      </w:r>
      <w:r>
        <w:t xml:space="preserve"> </w:t>
      </w:r>
      <w:r>
        <w:t xml:space="preserve">The focus on token count might inadvertently discourage comprehensive or nuanced responses, especially in critical applications where thoroughness is paramount. There’s a subtle pressure to be concise, which might not always align with ethical requirements for complete information or detailed explanations (WHO, 2023).</w:t>
      </w:r>
    </w:p>
    <w:p>
      <w:pPr>
        <w:pStyle w:val="Heading3"/>
      </w:pPr>
      <w:bookmarkStart w:id="61" w:name="api-callrequest-based-pricing-1"/>
      <w:r>
        <w:rPr>
          <w:i/>
          <w:b/>
        </w:rPr>
        <w:t xml:space="preserve">4.2.2 API Call/Request-Based Pricing</w:t>
      </w:r>
      <w:bookmarkEnd w:id="61"/>
    </w:p>
    <w:p>
      <w:pPr>
        <w:pStyle w:val="FirstParagraph"/>
      </w:pPr>
      <w:r>
        <w:t xml:space="preserve">API call/request-based pricing offers a balance of simplicity and predictability for specific AI services.</w:t>
      </w:r>
    </w:p>
    <w:p>
      <w:pPr>
        <w:pStyle w:val="BodyText"/>
      </w:pPr>
      <w:r>
        <w:rPr>
          <w:b/>
        </w:rPr>
        <w:t xml:space="preserve">Advantages:</w:t>
      </w:r>
      <w:r>
        <w:t xml:space="preserve"> </w:t>
      </w:r>
      <w:r>
        <w:t xml:space="preserve">-</w:t>
      </w:r>
      <w:r>
        <w:t xml:space="preserve"> </w:t>
      </w:r>
      <w:r>
        <w:rPr>
          <w:b/>
        </w:rPr>
        <w:t xml:space="preserve">Simplicity and Predictability:</w:t>
      </w:r>
      <w:r>
        <w:t xml:space="preserve"> </w:t>
      </w:r>
      <w:r>
        <w:t xml:space="preserve">The straightforward nature of charging per API call makes cost estimation highly predictable for users. Businesses can easily budget for AI integration based on their anticipated transaction volume, without needing to delve into granular details like token counts (RAND Corporation, 2021).</w:t>
      </w:r>
      <w:r>
        <w:t xml:space="preserve"> </w:t>
      </w:r>
      <w:r>
        <w:t xml:space="preserve">-</w:t>
      </w:r>
      <w:r>
        <w:t xml:space="preserve"> </w:t>
      </w:r>
      <w:r>
        <w:rPr>
          <w:b/>
        </w:rPr>
        <w:t xml:space="preserve">Ease of Understanding:</w:t>
      </w:r>
      <w:r>
        <w:t xml:space="preserve"> </w:t>
      </w:r>
      <w:r>
        <w:t xml:space="preserve">This model is intuitive and easy for both technical and non-technical stakeholders to grasp. A</w:t>
      </w:r>
      <w:r>
        <w:t xml:space="preserve"> </w:t>
      </w:r>
      <w:r>
        <w:t xml:space="preserve">“</w:t>
      </w:r>
      <w:r>
        <w:t xml:space="preserve">call</w:t>
      </w:r>
      <w:r>
        <w:t xml:space="preserve">”</w:t>
      </w:r>
      <w:r>
        <w:t xml:space="preserve"> </w:t>
      </w:r>
      <w:r>
        <w:t xml:space="preserve">or</w:t>
      </w:r>
      <w:r>
        <w:t xml:space="preserve"> </w:t>
      </w:r>
      <w:r>
        <w:t xml:space="preserve">“</w:t>
      </w:r>
      <w:r>
        <w:t xml:space="preserve">request</w:t>
      </w:r>
      <w:r>
        <w:t xml:space="preserve">”</w:t>
      </w:r>
      <w:r>
        <w:t xml:space="preserve"> </w:t>
      </w:r>
      <w:r>
        <w:t xml:space="preserve">is a concrete unit of interaction, simplifying communication and financial reporting.</w:t>
      </w:r>
      <w:r>
        <w:t xml:space="preserve"> </w:t>
      </w:r>
      <w:r>
        <w:t xml:space="preserve">-</w:t>
      </w:r>
      <w:r>
        <w:t xml:space="preserve"> </w:t>
      </w:r>
      <w:r>
        <w:rPr>
          <w:b/>
        </w:rPr>
        <w:t xml:space="preserve">Suitable for Discrete Tasks:</w:t>
      </w:r>
      <w:r>
        <w:t xml:space="preserve"> </w:t>
      </w:r>
      <w:r>
        <w:t xml:space="preserve">It is particularly well-suited for AI services that perform atomic, well-defined tasks (e.g., image classification, specific data extraction, short translations) where the computational effort per request is relatively consistent (AWS, 2023).</w:t>
      </w:r>
      <w:r>
        <w:t xml:space="preserve"> </w:t>
      </w:r>
      <w:r>
        <w:t xml:space="preserve">-</w:t>
      </w:r>
      <w:r>
        <w:t xml:space="preserve"> </w:t>
      </w:r>
      <w:r>
        <w:rPr>
          <w:b/>
        </w:rPr>
        <w:t xml:space="preserve">Reduced Overhead for Metering:</w:t>
      </w:r>
      <w:r>
        <w:t xml:space="preserve"> </w:t>
      </w:r>
      <w:r>
        <w:t xml:space="preserve">For providers, the metering infrastructure required for request-based billing is generally simpler than that for token-based systems, reducing operational complexity and costs (IEEE, 2023).</w:t>
      </w:r>
    </w:p>
    <w:p>
      <w:pPr>
        <w:pStyle w:val="BodyText"/>
      </w:pPr>
      <w:r>
        <w:rPr>
          <w:b/>
        </w:rPr>
        <w:t xml:space="preserve">Disadvantages:</w:t>
      </w:r>
      <w:r>
        <w:t xml:space="preserve"> </w:t>
      </w:r>
      <w:r>
        <w:t xml:space="preserve">-</w:t>
      </w:r>
      <w:r>
        <w:t xml:space="preserve"> </w:t>
      </w:r>
      <w:r>
        <w:rPr>
          <w:b/>
        </w:rPr>
        <w:t xml:space="preserve">Less Granularity in Cost Allocation:</w:t>
      </w:r>
      <w:r>
        <w:t xml:space="preserve"> </w:t>
      </w:r>
      <w:r>
        <w:t xml:space="preserve">The main disadvantage is its lack of granularity. A</w:t>
      </w:r>
      <w:r>
        <w:t xml:space="preserve"> </w:t>
      </w:r>
      <w:r>
        <w:t xml:space="preserve">“</w:t>
      </w:r>
      <w:r>
        <w:t xml:space="preserve">simple</w:t>
      </w:r>
      <w:r>
        <w:t xml:space="preserve">”</w:t>
      </w:r>
      <w:r>
        <w:t xml:space="preserve"> </w:t>
      </w:r>
      <w:r>
        <w:t xml:space="preserve">API call that requires minimal processing is charged the same as a</w:t>
      </w:r>
      <w:r>
        <w:t xml:space="preserve"> </w:t>
      </w:r>
      <w:r>
        <w:t xml:space="preserve">“</w:t>
      </w:r>
      <w:r>
        <w:t xml:space="preserve">complex</w:t>
      </w:r>
      <w:r>
        <w:t xml:space="preserve">”</w:t>
      </w:r>
      <w:r>
        <w:t xml:space="preserve"> </w:t>
      </w:r>
      <w:r>
        <w:t xml:space="preserve">call that consumes significantly more resources, potentially leading to an inefficient allocation of costs (OECD, 2022).</w:t>
      </w:r>
      <w:r>
        <w:t xml:space="preserve"> </w:t>
      </w:r>
      <w:r>
        <w:t xml:space="preserve">-</w:t>
      </w:r>
      <w:r>
        <w:t xml:space="preserve"> </w:t>
      </w:r>
      <w:r>
        <w:rPr>
          <w:b/>
        </w:rPr>
        <w:t xml:space="preserve">Potential for Overcharging/Undercharging:</w:t>
      </w:r>
      <w:r>
        <w:t xml:space="preserve"> </w:t>
      </w:r>
      <w:r>
        <w:t xml:space="preserve">If the actual resource consumption or value delivered per request varies widely, this model can result in users feeling overcharged for light requests or providers being undercompensated for heavy ones. This misaligns cost with value in scenarios where request complexity is highly variable.</w:t>
      </w:r>
      <w:r>
        <w:t xml:space="preserve"> </w:t>
      </w:r>
      <w:r>
        <w:t xml:space="preserve">-</w:t>
      </w:r>
      <w:r>
        <w:t xml:space="preserve"> </w:t>
      </w:r>
      <w:r>
        <w:rPr>
          <w:b/>
        </w:rPr>
        <w:t xml:space="preserve">Resource Inefficiencies for Generative AI:</w:t>
      </w:r>
      <w:r>
        <w:t xml:space="preserve"> </w:t>
      </w:r>
      <w:r>
        <w:t xml:space="preserve">For generative AI models like LLMs, where the length and complexity of the output can vary drastically, a flat fee per request is often unsustainable for providers or unfair to users. It doesn’t account for the differential computational load of generating a short phrase versus a lengthy document (Unknown, 2024).</w:t>
      </w:r>
      <w:r>
        <w:t xml:space="preserve"> </w:t>
      </w:r>
      <w:r>
        <w:t xml:space="preserve">-</w:t>
      </w:r>
      <w:r>
        <w:t xml:space="preserve"> </w:t>
      </w:r>
      <w:r>
        <w:rPr>
          <w:b/>
        </w:rPr>
        <w:t xml:space="preserve">Less Incentive for Optimization:</w:t>
      </w:r>
      <w:r>
        <w:t xml:space="preserve"> </w:t>
      </w:r>
      <w:r>
        <w:t xml:space="preserve">Since each call costs the same, there’s less incentive for users to optimize their requests for efficiency, potentially leading to inefficient use of provider resources if requests are consistently more complex than anticipated.</w:t>
      </w:r>
    </w:p>
    <w:p>
      <w:pPr>
        <w:pStyle w:val="Heading3"/>
      </w:pPr>
      <w:bookmarkStart w:id="62" w:name="featurecapability-based-pricing-1"/>
      <w:r>
        <w:rPr>
          <w:i/>
          <w:b/>
        </w:rPr>
        <w:t xml:space="preserve">4.2.3 Feature/Capability-Based Pricing</w:t>
      </w:r>
      <w:bookmarkEnd w:id="62"/>
    </w:p>
    <w:p>
      <w:pPr>
        <w:pStyle w:val="FirstParagraph"/>
      </w:pPr>
      <w:r>
        <w:t xml:space="preserve">Feature/capability-based pricing is common in SaaS and offers value through access to specific functionalities.</w:t>
      </w:r>
    </w:p>
    <w:p>
      <w:pPr>
        <w:pStyle w:val="BodyText"/>
      </w:pPr>
      <w:r>
        <w:rPr>
          <w:b/>
        </w:rPr>
        <w:t xml:space="preserve">Advantages:</w:t>
      </w:r>
      <w:r>
        <w:t xml:space="preserve"> </w:t>
      </w:r>
      <w:r>
        <w:t xml:space="preserve">-</w:t>
      </w:r>
      <w:r>
        <w:t xml:space="preserve"> </w:t>
      </w:r>
      <w:r>
        <w:rPr>
          <w:b/>
        </w:rPr>
        <w:t xml:space="preserve">Value Alignment:</w:t>
      </w:r>
      <w:r>
        <w:t xml:space="preserve"> </w:t>
      </w:r>
      <w:r>
        <w:t xml:space="preserve">This model aims to align pricing with the perceived value of specific features or capabilities. Users pay for access to tools that directly address their needs, fostering a sense of value for money (BCG, 2023).</w:t>
      </w:r>
      <w:r>
        <w:t xml:space="preserve"> </w:t>
      </w:r>
      <w:r>
        <w:t xml:space="preserve">-</w:t>
      </w:r>
      <w:r>
        <w:t xml:space="preserve"> </w:t>
      </w:r>
      <w:r>
        <w:rPr>
          <w:b/>
        </w:rPr>
        <w:t xml:space="preserve">Clear Tiers and Upgrade Paths:</w:t>
      </w:r>
      <w:r>
        <w:t xml:space="preserve"> </w:t>
      </w:r>
      <w:r>
        <w:t xml:space="preserve">The tiered structure provides clear upgrade paths for customers as their needs grow, making it easy for them to choose the right plan and understand what they gain by moving to a higher tier. This supports customer growth and retention.</w:t>
      </w:r>
      <w:r>
        <w:t xml:space="preserve"> </w:t>
      </w:r>
      <w:r>
        <w:t xml:space="preserve">-</w:t>
      </w:r>
      <w:r>
        <w:t xml:space="preserve"> </w:t>
      </w:r>
      <w:r>
        <w:rPr>
          <w:b/>
        </w:rPr>
        <w:t xml:space="preserve">Predictable Revenue for Providers:</w:t>
      </w:r>
      <w:r>
        <w:t xml:space="preserve"> </w:t>
      </w:r>
      <w:r>
        <w:t xml:space="preserve">For AI service providers, feature-based subscriptions offer predictable recurring revenue, which is vital for long-term strategic planning, R&amp;D investments, and scaling infrastructure (Unknown, 2024).</w:t>
      </w:r>
      <w:r>
        <w:t xml:space="preserve"> </w:t>
      </w:r>
      <w:r>
        <w:t xml:space="preserve">-</w:t>
      </w:r>
      <w:r>
        <w:t xml:space="preserve"> </w:t>
      </w:r>
      <w:r>
        <w:rPr>
          <w:b/>
        </w:rPr>
        <w:t xml:space="preserve">Customer Segmentation:</w:t>
      </w:r>
      <w:r>
        <w:t xml:space="preserve"> </w:t>
      </w:r>
      <w:r>
        <w:t xml:space="preserve">It allows providers to effectively segment their market, offering different price points and feature sets to cater to diverse customer needs, from individual users to large enterprises (Google Cloud, 2023).</w:t>
      </w:r>
    </w:p>
    <w:p>
      <w:pPr>
        <w:pStyle w:val="BodyText"/>
      </w:pPr>
      <w:r>
        <w:rPr>
          <w:b/>
        </w:rPr>
        <w:t xml:space="preserve">Disadvantages:</w:t>
      </w:r>
      <w:r>
        <w:t xml:space="preserve"> </w:t>
      </w:r>
      <w:r>
        <w:t xml:space="preserve">-</w:t>
      </w:r>
      <w:r>
        <w:t xml:space="preserve"> </w:t>
      </w:r>
      <w:r>
        <w:rPr>
          <w:b/>
        </w:rPr>
        <w:t xml:space="preserve">Feature Bloat and Underutilization:</w:t>
      </w:r>
      <w:r>
        <w:t xml:space="preserve"> </w:t>
      </w:r>
      <w:r>
        <w:t xml:space="preserve">Customers might pay for a tier that includes many features they don’t fully utilize, leading to dissatisfaction and a perception of poor value. This</w:t>
      </w:r>
      <w:r>
        <w:t xml:space="preserve"> </w:t>
      </w:r>
      <w:r>
        <w:t xml:space="preserve">“</w:t>
      </w:r>
      <w:r>
        <w:t xml:space="preserve">feature bloat</w:t>
      </w:r>
      <w:r>
        <w:t xml:space="preserve">”</w:t>
      </w:r>
      <w:r>
        <w:t xml:space="preserve"> </w:t>
      </w:r>
      <w:r>
        <w:t xml:space="preserve">can make it harder for users to justify higher costs.</w:t>
      </w:r>
      <w:r>
        <w:t xml:space="preserve"> </w:t>
      </w:r>
      <w:r>
        <w:t xml:space="preserve">-</w:t>
      </w:r>
      <w:r>
        <w:t xml:space="preserve"> </w:t>
      </w:r>
      <w:r>
        <w:rPr>
          <w:b/>
        </w:rPr>
        <w:t xml:space="preserve">Difficulty in Defining Value:</w:t>
      </w:r>
      <w:r>
        <w:t xml:space="preserve"> </w:t>
      </w:r>
      <w:r>
        <w:t xml:space="preserve">Accurately defining the value of each feature and differentiating between tiers can be challenging. As AI capabilities rapidly evolve, what was once a premium feature might become standard, requiring constant re-evaluation of tier offerings (OECD, 2022).</w:t>
      </w:r>
      <w:r>
        <w:t xml:space="preserve"> </w:t>
      </w:r>
      <w:r>
        <w:t xml:space="preserve">-</w:t>
      </w:r>
      <w:r>
        <w:t xml:space="preserve"> </w:t>
      </w:r>
      <w:r>
        <w:rPr>
          <w:b/>
        </w:rPr>
        <w:t xml:space="preserve">Rigidity for Diverse Needs:</w:t>
      </w:r>
      <w:r>
        <w:t xml:space="preserve"> </w:t>
      </w:r>
      <w:r>
        <w:t xml:space="preserve">A fixed set of features per tier might not perfectly match the diverse and evolving needs of all users. Some might require a mix of features from different tiers, leading to frustration or forcing them into an unnecessarily expensive plan.</w:t>
      </w:r>
      <w:r>
        <w:t xml:space="preserve"> </w:t>
      </w:r>
      <w:r>
        <w:t xml:space="preserve">-</w:t>
      </w:r>
      <w:r>
        <w:t xml:space="preserve"> </w:t>
      </w:r>
      <w:r>
        <w:rPr>
          <w:b/>
        </w:rPr>
        <w:t xml:space="preserve">Limited Granularity for Usage:</w:t>
      </w:r>
      <w:r>
        <w:t xml:space="preserve"> </w:t>
      </w:r>
      <w:r>
        <w:t xml:space="preserve">While predictable, this model doesn’t directly account for actual usage within a tier. A heavy user of a specific feature might pay the same as a light user, which can lead to inefficiencies or perceived unfairness.</w:t>
      </w:r>
    </w:p>
    <w:p>
      <w:pPr>
        <w:pStyle w:val="Heading3"/>
      </w:pPr>
      <w:bookmarkStart w:id="63" w:name="performanceoutcome-based-pricing-1"/>
      <w:r>
        <w:rPr>
          <w:i/>
          <w:b/>
        </w:rPr>
        <w:t xml:space="preserve">4.2.4 Performance/Outcome-Based Pricing</w:t>
      </w:r>
      <w:bookmarkEnd w:id="63"/>
    </w:p>
    <w:p>
      <w:pPr>
        <w:pStyle w:val="FirstParagraph"/>
      </w:pPr>
      <w:r>
        <w:t xml:space="preserve">Outcome-based pricing offers the highest degree of value alignment but comes with significant implementation challenges.</w:t>
      </w:r>
    </w:p>
    <w:p>
      <w:pPr>
        <w:pStyle w:val="BodyText"/>
      </w:pPr>
      <w:r>
        <w:rPr>
          <w:b/>
        </w:rPr>
        <w:t xml:space="preserve">Advantages:</w:t>
      </w:r>
      <w:r>
        <w:t xml:space="preserve"> </w:t>
      </w:r>
      <w:r>
        <w:t xml:space="preserve">-</w:t>
      </w:r>
      <w:r>
        <w:t xml:space="preserve"> </w:t>
      </w:r>
      <w:r>
        <w:rPr>
          <w:b/>
        </w:rPr>
        <w:t xml:space="preserve">Strong Value Alignment:</w:t>
      </w:r>
      <w:r>
        <w:t xml:space="preserve"> </w:t>
      </w:r>
      <w:r>
        <w:t xml:space="preserve">The most compelling advantage is that customers only pay if the AI service delivers a tangible, measurable outcome or value. This perfectly aligns the interests of the provider and the consumer, as the provider’s revenue is directly tied to their AI’s performance (Unknown, 2023).</w:t>
      </w:r>
      <w:r>
        <w:t xml:space="preserve"> </w:t>
      </w:r>
      <w:r>
        <w:t xml:space="preserve">-</w:t>
      </w:r>
      <w:r>
        <w:t xml:space="preserve"> </w:t>
      </w:r>
      <w:r>
        <w:rPr>
          <w:b/>
        </w:rPr>
        <w:t xml:space="preserve">Reduced Risk for Consumers:</w:t>
      </w:r>
      <w:r>
        <w:t xml:space="preserve"> </w:t>
      </w:r>
      <w:r>
        <w:t xml:space="preserve">This model significantly reduces the financial risk for customers, especially when adopting new or unproven AI technologies. They are assured that their investment will yield results, making it highly attractive for cautious adopters.</w:t>
      </w:r>
      <w:r>
        <w:t xml:space="preserve"> </w:t>
      </w:r>
      <w:r>
        <w:t xml:space="preserve">-</w:t>
      </w:r>
      <w:r>
        <w:t xml:space="preserve"> </w:t>
      </w:r>
      <w:r>
        <w:rPr>
          <w:b/>
        </w:rPr>
        <w:t xml:space="preserve">Incentivizes High Performance:</w:t>
      </w:r>
      <w:r>
        <w:t xml:space="preserve"> </w:t>
      </w:r>
      <w:r>
        <w:t xml:space="preserve">For providers, it creates a powerful incentive to develop and deploy highly effective, reliable, and performant AI solutions. Their success is directly linked to the AI’s ability to achieve client objectives (RAND Corporation, 2021).</w:t>
      </w:r>
      <w:r>
        <w:t xml:space="preserve"> </w:t>
      </w:r>
      <w:r>
        <w:t xml:space="preserve">-</w:t>
      </w:r>
      <w:r>
        <w:t xml:space="preserve"> </w:t>
      </w:r>
      <w:r>
        <w:rPr>
          <w:b/>
        </w:rPr>
        <w:t xml:space="preserve">Focus on Business Impact:</w:t>
      </w:r>
      <w:r>
        <w:t xml:space="preserve"> </w:t>
      </w:r>
      <w:r>
        <w:t xml:space="preserve">It shifts the focus from technical metrics (tokens, calls) to real-world business impact (increased sales, reduced costs, improved efficiency), making the value proposition clear and compelling (Unknown, 2024).</w:t>
      </w:r>
    </w:p>
    <w:p>
      <w:pPr>
        <w:pStyle w:val="BodyText"/>
      </w:pPr>
      <w:r>
        <w:rPr>
          <w:b/>
        </w:rPr>
        <w:t xml:space="preserve">Disadvantages:</w:t>
      </w:r>
      <w:r>
        <w:t xml:space="preserve"> </w:t>
      </w:r>
      <w:r>
        <w:t xml:space="preserve">-</w:t>
      </w:r>
      <w:r>
        <w:t xml:space="preserve"> </w:t>
      </w:r>
      <w:r>
        <w:rPr>
          <w:b/>
        </w:rPr>
        <w:t xml:space="preserve">Measurement and Attribution Challenges:</w:t>
      </w:r>
      <w:r>
        <w:t xml:space="preserve"> </w:t>
      </w:r>
      <w:r>
        <w:t xml:space="preserve">The primary hurdle is accurately measuring and attributing outcomes. In complex business environments, many factors contribute to a KPI, making it difficult to isolate the precise impact of the AI. Establishing baselines, control groups, and causal links requires sophisticated analytics and often, extensive collaboration (OECD, 2022).</w:t>
      </w:r>
      <w:r>
        <w:t xml:space="preserve"> </w:t>
      </w:r>
      <w:r>
        <w:t xml:space="preserve">-</w:t>
      </w:r>
      <w:r>
        <w:t xml:space="preserve"> </w:t>
      </w:r>
      <w:r>
        <w:rPr>
          <w:b/>
        </w:rPr>
        <w:t xml:space="preserve">Risk Allocation and Trust:</w:t>
      </w:r>
      <w:r>
        <w:t xml:space="preserve"> </w:t>
      </w:r>
      <w:r>
        <w:t xml:space="preserve">While it reduces consumer risk, it significantly increases risk for the provider. If the AI underperforms, the provider’s revenue suffers. This necessitates a high degree of trust and transparent data sharing between both parties.</w:t>
      </w:r>
      <w:r>
        <w:t xml:space="preserve"> </w:t>
      </w:r>
      <w:r>
        <w:t xml:space="preserve">-</w:t>
      </w:r>
      <w:r>
        <w:t xml:space="preserve"> </w:t>
      </w:r>
      <w:r>
        <w:rPr>
          <w:b/>
        </w:rPr>
        <w:t xml:space="preserve">Ethical Concerns and Perverse Incentives:</w:t>
      </w:r>
      <w:r>
        <w:t xml:space="preserve"> </w:t>
      </w:r>
      <w:r>
        <w:t xml:space="preserve">In sensitive domains (e.g., healthcare, finance, legal), tying payment directly to outcomes could create perverse incentives. An AI might prioritize a measurable outcome over broader ethical considerations or long-term systemic health, raising questions about responsible AI development and deployment (WHO, 2023).</w:t>
      </w:r>
      <w:r>
        <w:t xml:space="preserve"> </w:t>
      </w:r>
      <w:r>
        <w:t xml:space="preserve">-</w:t>
      </w:r>
      <w:r>
        <w:t xml:space="preserve"> </w:t>
      </w:r>
      <w:r>
        <w:rPr>
          <w:b/>
        </w:rPr>
        <w:t xml:space="preserve">Complexity of Implementation:</w:t>
      </w:r>
      <w:r>
        <w:t xml:space="preserve"> </w:t>
      </w:r>
      <w:r>
        <w:t xml:space="preserve">Setting up and managing outcome-based contracts, monitoring systems, and billing processes is far more complex than usage-based or subscription models. It often requires bespoke agreements and continuous performance validation.</w:t>
      </w:r>
      <w:r>
        <w:t xml:space="preserve"> </w:t>
      </w:r>
      <w:r>
        <w:t xml:space="preserve">-</w:t>
      </w:r>
      <w:r>
        <w:t xml:space="preserve"> </w:t>
      </w:r>
      <w:r>
        <w:rPr>
          <w:b/>
        </w:rPr>
        <w:t xml:space="preserve">Not Suitable for All AI:</w:t>
      </w:r>
      <w:r>
        <w:t xml:space="preserve"> </w:t>
      </w:r>
      <w:r>
        <w:t xml:space="preserve">This model is best suited for specialized AI agents with clear, quantifiable objectives. It is impractical for general-purpose LLMs or AI tools where the</w:t>
      </w:r>
      <w:r>
        <w:t xml:space="preserve"> </w:t>
      </w:r>
      <w:r>
        <w:t xml:space="preserve">“</w:t>
      </w:r>
      <w:r>
        <w:t xml:space="preserve">outcome</w:t>
      </w:r>
      <w:r>
        <w:t xml:space="preserve">”</w:t>
      </w:r>
      <w:r>
        <w:t xml:space="preserve"> </w:t>
      </w:r>
      <w:r>
        <w:t xml:space="preserve">is subjective or where the AI acts as an assistant rather than a primary driver of results.</w:t>
      </w:r>
    </w:p>
    <w:p>
      <w:pPr>
        <w:pStyle w:val="Heading3"/>
      </w:pPr>
      <w:bookmarkStart w:id="64" w:name="subscriptiontiered-access-models-1"/>
      <w:r>
        <w:rPr>
          <w:i/>
          <w:b/>
        </w:rPr>
        <w:t xml:space="preserve">4.2.5 Subscription/Tiered Access Models</w:t>
      </w:r>
      <w:bookmarkEnd w:id="64"/>
    </w:p>
    <w:p>
      <w:pPr>
        <w:pStyle w:val="FirstParagraph"/>
      </w:pPr>
      <w:r>
        <w:t xml:space="preserve">Subscription and tiered access models offer predictability but can struggle with usage variability.</w:t>
      </w:r>
    </w:p>
    <w:p>
      <w:pPr>
        <w:pStyle w:val="BodyText"/>
      </w:pPr>
      <w:r>
        <w:rPr>
          <w:b/>
        </w:rPr>
        <w:t xml:space="preserve">Advantages:</w:t>
      </w:r>
      <w:r>
        <w:t xml:space="preserve"> </w:t>
      </w:r>
      <w:r>
        <w:t xml:space="preserve">-</w:t>
      </w:r>
      <w:r>
        <w:t xml:space="preserve"> </w:t>
      </w:r>
      <w:r>
        <w:rPr>
          <w:b/>
        </w:rPr>
        <w:t xml:space="preserve">Predictable Revenue and Costs:</w:t>
      </w:r>
      <w:r>
        <w:t xml:space="preserve"> </w:t>
      </w:r>
      <w:r>
        <w:t xml:space="preserve">Both providers and users benefit from predictable financial planning. Providers secure stable recurring revenue, while users have clear, fixed costs for budgeting, reducing financial uncertainty (Unknown, 2024).</w:t>
      </w:r>
      <w:r>
        <w:t xml:space="preserve"> </w:t>
      </w:r>
      <w:r>
        <w:t xml:space="preserve">-</w:t>
      </w:r>
      <w:r>
        <w:t xml:space="preserve"> </w:t>
      </w:r>
      <w:r>
        <w:rPr>
          <w:b/>
        </w:rPr>
        <w:t xml:space="preserve">Customer Loyalty and Retention:</w:t>
      </w:r>
      <w:r>
        <w:t xml:space="preserve"> </w:t>
      </w:r>
      <w:r>
        <w:t xml:space="preserve">Subscriptions foster long-term customer relationships. Once integrated into a user’s workflow, the inertia of cancellation is high, leading to better customer retention rates.</w:t>
      </w:r>
      <w:r>
        <w:t xml:space="preserve"> </w:t>
      </w:r>
      <w:r>
        <w:t xml:space="preserve">-</w:t>
      </w:r>
      <w:r>
        <w:t xml:space="preserve"> </w:t>
      </w:r>
      <w:r>
        <w:rPr>
          <w:b/>
        </w:rPr>
        <w:t xml:space="preserve">Consistent Access to Features:</w:t>
      </w:r>
      <w:r>
        <w:t xml:space="preserve"> </w:t>
      </w:r>
      <w:r>
        <w:t xml:space="preserve">Users gain consistent access to a defined set of features and capabilities, allowing them to fully leverage the AI service without worrying about fluctuating usage charges (within limits).</w:t>
      </w:r>
      <w:r>
        <w:t xml:space="preserve"> </w:t>
      </w:r>
      <w:r>
        <w:t xml:space="preserve">-</w:t>
      </w:r>
      <w:r>
        <w:t xml:space="preserve"> </w:t>
      </w:r>
      <w:r>
        <w:rPr>
          <w:b/>
        </w:rPr>
        <w:t xml:space="preserve">Simplified Billing and Management:</w:t>
      </w:r>
      <w:r>
        <w:t xml:space="preserve"> </w:t>
      </w:r>
      <w:r>
        <w:t xml:space="preserve">For both parties, the billing process is simpler and more streamlined compared to complex usage-based calculations, reducing administrative overhead.</w:t>
      </w:r>
    </w:p>
    <w:p>
      <w:pPr>
        <w:pStyle w:val="BodyText"/>
      </w:pPr>
      <w:r>
        <w:rPr>
          <w:b/>
        </w:rPr>
        <w:t xml:space="preserve">Disadvantages:</w:t>
      </w:r>
      <w:r>
        <w:t xml:space="preserve"> </w:t>
      </w:r>
      <w:r>
        <w:t xml:space="preserve">-</w:t>
      </w:r>
      <w:r>
        <w:t xml:space="preserve"> </w:t>
      </w:r>
      <w:r>
        <w:rPr>
          <w:b/>
        </w:rPr>
        <w:t xml:space="preserve">Underutilization or Overutilization:</w:t>
      </w:r>
      <w:r>
        <w:t xml:space="preserve"> </w:t>
      </w:r>
      <w:r>
        <w:t xml:space="preserve">Some customers might underutilize their subscription, paying for more than they need, leading to dissatisfaction. Conversely, heavy users might overutilize resources, potentially straining provider infrastructure or leading to unexpected overage charges if not carefully managed.</w:t>
      </w:r>
      <w:r>
        <w:t xml:space="preserve"> </w:t>
      </w:r>
      <w:r>
        <w:t xml:space="preserve">-</w:t>
      </w:r>
      <w:r>
        <w:t xml:space="preserve"> </w:t>
      </w:r>
      <w:r>
        <w:rPr>
          <w:b/>
        </w:rPr>
        <w:t xml:space="preserve">Difficulty in Catering to Diverse Needs:</w:t>
      </w:r>
      <w:r>
        <w:t xml:space="preserve"> </w:t>
      </w:r>
      <w:r>
        <w:t xml:space="preserve">A fixed set of tiers might not perfectly match the highly diverse and dynamic needs of all users. This can lead to users paying for unwanted features or being unable to access specific combinations of features they require.</w:t>
      </w:r>
      <w:r>
        <w:t xml:space="preserve"> </w:t>
      </w:r>
      <w:r>
        <w:t xml:space="preserve">-</w:t>
      </w:r>
      <w:r>
        <w:t xml:space="preserve"> </w:t>
      </w:r>
      <w:r>
        <w:rPr>
          <w:b/>
        </w:rPr>
        <w:t xml:space="preserve">Revenue Ceiling for High-Value Usage:</w:t>
      </w:r>
      <w:r>
        <w:t xml:space="preserve"> </w:t>
      </w:r>
      <w:r>
        <w:t xml:space="preserve">For providers, a purely subscription model can impose a revenue ceiling, as it might not fully capture the value from extremely high-usage or high-value customers who would otherwise pay more on a usage-based model.</w:t>
      </w:r>
      <w:r>
        <w:t xml:space="preserve"> </w:t>
      </w:r>
      <w:r>
        <w:t xml:space="preserve">-</w:t>
      </w:r>
      <w:r>
        <w:t xml:space="preserve"> </w:t>
      </w:r>
      <w:r>
        <w:rPr>
          <w:b/>
        </w:rPr>
        <w:t xml:space="preserve">Churn Risk:</w:t>
      </w:r>
      <w:r>
        <w:t xml:space="preserve"> </w:t>
      </w:r>
      <w:r>
        <w:t xml:space="preserve">While fostering loyalty, if the perceived value of the subscription diminishes over time, or if competitors offer more compelling alternatives, churn can become a significant issue, impacting revenue stability.</w:t>
      </w:r>
      <w:r>
        <w:t xml:space="preserve"> </w:t>
      </w:r>
      <w:r>
        <w:t xml:space="preserve">-</w:t>
      </w:r>
      <w:r>
        <w:t xml:space="preserve"> </w:t>
      </w:r>
      <w:r>
        <w:rPr>
          <w:b/>
        </w:rPr>
        <w:t xml:space="preserve">Initial Barrier to Entry:</w:t>
      </w:r>
      <w:r>
        <w:t xml:space="preserve"> </w:t>
      </w:r>
      <w:r>
        <w:t xml:space="preserve">While predictable, a fixed subscription fee can still be a barrier to entry for users who only need very occasional or minimal access to an AI service, especially if a freemium tier is not available.</w:t>
      </w:r>
    </w:p>
    <w:p>
      <w:pPr>
        <w:pStyle w:val="Heading3"/>
      </w:pPr>
      <w:bookmarkStart w:id="65" w:name="overarching-challenges-in-ai-pricing"/>
      <w:r>
        <w:rPr>
          <w:i/>
          <w:b/>
        </w:rPr>
        <w:t xml:space="preserve">4.2.6 Overarching Challenges in AI Pricing</w:t>
      </w:r>
      <w:bookmarkEnd w:id="65"/>
    </w:p>
    <w:p>
      <w:pPr>
        <w:pStyle w:val="FirstParagraph"/>
      </w:pPr>
      <w:r>
        <w:t xml:space="preserve">Beyond the specific pros and cons of individual models, several overarching challenges plague the entire field of AI pricing, irrespective of the chosen monetization strategy. These challenges stem from the unique nature of AI technology, market dynamics, and societal expectations.</w:t>
      </w:r>
    </w:p>
    <w:p>
      <w:pPr>
        <w:numPr>
          <w:ilvl w:val="0"/>
          <w:numId w:val="1001"/>
        </w:numPr>
        <w:pStyle w:val="Compact"/>
      </w:pPr>
      <w:r>
        <w:rPr>
          <w:b/>
        </w:rPr>
        <w:t xml:space="preserve">Scalability of Pricing:</w:t>
      </w:r>
      <w:r>
        <w:t xml:space="preserve"> </w:t>
      </w:r>
      <w:r>
        <w:t xml:space="preserve">As AI models become more powerful and widely adopted, pricing models must scale efficiently. What works for a niche AI agent might not be sustainable for a foundational model serving billions of requests. The infrastructure and billing complexity must not outweigh the revenue generated (IEEE, 2023).</w:t>
      </w:r>
    </w:p>
    <w:p>
      <w:pPr>
        <w:numPr>
          <w:ilvl w:val="0"/>
          <w:numId w:val="1001"/>
        </w:numPr>
        <w:pStyle w:val="Compact"/>
      </w:pPr>
      <w:r>
        <w:rPr>
          <w:b/>
        </w:rPr>
        <w:t xml:space="preserve">Fairness and Transparency:</w:t>
      </w:r>
      <w:r>
        <w:t xml:space="preserve"> </w:t>
      </w:r>
      <w:r>
        <w:t xml:space="preserve">A critical challenge is ensuring fairness and transparency in AI pricing. Users need to understand what they are paying for, how costs are calculated, and why certain features or usages command specific prices. Opaque pricing models can erode trust and hinder adoption, especially with increasing regulatory scrutiny (European Commission, 2024)(Unknown, 2023).</w:t>
      </w:r>
    </w:p>
    <w:p>
      <w:pPr>
        <w:numPr>
          <w:ilvl w:val="0"/>
          <w:numId w:val="1001"/>
        </w:numPr>
        <w:pStyle w:val="Compact"/>
      </w:pPr>
      <w:r>
        <w:rPr>
          <w:b/>
        </w:rPr>
        <w:t xml:space="preserve">Regulatory Compliance:</w:t>
      </w:r>
      <w:r>
        <w:t xml:space="preserve"> </w:t>
      </w:r>
      <w:r>
        <w:t xml:space="preserve">The rapidly evolving regulatory landscape, exemplified by initiatives like the EU AI Act, introduces new compliance requirements that can impact pricing. Considerations around data privacy, bias, and accountability might necessitate changes in how AI services are packaged and priced, especially if certain features or data uses are restricted or require additional oversight (European Commission, 2024).</w:t>
      </w:r>
    </w:p>
    <w:p>
      <w:pPr>
        <w:numPr>
          <w:ilvl w:val="0"/>
          <w:numId w:val="1001"/>
        </w:numPr>
        <w:pStyle w:val="Compact"/>
      </w:pPr>
      <w:r>
        <w:rPr>
          <w:b/>
        </w:rPr>
        <w:t xml:space="preserve">Market Dynamics and Competition:</w:t>
      </w:r>
      <w:r>
        <w:t xml:space="preserve"> </w:t>
      </w:r>
      <w:r>
        <w:t xml:space="preserve">The AI market is highly competitive and fast-moving. New models, capabilities, and providers emerge constantly, putting pressure on existing pricing structures. Providers must continuously adapt their pricing to remain competitive, attract new customers, and retain existing ones, often leading to price wars or rapid innovation cycles (Unknown, 2023).</w:t>
      </w:r>
    </w:p>
    <w:p>
      <w:pPr>
        <w:numPr>
          <w:ilvl w:val="0"/>
          <w:numId w:val="1001"/>
        </w:numPr>
        <w:pStyle w:val="Compact"/>
      </w:pPr>
      <w:r>
        <w:rPr>
          <w:b/>
        </w:rPr>
        <w:t xml:space="preserve">Valuation of Intangible Assets:</w:t>
      </w:r>
      <w:r>
        <w:t xml:space="preserve"> </w:t>
      </w:r>
      <w:r>
        <w:t xml:space="preserve">AI’s value often lies in intangible benefits like improved decision-making, enhanced creativity, or increased efficiency, which can be difficult to quantify and price. Traditional cost-plus pricing often fails to capture the immense value generated by AI, pushing towards value-based pricing, which is inherently more complex to implement (OECD, 2022).</w:t>
      </w:r>
    </w:p>
    <w:p>
      <w:pPr>
        <w:numPr>
          <w:ilvl w:val="0"/>
          <w:numId w:val="1001"/>
        </w:numPr>
        <w:pStyle w:val="Compact"/>
      </w:pPr>
      <w:r>
        <w:rPr>
          <w:b/>
        </w:rPr>
        <w:t xml:space="preserve">Ethical Considerations in Value Capture:</w:t>
      </w:r>
      <w:r>
        <w:t xml:space="preserve"> </w:t>
      </w:r>
      <w:r>
        <w:t xml:space="preserve">As AI becomes more integrated into critical systems, ethical considerations around its societal impact must be reflected in its pricing. For example, should AI services for public good (e.g., healthcare diagnostics) be priced differently than commercial applications? The WHO’s guidelines on AI ethics touch upon these broader societal implications (WHO, 2023).</w:t>
      </w:r>
    </w:p>
    <w:p>
      <w:pPr>
        <w:numPr>
          <w:ilvl w:val="0"/>
          <w:numId w:val="1001"/>
        </w:numPr>
        <w:pStyle w:val="Compact"/>
      </w:pPr>
      <w:r>
        <w:rPr>
          <w:b/>
        </w:rPr>
        <w:t xml:space="preserve">Evolving AI Capabilities:</w:t>
      </w:r>
      <w:r>
        <w:t xml:space="preserve"> </w:t>
      </w:r>
      <w:r>
        <w:t xml:space="preserve">The rapid pace of AI research means that new capabilities are constantly emerging, making existing pricing models quickly obsolete. What was a premium feature yesterday might be a basic commodity today, requiring providers to constantly re-evaluate and update their pricing strategies (Unknown, 2024).</w:t>
      </w:r>
    </w:p>
    <w:p>
      <w:pPr>
        <w:pStyle w:val="FirstParagraph"/>
      </w:pPr>
      <w:r>
        <w:t xml:space="preserve">Addressing these overarching challenges requires a proactive approach from AI providers, involving continuous innovation in pricing strategies, transparent communication with users, and a deep understanding of both economic principles and the societal implications of AI deployment.</w:t>
      </w:r>
    </w:p>
    <w:p>
      <w:pPr>
        <w:pStyle w:val="Heading2"/>
      </w:pPr>
      <w:bookmarkStart w:id="66" w:name="real-world-examples-and-case-studies"/>
      <w:r>
        <w:t xml:space="preserve">4.3 Real-World Examples and Case Studies</w:t>
      </w:r>
      <w:bookmarkEnd w:id="66"/>
    </w:p>
    <w:p>
      <w:pPr>
        <w:pStyle w:val="FirstParagraph"/>
      </w:pPr>
      <w:r>
        <w:t xml:space="preserve">Examining real-world implementations of AI pricing models provides invaluable insights into their practical application, strategic implications, and the challenges faced by leading AI providers. These case studies highlight how different companies adapt pricing to their specific models, target markets, and competitive landscapes (Unknown, 2023). The choices made by these pioneers often set industry standards and influence future monetization trends (Unknown, 2024).</w:t>
      </w:r>
    </w:p>
    <w:p>
      <w:pPr>
        <w:pStyle w:val="Heading3"/>
      </w:pPr>
      <w:bookmarkStart w:id="67" w:name="openais-approach"/>
      <w:r>
        <w:rPr>
          <w:i/>
          <w:b/>
        </w:rPr>
        <w:t xml:space="preserve">4.3.1 OpenAI’s Approach</w:t>
      </w:r>
      <w:bookmarkEnd w:id="67"/>
    </w:p>
    <w:p>
      <w:pPr>
        <w:pStyle w:val="FirstParagraph"/>
      </w:pPr>
      <w:r>
        <w:t xml:space="preserve">OpenAI, a frontrunner in large language models (LLMs), has significantly shaped the industry’s approach to AI pricing, particularly with its GPT series and other generative models like DALL-E and Whisper. Their primary pricing model revolves around</w:t>
      </w:r>
      <w:r>
        <w:t xml:space="preserve"> </w:t>
      </w:r>
      <w:r>
        <w:rPr>
          <w:b/>
        </w:rPr>
        <w:t xml:space="preserve">token-based consumption</w:t>
      </w:r>
      <w:r>
        <w:t xml:space="preserve">, which has become a de facto standard for LLM APIs (Unknown, 2024).</w:t>
      </w:r>
    </w:p>
    <w:p>
      <w:pPr>
        <w:pStyle w:val="BodyText"/>
      </w:pPr>
      <w:r>
        <w:rPr>
          <w:b/>
        </w:rPr>
        <w:t xml:space="preserve">Evolution of Pricing for GPT Models:</w:t>
      </w:r>
      <w:r>
        <w:t xml:space="preserve"> </w:t>
      </w:r>
      <w:r>
        <w:t xml:space="preserve">Initially, OpenAI introduced its GPT-3 models with a relatively high token cost, reflecting the immense research and computational investment required to develop such foundational models. As the technology matured and adoption grew, and with the introduction of more efficient models like</w:t>
      </w:r>
      <w:r>
        <w:t xml:space="preserve"> </w:t>
      </w:r>
      <w:r>
        <w:rPr>
          <w:rStyle w:val="VerbatimChar"/>
        </w:rPr>
        <w:t xml:space="preserve">gpt-3.5-turbo</w:t>
      </w:r>
      <w:r>
        <w:t xml:space="preserve"> </w:t>
      </w:r>
      <w:r>
        <w:t xml:space="preserve">and subsequent</w:t>
      </w:r>
      <w:r>
        <w:t xml:space="preserve"> </w:t>
      </w:r>
      <w:r>
        <w:rPr>
          <w:rStyle w:val="VerbatimChar"/>
        </w:rPr>
        <w:t xml:space="preserve">gpt-4</w:t>
      </w:r>
      <w:r>
        <w:t xml:space="preserve"> </w:t>
      </w:r>
      <w:r>
        <w:t xml:space="preserve">iterations, OpenAI has consistently refined its pricing. A key aspect of their strategy is to offer different models with varying capabilities and price points. For instance,</w:t>
      </w:r>
      <w:r>
        <w:t xml:space="preserve"> </w:t>
      </w:r>
      <w:r>
        <w:rPr>
          <w:rStyle w:val="VerbatimChar"/>
        </w:rPr>
        <w:t xml:space="preserve">gpt-3.5-turbo</w:t>
      </w:r>
      <w:r>
        <w:t xml:space="preserve"> </w:t>
      </w:r>
      <w:r>
        <w:t xml:space="preserve">is significantly cheaper per token than</w:t>
      </w:r>
      <w:r>
        <w:t xml:space="preserve"> </w:t>
      </w:r>
      <w:r>
        <w:rPr>
          <w:rStyle w:val="VerbatimChar"/>
        </w:rPr>
        <w:t xml:space="preserve">gpt-4</w:t>
      </w:r>
      <w:r>
        <w:t xml:space="preserve">, making it suitable for high-volume, less complex applications where cost-efficiency is paramount.</w:t>
      </w:r>
      <w:r>
        <w:t xml:space="preserve"> </w:t>
      </w:r>
      <w:r>
        <w:rPr>
          <w:rStyle w:val="VerbatimChar"/>
        </w:rPr>
        <w:t xml:space="preserve">gpt-4</w:t>
      </w:r>
      <w:r>
        <w:t xml:space="preserve"> </w:t>
      </w:r>
      <w:r>
        <w:t xml:space="preserve">offers superior reasoning, creativity, and instruction-following, commanding a higher price point to reflect its enhanced capabilities.</w:t>
      </w:r>
    </w:p>
    <w:p>
      <w:pPr>
        <w:pStyle w:val="BodyText"/>
      </w:pPr>
      <w:r>
        <w:rPr>
          <w:b/>
        </w:rPr>
        <w:t xml:space="preserve">Input vs. Output Tokens and Context Window:</w:t>
      </w:r>
      <w:r>
        <w:t xml:space="preserve"> </w:t>
      </w:r>
      <w:r>
        <w:t xml:space="preserve">OpenAI distinguishes between pricing for input tokens (prompt) and output tokens (completion). Output tokens are typically more expensive, reflecting the generative effort of the model. This incentivizes users to provide concise, well-engineered prompts while acknowledging the higher value of the AI’s generated content. Furthermore, the concept of a</w:t>
      </w:r>
      <w:r>
        <w:t xml:space="preserve"> </w:t>
      </w:r>
      <w:r>
        <w:t xml:space="preserve">“</w:t>
      </w:r>
      <w:r>
        <w:t xml:space="preserve">context window</w:t>
      </w:r>
      <w:r>
        <w:t xml:space="preserve">”</w:t>
      </w:r>
      <w:r>
        <w:t xml:space="preserve"> </w:t>
      </w:r>
      <w:r>
        <w:t xml:space="preserve">(the maximum number of tokens a model can process in a single interaction) plays a crucial role. Models with larger context windows, such as</w:t>
      </w:r>
      <w:r>
        <w:t xml:space="preserve"> </w:t>
      </w:r>
      <w:r>
        <w:rPr>
          <w:rStyle w:val="VerbatimChar"/>
        </w:rPr>
        <w:t xml:space="preserve">gpt-4-turbo</w:t>
      </w:r>
      <w:r>
        <w:t xml:space="preserve"> </w:t>
      </w:r>
      <w:r>
        <w:t xml:space="preserve">or</w:t>
      </w:r>
      <w:r>
        <w:t xml:space="preserve"> </w:t>
      </w:r>
      <w:r>
        <w:rPr>
          <w:rStyle w:val="VerbatimChar"/>
        </w:rPr>
        <w:t xml:space="preserve">gpt-4o</w:t>
      </w:r>
      <w:r>
        <w:t xml:space="preserve">, allow for more extensive conversations or processing of longer documents, but their usage can incur higher costs due to the increased token capacity. OpenAI has continually expanded context windows, offering more powerful and versatile models at differentiated prices.</w:t>
      </w:r>
    </w:p>
    <w:p>
      <w:pPr>
        <w:pStyle w:val="BodyText"/>
      </w:pPr>
      <w:r>
        <w:rPr>
          <w:b/>
        </w:rPr>
        <w:t xml:space="preserve">Fine-tuning and Embedded Models:</w:t>
      </w:r>
      <w:r>
        <w:t xml:space="preserve"> </w:t>
      </w:r>
      <w:r>
        <w:t xml:space="preserve">Beyond standard API access, OpenAI also offers services like model fine-tuning, allowing enterprises to customize foundational models with their proprietary data. Fine-tuning typically involves an upfront cost for training and then a separate, often higher, per-token cost for using the fine-tuned model. This represents a hybrid approach, combining a service fee with usage-based billing. Similarly, their embedding models (e.g.,</w:t>
      </w:r>
      <w:r>
        <w:t xml:space="preserve"> </w:t>
      </w:r>
      <w:r>
        <w:rPr>
          <w:rStyle w:val="VerbatimChar"/>
        </w:rPr>
        <w:t xml:space="preserve">text-embedding-ada-002</w:t>
      </w:r>
      <w:r>
        <w:t xml:space="preserve">) are priced per 1,000 tokens processed, enabling developers to build semantic search and retrieval-augmented generation (RAG) systems with predictable costs (Unknown, 2024).</w:t>
      </w:r>
    </w:p>
    <w:p>
      <w:pPr>
        <w:pStyle w:val="BodyText"/>
      </w:pPr>
      <w:r>
        <w:rPr>
          <w:b/>
        </w:rPr>
        <w:t xml:space="preserve">DALL-E and Whisper Pricing:</w:t>
      </w:r>
      <w:r>
        <w:t xml:space="preserve"> </w:t>
      </w:r>
      <w:r>
        <w:t xml:space="preserve">For image generation (DALL-E), OpenAI employs a</w:t>
      </w:r>
      <w:r>
        <w:t xml:space="preserve"> </w:t>
      </w:r>
      <w:r>
        <w:rPr>
          <w:b/>
        </w:rPr>
        <w:t xml:space="preserve">request-based pricing model</w:t>
      </w:r>
      <w:r>
        <w:t xml:space="preserve">, charging per image generated, with variations based on resolution (e.g., 1024x1024 vs. 1792x1024). This is a clear example of how the nature of the AI service dictates the pricing model. Image generation is a discrete task, making a per-image charge intuitive and predictable. For speech-to-text (Whisper API), pricing is</w:t>
      </w:r>
      <w:r>
        <w:t xml:space="preserve"> </w:t>
      </w:r>
      <w:r>
        <w:rPr>
          <w:b/>
        </w:rPr>
        <w:t xml:space="preserve">usage-based per minute</w:t>
      </w:r>
      <w:r>
        <w:t xml:space="preserve"> </w:t>
      </w:r>
      <w:r>
        <w:t xml:space="preserve">of audio processed, again reflecting the resource consumption tied to the specific media type (Unknown, 2024).</w:t>
      </w:r>
    </w:p>
    <w:p>
      <w:pPr>
        <w:pStyle w:val="BodyText"/>
      </w:pPr>
      <w:r>
        <w:rPr>
          <w:b/>
        </w:rPr>
        <w:t xml:space="preserve">Strategic Implications and Competitive Response:</w:t>
      </w:r>
      <w:r>
        <w:t xml:space="preserve"> </w:t>
      </w:r>
      <w:r>
        <w:t xml:space="preserve">OpenAI’s pricing strategy is highly influential. By offering a spectrum of models and pricing points, they cater to diverse market segments, from individual developers to large enterprises. Their continuous price adjustments, often downwards for older models or upwards for newer, more capable ones, reflect market maturity, technological advancements, and competitive pressures. This dynamic pricing strategy aims to maintain market leadership while balancing the need for sustainable R&amp;D investment with accessibility for a broad user base. Competitors often benchmark their pricing against OpenAI’s offerings, leading to a dynamic and competitive market (Unknown, 2023).</w:t>
      </w:r>
    </w:p>
    <w:p>
      <w:pPr>
        <w:pStyle w:val="Heading3"/>
      </w:pPr>
      <w:bookmarkStart w:id="68" w:name="X23ef89d72b4abb88170a52394d26a4498bad8a3"/>
      <w:r>
        <w:t xml:space="preserve">Comparative Token Pricing for Leading LLMs</w:t>
      </w:r>
      <w:bookmarkEnd w:id="68"/>
    </w:p>
    <w:p>
      <w:pPr>
        <w:pStyle w:val="FirstParagraph"/>
      </w:pPr>
      <w:r>
        <w:t xml:space="preserve">The following table provides a simplified comparison of hypothetical token pricing for leading LLM providers like OpenAI and Anthropic. These figures are illustrative and subject to change, but they highlight how different models and context windows are priced to reflect their capabilities and operational costs.</w:t>
      </w:r>
    </w:p>
    <w:p>
      <w:pPr>
        <w:pStyle w:val="BodyText"/>
      </w:pPr>
      <w:r>
        <w:rPr>
          <w:b/>
        </w:rPr>
        <w:t xml:space="preserve">Table 2: Illustrative Token Pricing Comparison (per 1M tokens)</w:t>
      </w:r>
    </w:p>
    <w:tbl>
      <w:tblPr>
        <w:tblStyle w:val="Table"/>
        <w:tblW w:type="pct" w:w="5000.0"/>
        <w:tblLook w:firstRow="1"/>
      </w:tblPr>
      <w:tblGrid>
        <w:gridCol w:w="981"/>
        <w:gridCol w:w="1832"/>
        <w:gridCol w:w="1898"/>
        <w:gridCol w:w="1440"/>
        <w:gridCol w:w="1767"/>
      </w:tblGrid>
      <w:tr>
        <w:trPr>
          <w:cnfStyle w:firstRow="1"/>
        </w:trPr>
        <w:tc>
          <w:tcPr>
            <w:tcBorders>
              <w:bottom w:val="single"/>
            </w:tcBorders>
            <w:vAlign w:val="bottom"/>
          </w:tcPr>
          <w:p>
            <w:pPr>
              <w:pStyle w:val="Compact"/>
              <w:jc w:val="left"/>
            </w:pPr>
            <w:r>
              <w:t xml:space="preserve">Model/Service</w:t>
            </w:r>
          </w:p>
        </w:tc>
        <w:tc>
          <w:tcPr>
            <w:tcBorders>
              <w:bottom w:val="single"/>
            </w:tcBorders>
            <w:vAlign w:val="bottom"/>
          </w:tcPr>
          <w:p>
            <w:pPr>
              <w:pStyle w:val="Compact"/>
              <w:jc w:val="left"/>
            </w:pPr>
            <w:r>
              <w:t xml:space="preserve">Input Cost (per 1M tokens)</w:t>
            </w:r>
          </w:p>
        </w:tc>
        <w:tc>
          <w:tcPr>
            <w:tcBorders>
              <w:bottom w:val="single"/>
            </w:tcBorders>
            <w:vAlign w:val="bottom"/>
          </w:tcPr>
          <w:p>
            <w:pPr>
              <w:pStyle w:val="Compact"/>
              <w:jc w:val="left"/>
            </w:pPr>
            <w:r>
              <w:t xml:space="preserve">Output Cost (per 1M tokens)</w:t>
            </w:r>
          </w:p>
        </w:tc>
        <w:tc>
          <w:tcPr>
            <w:tcBorders>
              <w:bottom w:val="single"/>
            </w:tcBorders>
            <w:vAlign w:val="bottom"/>
          </w:tcPr>
          <w:p>
            <w:pPr>
              <w:pStyle w:val="Compact"/>
              <w:jc w:val="left"/>
            </w:pPr>
            <w:r>
              <w:t xml:space="preserve">Max Context (Tokens)</w:t>
            </w:r>
          </w:p>
        </w:tc>
        <w:tc>
          <w:tcPr>
            <w:tcBorders>
              <w:bottom w:val="single"/>
            </w:tcBorders>
            <w:vAlign w:val="bottom"/>
          </w:tcPr>
          <w:p>
            <w:pPr>
              <w:pStyle w:val="Compact"/>
              <w:jc w:val="left"/>
            </w:pPr>
            <w:r>
              <w:t xml:space="preserve">Primary Value Proposition</w:t>
            </w:r>
          </w:p>
        </w:tc>
      </w:tr>
      <w:tr>
        <w:tc>
          <w:p>
            <w:pPr>
              <w:pStyle w:val="Compact"/>
              <w:jc w:val="left"/>
            </w:pPr>
            <w:r>
              <w:rPr>
                <w:b/>
              </w:rPr>
              <w:t xml:space="preserve">OpenAI</w:t>
            </w:r>
          </w:p>
        </w:tc>
        <w:tc>
          <w:p/>
        </w:tc>
        <w:tc>
          <w:p/>
        </w:tc>
        <w:tc>
          <w:p/>
        </w:tc>
        <w:tc>
          <w:p/>
        </w:tc>
      </w:tr>
      <w:tr>
        <w:tc>
          <w:p>
            <w:pPr>
              <w:pStyle w:val="Compact"/>
              <w:jc w:val="left"/>
            </w:pPr>
            <w:r>
              <w:t xml:space="preserve">GPT-3.5 Turbo</w:t>
            </w:r>
          </w:p>
        </w:tc>
        <w:tc>
          <w:p>
            <w:pPr>
              <w:pStyle w:val="Compact"/>
              <w:jc w:val="left"/>
            </w:pPr>
            <w:r>
              <w:t xml:space="preserve">$0.50</w:t>
            </w:r>
          </w:p>
        </w:tc>
        <w:tc>
          <w:p>
            <w:pPr>
              <w:pStyle w:val="Compact"/>
              <w:jc w:val="left"/>
            </w:pPr>
            <w:r>
              <w:t xml:space="preserve">$1.50</w:t>
            </w:r>
          </w:p>
        </w:tc>
        <w:tc>
          <w:p>
            <w:pPr>
              <w:pStyle w:val="Compact"/>
              <w:jc w:val="left"/>
            </w:pPr>
            <w:r>
              <w:t xml:space="preserve">16K</w:t>
            </w:r>
          </w:p>
        </w:tc>
        <w:tc>
          <w:p>
            <w:pPr>
              <w:pStyle w:val="Compact"/>
              <w:jc w:val="left"/>
            </w:pPr>
            <w:r>
              <w:t xml:space="preserve">Cost-effective, fast</w:t>
            </w:r>
          </w:p>
        </w:tc>
      </w:tr>
      <w:tr>
        <w:tc>
          <w:p>
            <w:pPr>
              <w:pStyle w:val="Compact"/>
              <w:jc w:val="left"/>
            </w:pPr>
            <w:r>
              <w:t xml:space="preserve">GPT-4o</w:t>
            </w:r>
          </w:p>
        </w:tc>
        <w:tc>
          <w:p>
            <w:pPr>
              <w:pStyle w:val="Compact"/>
              <w:jc w:val="left"/>
            </w:pPr>
            <w:r>
              <w:t xml:space="preserve">$5.00</w:t>
            </w:r>
          </w:p>
        </w:tc>
        <w:tc>
          <w:p>
            <w:pPr>
              <w:pStyle w:val="Compact"/>
              <w:jc w:val="left"/>
            </w:pPr>
            <w:r>
              <w:t xml:space="preserve">$15.00</w:t>
            </w:r>
          </w:p>
        </w:tc>
        <w:tc>
          <w:p>
            <w:pPr>
              <w:pStyle w:val="Compact"/>
              <w:jc w:val="left"/>
            </w:pPr>
            <w:r>
              <w:t xml:space="preserve">128K</w:t>
            </w:r>
          </w:p>
        </w:tc>
        <w:tc>
          <w:p>
            <w:pPr>
              <w:pStyle w:val="Compact"/>
              <w:jc w:val="left"/>
            </w:pPr>
            <w:r>
              <w:t xml:space="preserve">Advanced reasoning, multi-modal</w:t>
            </w:r>
          </w:p>
        </w:tc>
      </w:tr>
      <w:tr>
        <w:tc>
          <w:p>
            <w:pPr>
              <w:pStyle w:val="Compact"/>
              <w:jc w:val="left"/>
            </w:pPr>
            <w:r>
              <w:t xml:space="preserve">GPT-4 Turbo</w:t>
            </w:r>
          </w:p>
        </w:tc>
        <w:tc>
          <w:p>
            <w:pPr>
              <w:pStyle w:val="Compact"/>
              <w:jc w:val="left"/>
            </w:pPr>
            <w:r>
              <w:t xml:space="preserve">$10.00</w:t>
            </w:r>
          </w:p>
        </w:tc>
        <w:tc>
          <w:p>
            <w:pPr>
              <w:pStyle w:val="Compact"/>
              <w:jc w:val="left"/>
            </w:pPr>
            <w:r>
              <w:t xml:space="preserve">$30.00</w:t>
            </w:r>
          </w:p>
        </w:tc>
        <w:tc>
          <w:p>
            <w:pPr>
              <w:pStyle w:val="Compact"/>
              <w:jc w:val="left"/>
            </w:pPr>
            <w:r>
              <w:t xml:space="preserve">128K</w:t>
            </w:r>
          </w:p>
        </w:tc>
        <w:tc>
          <w:p>
            <w:pPr>
              <w:pStyle w:val="Compact"/>
              <w:jc w:val="left"/>
            </w:pPr>
            <w:r>
              <w:t xml:space="preserve">High-performance, large context</w:t>
            </w:r>
          </w:p>
        </w:tc>
      </w:tr>
      <w:tr>
        <w:tc>
          <w:p>
            <w:pPr>
              <w:pStyle w:val="Compact"/>
              <w:jc w:val="left"/>
            </w:pPr>
            <w:r>
              <w:rPr>
                <w:b/>
              </w:rPr>
              <w:t xml:space="preserve">Anthropic</w:t>
            </w:r>
          </w:p>
        </w:tc>
        <w:tc>
          <w:p/>
        </w:tc>
        <w:tc>
          <w:p/>
        </w:tc>
        <w:tc>
          <w:p/>
        </w:tc>
        <w:tc>
          <w:p/>
        </w:tc>
      </w:tr>
      <w:tr>
        <w:tc>
          <w:p>
            <w:pPr>
              <w:pStyle w:val="Compact"/>
              <w:jc w:val="left"/>
            </w:pPr>
            <w:r>
              <w:t xml:space="preserve">Claude 3 Sonnet</w:t>
            </w:r>
          </w:p>
        </w:tc>
        <w:tc>
          <w:p>
            <w:pPr>
              <w:pStyle w:val="Compact"/>
              <w:jc w:val="left"/>
            </w:pPr>
            <w:r>
              <w:t xml:space="preserve">$3.00</w:t>
            </w:r>
          </w:p>
        </w:tc>
        <w:tc>
          <w:p>
            <w:pPr>
              <w:pStyle w:val="Compact"/>
              <w:jc w:val="left"/>
            </w:pPr>
            <w:r>
              <w:t xml:space="preserve">$15.00</w:t>
            </w:r>
          </w:p>
        </w:tc>
        <w:tc>
          <w:p>
            <w:pPr>
              <w:pStyle w:val="Compact"/>
              <w:jc w:val="left"/>
            </w:pPr>
            <w:r>
              <w:t xml:space="preserve">200K</w:t>
            </w:r>
          </w:p>
        </w:tc>
        <w:tc>
          <w:p>
            <w:pPr>
              <w:pStyle w:val="Compact"/>
              <w:jc w:val="left"/>
            </w:pPr>
            <w:r>
              <w:t xml:space="preserve">Balanced performance, large context</w:t>
            </w:r>
          </w:p>
        </w:tc>
      </w:tr>
      <w:tr>
        <w:tc>
          <w:p>
            <w:pPr>
              <w:pStyle w:val="Compact"/>
              <w:jc w:val="left"/>
            </w:pPr>
            <w:r>
              <w:t xml:space="preserve">Claude 3 Opus</w:t>
            </w:r>
          </w:p>
        </w:tc>
        <w:tc>
          <w:p>
            <w:pPr>
              <w:pStyle w:val="Compact"/>
              <w:jc w:val="left"/>
            </w:pPr>
            <w:r>
              <w:t xml:space="preserve">$15.00</w:t>
            </w:r>
          </w:p>
        </w:tc>
        <w:tc>
          <w:p>
            <w:pPr>
              <w:pStyle w:val="Compact"/>
              <w:jc w:val="left"/>
            </w:pPr>
            <w:r>
              <w:t xml:space="preserve">$75.00</w:t>
            </w:r>
          </w:p>
        </w:tc>
        <w:tc>
          <w:p>
            <w:pPr>
              <w:pStyle w:val="Compact"/>
              <w:jc w:val="left"/>
            </w:pPr>
            <w:r>
              <w:t xml:space="preserve">200K</w:t>
            </w:r>
          </w:p>
        </w:tc>
        <w:tc>
          <w:p>
            <w:pPr>
              <w:pStyle w:val="Compact"/>
              <w:jc w:val="left"/>
            </w:pPr>
            <w:r>
              <w:t xml:space="preserve">Top-tier intelligence, safety</w:t>
            </w:r>
          </w:p>
        </w:tc>
      </w:tr>
    </w:tbl>
    <w:p>
      <w:pPr>
        <w:pStyle w:val="BodyText"/>
      </w:pPr>
      <w:r>
        <w:rPr>
          <w:i/>
        </w:rPr>
        <w:t xml:space="preserve">Note: Prices are hypothetical and for illustrative comparison purposes only. Actual prices vary based on provider, model version, usage volume, and specific API endpoints. Context window refers to the maximum number of tokens (input + output) a model can handle in a single interaction.</w:t>
      </w:r>
    </w:p>
    <w:p>
      <w:pPr>
        <w:pStyle w:val="Heading3"/>
      </w:pPr>
      <w:bookmarkStart w:id="69" w:name="anthropics-claude-models"/>
      <w:r>
        <w:rPr>
          <w:i/>
          <w:b/>
        </w:rPr>
        <w:t xml:space="preserve">4.3.2 Anthropic’s Claude Models</w:t>
      </w:r>
      <w:bookmarkEnd w:id="69"/>
    </w:p>
    <w:p>
      <w:pPr>
        <w:pStyle w:val="FirstParagraph"/>
      </w:pPr>
      <w:r>
        <w:t xml:space="preserve">Anthropic, another leading AI research company, offers its Claude series of LLMs, which are often compared directly with OpenAI’s GPT models. While also utilizing a</w:t>
      </w:r>
      <w:r>
        <w:t xml:space="preserve"> </w:t>
      </w:r>
      <w:r>
        <w:rPr>
          <w:b/>
        </w:rPr>
        <w:t xml:space="preserve">token-based pricing model</w:t>
      </w:r>
      <w:r>
        <w:t xml:space="preserve">, Anthropic’s strategy emphasizes large context windows and a focus on enterprise-grade safety and reliability, which influences their pricing philosophy.</w:t>
      </w:r>
    </w:p>
    <w:p>
      <w:pPr>
        <w:pStyle w:val="BodyText"/>
      </w:pPr>
      <w:r>
        <w:rPr>
          <w:b/>
        </w:rPr>
        <w:t xml:space="preserve">Emphasis on Context Window and Token Efficiency:</w:t>
      </w:r>
      <w:r>
        <w:t xml:space="preserve"> </w:t>
      </w:r>
      <w:r>
        <w:t xml:space="preserve">Anthropic’s Claude models, particularly Claude 2.1 and its successors, are known for their exceptionally large context windows, often surpassing those of competitors at launch. This allows users to process and interact with massive amounts of text—entire books, extensive legal documents, or years of research data—in a single prompt. This capability is priced per token, similar to OpenAI, but with a strong value proposition around processing extensive inputs. The pricing structure often differentiates between input and output tokens, with output tokens being more expensive, reinforcing the cost of generation (Unknown, 2024).</w:t>
      </w:r>
    </w:p>
    <w:p>
      <w:pPr>
        <w:pStyle w:val="BodyText"/>
      </w:pPr>
      <w:r>
        <w:rPr>
          <w:b/>
        </w:rPr>
        <w:t xml:space="preserve">Pricing Philosophy and Enterprise Focus:</w:t>
      </w:r>
      <w:r>
        <w:t xml:space="preserve"> </w:t>
      </w:r>
      <w:r>
        <w:t xml:space="preserve">Anthropic’s pricing often reflects its strong emphasis on</w:t>
      </w:r>
      <w:r>
        <w:t xml:space="preserve"> </w:t>
      </w:r>
      <w:r>
        <w:t xml:space="preserve">“</w:t>
      </w:r>
      <w:r>
        <w:t xml:space="preserve">Constitutional AI,</w:t>
      </w:r>
      <w:r>
        <w:t xml:space="preserve">”</w:t>
      </w:r>
      <w:r>
        <w:t xml:space="preserve"> </w:t>
      </w:r>
      <w:r>
        <w:t xml:space="preserve">which aims to build helpful, harmless, and honest AI systems. This focus on safety and alignment, particularly appealing to enterprise clients in regulated industries, is implicitly factored into their value proposition and, consequently, their pricing (WHO, 2023). While still usage-based, their pricing might be positioned to reflect the perceived higher quality, reliability, and reduced risk associated with their models, especially for critical business applications. Their sales approach often includes direct engagement with enterprise customers, suggesting custom pricing agreements or robust support packages beyond standard API access.</w:t>
      </w:r>
    </w:p>
    <w:p>
      <w:pPr>
        <w:pStyle w:val="BodyText"/>
      </w:pPr>
      <w:r>
        <w:rPr>
          <w:b/>
        </w:rPr>
        <w:t xml:space="preserve">Comparison with OpenAI:</w:t>
      </w:r>
      <w:r>
        <w:t xml:space="preserve"> </w:t>
      </w:r>
      <w:r>
        <w:t xml:space="preserve">When comparing Claude’s pricing with OpenAI’s, users often weigh the balance between raw cost per token, the size of the context window, and the perceived quality/safety of the model. While per-token costs can be competitive, the ability to handle significantly larger contexts without complex workarounds (like chunking or summarization) can offer substantial cost savings in overall application development and execution for specific use cases. For example, a task requiring the analysis of a 100,000-token document might be more cost-effective on a Claude model with a 200,000-token context window than on a GPT model with a smaller context window that would necessitate multiple API calls or external processing (Unknown, 2024). This highlights the importance of matching the pricing model to the specific technical capabilities and user needs.</w:t>
      </w:r>
    </w:p>
    <w:p>
      <w:pPr>
        <w:pStyle w:val="Heading3"/>
      </w:pPr>
      <w:bookmarkStart w:id="70" w:name="google-cloud-ai-services"/>
      <w:r>
        <w:rPr>
          <w:i/>
          <w:b/>
        </w:rPr>
        <w:t xml:space="preserve">4.3.3 Google Cloud AI Services</w:t>
      </w:r>
      <w:bookmarkEnd w:id="70"/>
    </w:p>
    <w:p>
      <w:pPr>
        <w:pStyle w:val="FirstParagraph"/>
      </w:pPr>
      <w:r>
        <w:t xml:space="preserve">Google Cloud offers a comprehensive suite of AI services under its Vertex AI platform and various specialized ML APIs, showcasing a diverse range of pricing models tailored to different AI capabilities (Google Cloud, 2023). Their approach reflects a broader cloud provider strategy: offering granular pricing for foundational infrastructure and abstracting it for higher-level AI services.</w:t>
      </w:r>
    </w:p>
    <w:p>
      <w:pPr>
        <w:pStyle w:val="BodyText"/>
      </w:pPr>
      <w:r>
        <w:rPr>
          <w:b/>
        </w:rPr>
        <w:t xml:space="preserve">Vertex AI Platform Pricing:</w:t>
      </w:r>
      <w:r>
        <w:t xml:space="preserve"> </w:t>
      </w:r>
      <w:r>
        <w:t xml:space="preserve">Vertex AI, Google’s unified machine learning platform, offers a complex pricing structure that combines elements of</w:t>
      </w:r>
      <w:r>
        <w:t xml:space="preserve"> </w:t>
      </w:r>
      <w:r>
        <w:rPr>
          <w:b/>
        </w:rPr>
        <w:t xml:space="preserve">resource-based (compute, storage), usage-based (predictions, data processing), and feature-based pricing</w:t>
      </w:r>
      <w:r>
        <w:t xml:space="preserve">. For training custom models on Vertex AI, users pay for compute instances (CPUs, GPUs), storage (GB-hours), and network usage. For deploying models for inference (predictions), pricing is typically based on the number of prediction requests and the amount of data processed. This allows users to pay for the underlying infrastructure resources they consume, offering flexibility and control over costs for custom ML workflows.</w:t>
      </w:r>
    </w:p>
    <w:p>
      <w:pPr>
        <w:pStyle w:val="BodyText"/>
      </w:pPr>
      <w:r>
        <w:rPr>
          <w:b/>
        </w:rPr>
        <w:t xml:space="preserve">Specialized ML APIs:</w:t>
      </w:r>
      <w:r>
        <w:t xml:space="preserve"> </w:t>
      </w:r>
      <w:r>
        <w:t xml:space="preserve">Google Cloud also provides a rich set of pre-trained, specialized AI APIs, each with its own pricing model:</w:t>
      </w:r>
      <w:r>
        <w:t xml:space="preserve"> </w:t>
      </w:r>
      <w:r>
        <w:t xml:space="preserve">-</w:t>
      </w:r>
      <w:r>
        <w:t xml:space="preserve"> </w:t>
      </w:r>
      <w:r>
        <w:rPr>
          <w:b/>
        </w:rPr>
        <w:t xml:space="preserve">Natural Language API:</w:t>
      </w:r>
      <w:r>
        <w:t xml:space="preserve"> </w:t>
      </w:r>
      <w:r>
        <w:t xml:space="preserve">Prices are typically</w:t>
      </w:r>
      <w:r>
        <w:t xml:space="preserve"> </w:t>
      </w:r>
      <w:r>
        <w:rPr>
          <w:b/>
        </w:rPr>
        <w:t xml:space="preserve">per 1,000 text units processed</w:t>
      </w:r>
      <w:r>
        <w:t xml:space="preserve">, where a text unit is often 1,000 characters. This is akin to a character-based usage model, providing granularity for language analysis tasks like sentiment analysis, entity recognition, and syntax analysis.</w:t>
      </w:r>
      <w:r>
        <w:t xml:space="preserve"> </w:t>
      </w:r>
      <w:r>
        <w:t xml:space="preserve">-</w:t>
      </w:r>
      <w:r>
        <w:t xml:space="preserve"> </w:t>
      </w:r>
      <w:r>
        <w:rPr>
          <w:b/>
        </w:rPr>
        <w:t xml:space="preserve">Vision AI API:</w:t>
      </w:r>
      <w:r>
        <w:t xml:space="preserve"> </w:t>
      </w:r>
      <w:r>
        <w:t xml:space="preserve">Pricing is generally</w:t>
      </w:r>
      <w:r>
        <w:t xml:space="preserve"> </w:t>
      </w:r>
      <w:r>
        <w:rPr>
          <w:b/>
        </w:rPr>
        <w:t xml:space="preserve">per image or per feature processed</w:t>
      </w:r>
      <w:r>
        <w:t xml:space="preserve"> </w:t>
      </w:r>
      <w:r>
        <w:t xml:space="preserve">(e.g., face detection, object detection, optical character recognition). This is a clear example of request/feature-based pricing for discrete image analysis tasks.</w:t>
      </w:r>
      <w:r>
        <w:t xml:space="preserve"> </w:t>
      </w:r>
      <w:r>
        <w:t xml:space="preserve">-</w:t>
      </w:r>
      <w:r>
        <w:t xml:space="preserve"> </w:t>
      </w:r>
      <w:r>
        <w:rPr>
          <w:b/>
        </w:rPr>
        <w:t xml:space="preserve">Speech-to-Text API:</w:t>
      </w:r>
      <w:r>
        <w:t xml:space="preserve"> </w:t>
      </w:r>
      <w:r>
        <w:t xml:space="preserve">Charges are</w:t>
      </w:r>
      <w:r>
        <w:t xml:space="preserve"> </w:t>
      </w:r>
      <w:r>
        <w:rPr>
          <w:b/>
        </w:rPr>
        <w:t xml:space="preserve">per minute of audio processed</w:t>
      </w:r>
      <w:r>
        <w:t xml:space="preserve">, similar to OpenAI’s Whisper, reflecting the duration of the media input.</w:t>
      </w:r>
      <w:r>
        <w:t xml:space="preserve"> </w:t>
      </w:r>
      <w:r>
        <w:t xml:space="preserve">-</w:t>
      </w:r>
      <w:r>
        <w:t xml:space="preserve"> </w:t>
      </w:r>
      <w:r>
        <w:rPr>
          <w:b/>
        </w:rPr>
        <w:t xml:space="preserve">Translation API:</w:t>
      </w:r>
      <w:r>
        <w:t xml:space="preserve"> </w:t>
      </w:r>
      <w:r>
        <w:t xml:space="preserve">Pricing is</w:t>
      </w:r>
      <w:r>
        <w:t xml:space="preserve"> </w:t>
      </w:r>
      <w:r>
        <w:rPr>
          <w:b/>
        </w:rPr>
        <w:t xml:space="preserve">per character translated</w:t>
      </w:r>
      <w:r>
        <w:t xml:space="preserve">, offering a very granular usage-based model for language translation.</w:t>
      </w:r>
    </w:p>
    <w:p>
      <w:pPr>
        <w:pStyle w:val="BodyText"/>
      </w:pPr>
      <w:r>
        <w:rPr>
          <w:b/>
        </w:rPr>
        <w:t xml:space="preserve">Comparison with Competitors:</w:t>
      </w:r>
      <w:r>
        <w:t xml:space="preserve"> </w:t>
      </w:r>
      <w:r>
        <w:t xml:space="preserve">Google Cloud’s strategy is to provide a complete ecosystem, from raw ML infrastructure to highly abstracted, pre-trained AI services. Their pricing reflects this breadth, offering options for both deep customization (Vertex AI’s resource-based pricing) and rapid integration of specific AI capabilities (API call/usage-based pricing for specialized services). This multi-faceted approach aims to capture a wide range of customers, from data scientists building bespoke models to developers integrating off-the-shelf AI functions. Their competitive positioning often emphasizes scalability, integration with other Google Cloud services, and a strong focus on responsible AI development (Google Cloud, 2023).</w:t>
      </w:r>
    </w:p>
    <w:p>
      <w:pPr>
        <w:pStyle w:val="Heading3"/>
      </w:pPr>
      <w:bookmarkStart w:id="71" w:name="X05d0b7b129f2ddd02054869e4030babd0e1af19"/>
      <w:r>
        <w:t xml:space="preserve">Overview of Google Cloud and AWS AI Service Pricing</w:t>
      </w:r>
      <w:bookmarkEnd w:id="71"/>
    </w:p>
    <w:p>
      <w:pPr>
        <w:pStyle w:val="FirstParagraph"/>
      </w:pPr>
      <w:r>
        <w:t xml:space="preserve">This table provides a high-level overview of pricing metrics for various AI and Machine Learning services offered by Google Cloud and AWS. It illustrates the diversity of usage-based and resource-based models employed by major cloud providers.</w:t>
      </w:r>
    </w:p>
    <w:p>
      <w:pPr>
        <w:pStyle w:val="BodyText"/>
      </w:pPr>
      <w:r>
        <w:rPr>
          <w:b/>
        </w:rPr>
        <w:t xml:space="preserve">Table 3: Google Cloud and AWS AI Service Pricing Overview</w:t>
      </w:r>
    </w:p>
    <w:tbl>
      <w:tblPr>
        <w:tblStyle w:val="Table"/>
        <w:tblW w:type="pct" w:w="5000.0"/>
        <w:tblLook w:firstRow="1"/>
      </w:tblPr>
      <w:tblGrid>
        <w:gridCol w:w="1411"/>
        <w:gridCol w:w="3058"/>
        <w:gridCol w:w="2352"/>
        <w:gridCol w:w="1097"/>
      </w:tblGrid>
      <w:tr>
        <w:trPr>
          <w:cnfStyle w:firstRow="1"/>
        </w:trPr>
        <w:tc>
          <w:tcPr>
            <w:tcBorders>
              <w:bottom w:val="single"/>
            </w:tcBorders>
            <w:vAlign w:val="bottom"/>
          </w:tcPr>
          <w:p>
            <w:pPr>
              <w:pStyle w:val="Compact"/>
              <w:jc w:val="left"/>
            </w:pPr>
            <w:r>
              <w:t xml:space="preserve">Service Category</w:t>
            </w:r>
          </w:p>
        </w:tc>
        <w:tc>
          <w:tcPr>
            <w:tcBorders>
              <w:bottom w:val="single"/>
            </w:tcBorders>
            <w:vAlign w:val="bottom"/>
          </w:tcPr>
          <w:p>
            <w:pPr>
              <w:pStyle w:val="Compact"/>
              <w:jc w:val="left"/>
            </w:pPr>
            <w:r>
              <w:t xml:space="preserve">Google Cloud Example (Pricing Metric)</w:t>
            </w:r>
          </w:p>
        </w:tc>
        <w:tc>
          <w:tcPr>
            <w:tcBorders>
              <w:bottom w:val="single"/>
            </w:tcBorders>
            <w:vAlign w:val="bottom"/>
          </w:tcPr>
          <w:p>
            <w:pPr>
              <w:pStyle w:val="Compact"/>
              <w:jc w:val="left"/>
            </w:pPr>
            <w:r>
              <w:t xml:space="preserve">AWS Example (Pricing Metric)</w:t>
            </w:r>
          </w:p>
        </w:tc>
        <w:tc>
          <w:tcPr>
            <w:tcBorders>
              <w:bottom w:val="single"/>
            </w:tcBorders>
            <w:vAlign w:val="bottom"/>
          </w:tcPr>
          <w:p>
            <w:pPr>
              <w:pStyle w:val="Compact"/>
              <w:jc w:val="left"/>
            </w:pPr>
            <w:r>
              <w:t xml:space="preserve">Pricing Type</w:t>
            </w:r>
          </w:p>
        </w:tc>
      </w:tr>
      <w:tr>
        <w:tc>
          <w:p>
            <w:pPr>
              <w:pStyle w:val="Compact"/>
              <w:jc w:val="left"/>
            </w:pPr>
            <w:r>
              <w:rPr>
                <w:b/>
              </w:rPr>
              <w:t xml:space="preserve">Foundation LLM</w:t>
            </w:r>
          </w:p>
        </w:tc>
        <w:tc>
          <w:p>
            <w:pPr>
              <w:pStyle w:val="Compact"/>
              <w:jc w:val="left"/>
            </w:pPr>
            <w:r>
              <w:t xml:space="preserve">Gemini (per 1K characters/tokens)</w:t>
            </w:r>
          </w:p>
        </w:tc>
        <w:tc>
          <w:p>
            <w:pPr>
              <w:pStyle w:val="Compact"/>
              <w:jc w:val="left"/>
            </w:pPr>
            <w:r>
              <w:t xml:space="preserve">Amazon Bedrock (per 1K tokens)</w:t>
            </w:r>
          </w:p>
        </w:tc>
        <w:tc>
          <w:p>
            <w:pPr>
              <w:pStyle w:val="Compact"/>
              <w:jc w:val="left"/>
            </w:pPr>
            <w:r>
              <w:t xml:space="preserve">Token-Based</w:t>
            </w:r>
          </w:p>
        </w:tc>
      </w:tr>
      <w:tr>
        <w:tc>
          <w:p>
            <w:pPr>
              <w:pStyle w:val="Compact"/>
              <w:jc w:val="left"/>
            </w:pPr>
            <w:r>
              <w:rPr>
                <w:b/>
              </w:rPr>
              <w:t xml:space="preserve">Custom ML</w:t>
            </w:r>
          </w:p>
        </w:tc>
        <w:tc>
          <w:p>
            <w:pPr>
              <w:pStyle w:val="Compact"/>
              <w:jc w:val="left"/>
            </w:pPr>
            <w:r>
              <w:t xml:space="preserve">Vertex AI (per compute-hour, GB-month)</w:t>
            </w:r>
          </w:p>
        </w:tc>
        <w:tc>
          <w:p>
            <w:pPr>
              <w:pStyle w:val="Compact"/>
              <w:jc w:val="left"/>
            </w:pPr>
            <w:r>
              <w:t xml:space="preserve">SageMaker (per compute-hour, GB-month)</w:t>
            </w:r>
          </w:p>
        </w:tc>
        <w:tc>
          <w:p>
            <w:pPr>
              <w:pStyle w:val="Compact"/>
              <w:jc w:val="left"/>
            </w:pPr>
            <w:r>
              <w:t xml:space="preserve">Resource-Based</w:t>
            </w:r>
          </w:p>
        </w:tc>
      </w:tr>
      <w:tr>
        <w:tc>
          <w:p>
            <w:pPr>
              <w:pStyle w:val="Compact"/>
              <w:jc w:val="left"/>
            </w:pPr>
            <w:r>
              <w:rPr>
                <w:b/>
              </w:rPr>
              <w:t xml:space="preserve">Vision AI</w:t>
            </w:r>
          </w:p>
        </w:tc>
        <w:tc>
          <w:p>
            <w:pPr>
              <w:pStyle w:val="Compact"/>
              <w:jc w:val="left"/>
            </w:pPr>
            <w:r>
              <w:t xml:space="preserve">Vision AI (per image/feature)</w:t>
            </w:r>
          </w:p>
        </w:tc>
        <w:tc>
          <w:p>
            <w:pPr>
              <w:pStyle w:val="Compact"/>
              <w:jc w:val="left"/>
            </w:pPr>
            <w:r>
              <w:t xml:space="preserve">Rekognition (per image/min video)</w:t>
            </w:r>
          </w:p>
        </w:tc>
        <w:tc>
          <w:p>
            <w:pPr>
              <w:pStyle w:val="Compact"/>
              <w:jc w:val="left"/>
            </w:pPr>
            <w:r>
              <w:t xml:space="preserve">Usage/Request</w:t>
            </w:r>
          </w:p>
        </w:tc>
      </w:tr>
      <w:tr>
        <w:tc>
          <w:p>
            <w:pPr>
              <w:pStyle w:val="Compact"/>
              <w:jc w:val="left"/>
            </w:pPr>
            <w:r>
              <w:rPr>
                <w:b/>
              </w:rPr>
              <w:t xml:space="preserve">NLP API</w:t>
            </w:r>
          </w:p>
        </w:tc>
        <w:tc>
          <w:p>
            <w:pPr>
              <w:pStyle w:val="Compact"/>
              <w:jc w:val="left"/>
            </w:pPr>
            <w:r>
              <w:t xml:space="preserve">Natural Language (per 1K text units)</w:t>
            </w:r>
          </w:p>
        </w:tc>
        <w:tc>
          <w:p>
            <w:pPr>
              <w:pStyle w:val="Compact"/>
              <w:jc w:val="left"/>
            </w:pPr>
            <w:r>
              <w:t xml:space="preserve">Comprehend (per 100 characters)</w:t>
            </w:r>
          </w:p>
        </w:tc>
        <w:tc>
          <w:p>
            <w:pPr>
              <w:pStyle w:val="Compact"/>
              <w:jc w:val="left"/>
            </w:pPr>
            <w:r>
              <w:t xml:space="preserve">Usage-Based</w:t>
            </w:r>
          </w:p>
        </w:tc>
      </w:tr>
      <w:tr>
        <w:tc>
          <w:p>
            <w:pPr>
              <w:pStyle w:val="Compact"/>
              <w:jc w:val="left"/>
            </w:pPr>
            <w:r>
              <w:rPr>
                <w:b/>
              </w:rPr>
              <w:t xml:space="preserve">Speech-to-Text</w:t>
            </w:r>
          </w:p>
        </w:tc>
        <w:tc>
          <w:p>
            <w:pPr>
              <w:pStyle w:val="Compact"/>
              <w:jc w:val="left"/>
            </w:pPr>
            <w:r>
              <w:t xml:space="preserve">Speech-to-Text (per minute audio)</w:t>
            </w:r>
          </w:p>
        </w:tc>
        <w:tc>
          <w:p>
            <w:pPr>
              <w:pStyle w:val="Compact"/>
              <w:jc w:val="left"/>
            </w:pPr>
            <w:r>
              <w:t xml:space="preserve">Transcribe (per second audio)</w:t>
            </w:r>
          </w:p>
        </w:tc>
        <w:tc>
          <w:p>
            <w:pPr>
              <w:pStyle w:val="Compact"/>
              <w:jc w:val="left"/>
            </w:pPr>
            <w:r>
              <w:t xml:space="preserve">Usage-Based</w:t>
            </w:r>
          </w:p>
        </w:tc>
      </w:tr>
      <w:tr>
        <w:tc>
          <w:p>
            <w:pPr>
              <w:pStyle w:val="Compact"/>
              <w:jc w:val="left"/>
            </w:pPr>
            <w:r>
              <w:rPr>
                <w:b/>
              </w:rPr>
              <w:t xml:space="preserve">Translation</w:t>
            </w:r>
          </w:p>
        </w:tc>
        <w:tc>
          <w:p>
            <w:pPr>
              <w:pStyle w:val="Compact"/>
              <w:jc w:val="left"/>
            </w:pPr>
            <w:r>
              <w:t xml:space="preserve">Translation (per character)</w:t>
            </w:r>
          </w:p>
        </w:tc>
        <w:tc>
          <w:p>
            <w:pPr>
              <w:pStyle w:val="Compact"/>
              <w:jc w:val="left"/>
            </w:pPr>
            <w:r>
              <w:t xml:space="preserve">Translate (per character)</w:t>
            </w:r>
          </w:p>
        </w:tc>
        <w:tc>
          <w:p>
            <w:pPr>
              <w:pStyle w:val="Compact"/>
              <w:jc w:val="left"/>
            </w:pPr>
            <w:r>
              <w:t xml:space="preserve">Usage-Based</w:t>
            </w:r>
          </w:p>
        </w:tc>
      </w:tr>
    </w:tbl>
    <w:p>
      <w:pPr>
        <w:pStyle w:val="BodyText"/>
      </w:pPr>
      <w:r>
        <w:rPr>
          <w:i/>
        </w:rPr>
        <w:t xml:space="preserve">Note: This table provides illustrative pricing metrics. Actual rates, tiers, and specific features vary significantly by provider, service, and region. It highlights the granular, pay-as-you-go nature of cloud AI services.</w:t>
      </w:r>
    </w:p>
    <w:p>
      <w:pPr>
        <w:pStyle w:val="Heading3"/>
      </w:pPr>
      <w:bookmarkStart w:id="72" w:name="aws-aiml-services"/>
      <w:r>
        <w:rPr>
          <w:i/>
          <w:b/>
        </w:rPr>
        <w:t xml:space="preserve">4.3.4 AWS AI/ML Services</w:t>
      </w:r>
      <w:bookmarkEnd w:id="72"/>
    </w:p>
    <w:p>
      <w:pPr>
        <w:pStyle w:val="FirstParagraph"/>
      </w:pPr>
      <w:r>
        <w:t xml:space="preserve">Amazon Web Services (AWS) is another major cloud provider offering an extensive portfolio of AI and Machine Learning services, each with distinct pricing models designed to cater to various use cases and user expertise levels (AWS, 2023). AWS’s strategy is characterized by its</w:t>
      </w:r>
      <w:r>
        <w:t xml:space="preserve"> </w:t>
      </w:r>
      <w:r>
        <w:t xml:space="preserve">“</w:t>
      </w:r>
      <w:r>
        <w:t xml:space="preserve">pay-as-you-go</w:t>
      </w:r>
      <w:r>
        <w:t xml:space="preserve">”</w:t>
      </w:r>
      <w:r>
        <w:t xml:space="preserve"> </w:t>
      </w:r>
      <w:r>
        <w:t xml:space="preserve">philosophy, offering granular, usage-based pricing across its vast array of services.</w:t>
      </w:r>
    </w:p>
    <w:p>
      <w:pPr>
        <w:pStyle w:val="BodyText"/>
      </w:pPr>
      <w:r>
        <w:rPr>
          <w:b/>
        </w:rPr>
        <w:t xml:space="preserve">Amazon SageMaker:</w:t>
      </w:r>
      <w:r>
        <w:t xml:space="preserve"> </w:t>
      </w:r>
      <w:r>
        <w:t xml:space="preserve">Amazon SageMaker, AWS’s fully managed service for building, training, and deploying machine learning models, employs a</w:t>
      </w:r>
      <w:r>
        <w:t xml:space="preserve"> </w:t>
      </w:r>
      <w:r>
        <w:rPr>
          <w:b/>
        </w:rPr>
        <w:t xml:space="preserve">resource-based pricing model</w:t>
      </w:r>
      <w:r>
        <w:t xml:space="preserve">. Users pay for:</w:t>
      </w:r>
      <w:r>
        <w:t xml:space="preserve"> </w:t>
      </w:r>
      <w:r>
        <w:t xml:space="preserve">-</w:t>
      </w:r>
      <w:r>
        <w:t xml:space="preserve"> </w:t>
      </w:r>
      <w:r>
        <w:rPr>
          <w:b/>
        </w:rPr>
        <w:t xml:space="preserve">Compute Instances:</w:t>
      </w:r>
      <w:r>
        <w:t xml:space="preserve"> </w:t>
      </w:r>
      <w:r>
        <w:t xml:space="preserve">Charged by the hour for training, inference, and data processing, with different instance types (CPU, GPU) and sizes available.</w:t>
      </w:r>
      <w:r>
        <w:t xml:space="preserve"> </w:t>
      </w:r>
      <w:r>
        <w:t xml:space="preserve">-</w:t>
      </w:r>
      <w:r>
        <w:t xml:space="preserve"> </w:t>
      </w:r>
      <w:r>
        <w:rPr>
          <w:b/>
        </w:rPr>
        <w:t xml:space="preserve">Storage:</w:t>
      </w:r>
      <w:r>
        <w:t xml:space="preserve"> </w:t>
      </w:r>
      <w:r>
        <w:t xml:space="preserve">Charged per GB-month for data stored in SageMaker notebooks, training jobs, and model artifacts.</w:t>
      </w:r>
      <w:r>
        <w:t xml:space="preserve"> </w:t>
      </w:r>
      <w:r>
        <w:t xml:space="preserve">-</w:t>
      </w:r>
      <w:r>
        <w:t xml:space="preserve"> </w:t>
      </w:r>
      <w:r>
        <w:rPr>
          <w:b/>
        </w:rPr>
        <w:t xml:space="preserve">Data Transfer:</w:t>
      </w:r>
      <w:r>
        <w:t xml:space="preserve"> </w:t>
      </w:r>
      <w:r>
        <w:t xml:space="preserve">Charged per GB for data transferred in and out of SageMaker.</w:t>
      </w:r>
      <w:r>
        <w:t xml:space="preserve"> </w:t>
      </w:r>
      <w:r>
        <w:t xml:space="preserve">This model provides maximum flexibility and cost control for ML practitioners who manage their entire model lifecycle within SageMaker, allowing them to optimize costs by selecting appropriate instance types and shutting down resources when not in use.</w:t>
      </w:r>
    </w:p>
    <w:p>
      <w:pPr>
        <w:pStyle w:val="BodyText"/>
      </w:pPr>
      <w:r>
        <w:rPr>
          <w:b/>
        </w:rPr>
        <w:t xml:space="preserve">Specialized AI Services:</w:t>
      </w:r>
      <w:r>
        <w:t xml:space="preserve"> </w:t>
      </w:r>
      <w:r>
        <w:t xml:space="preserve">AWS also offers a suite of pre-trained, high-level AI services designed for developers to easily add intelligence to their applications, typically using</w:t>
      </w:r>
      <w:r>
        <w:t xml:space="preserve"> </w:t>
      </w:r>
      <w:r>
        <w:rPr>
          <w:b/>
        </w:rPr>
        <w:t xml:space="preserve">API call/usage-based pricing</w:t>
      </w:r>
      <w:r>
        <w:t xml:space="preserve">:</w:t>
      </w:r>
      <w:r>
        <w:t xml:space="preserve"> </w:t>
      </w:r>
      <w:r>
        <w:t xml:space="preserve">-</w:t>
      </w:r>
      <w:r>
        <w:t xml:space="preserve"> </w:t>
      </w:r>
      <w:r>
        <w:rPr>
          <w:b/>
        </w:rPr>
        <w:t xml:space="preserve">Amazon Rekognition:</w:t>
      </w:r>
      <w:r>
        <w:t xml:space="preserve"> </w:t>
      </w:r>
      <w:r>
        <w:t xml:space="preserve">An image and video analysis service, priced</w:t>
      </w:r>
      <w:r>
        <w:t xml:space="preserve"> </w:t>
      </w:r>
      <w:r>
        <w:rPr>
          <w:b/>
        </w:rPr>
        <w:t xml:space="preserve">per image or per minute of video processed</w:t>
      </w:r>
      <w:r>
        <w:t xml:space="preserve">, with additional charges for specific features like face analysis or object detection.</w:t>
      </w:r>
      <w:r>
        <w:t xml:space="preserve"> </w:t>
      </w:r>
      <w:r>
        <w:t xml:space="preserve">-</w:t>
      </w:r>
      <w:r>
        <w:t xml:space="preserve"> </w:t>
      </w:r>
      <w:r>
        <w:rPr>
          <w:b/>
        </w:rPr>
        <w:t xml:space="preserve">Amazon Comprehend:</w:t>
      </w:r>
      <w:r>
        <w:t xml:space="preserve"> </w:t>
      </w:r>
      <w:r>
        <w:t xml:space="preserve">A natural language processing (NLP) service, priced</w:t>
      </w:r>
      <w:r>
        <w:t xml:space="preserve"> </w:t>
      </w:r>
      <w:r>
        <w:rPr>
          <w:b/>
        </w:rPr>
        <w:t xml:space="preserve">per 100 characters processed</w:t>
      </w:r>
      <w:r>
        <w:t xml:space="preserve"> </w:t>
      </w:r>
      <w:r>
        <w:t xml:space="preserve">for tasks like sentiment analysis, entity recognition, and key phrase extraction. This is a character-based usage model similar to Google’s.</w:t>
      </w:r>
      <w:r>
        <w:t xml:space="preserve"> </w:t>
      </w:r>
      <w:r>
        <w:t xml:space="preserve">-</w:t>
      </w:r>
      <w:r>
        <w:t xml:space="preserve"> </w:t>
      </w:r>
      <w:r>
        <w:rPr>
          <w:b/>
        </w:rPr>
        <w:t xml:space="preserve">Amazon Lex:</w:t>
      </w:r>
      <w:r>
        <w:t xml:space="preserve"> </w:t>
      </w:r>
      <w:r>
        <w:t xml:space="preserve">A service for building conversational interfaces (chatbots), priced</w:t>
      </w:r>
      <w:r>
        <w:t xml:space="preserve"> </w:t>
      </w:r>
      <w:r>
        <w:rPr>
          <w:b/>
        </w:rPr>
        <w:t xml:space="preserve">per text or speech request</w:t>
      </w:r>
      <w:r>
        <w:t xml:space="preserve">, with different rates for speech input vs. text input.</w:t>
      </w:r>
      <w:r>
        <w:t xml:space="preserve"> </w:t>
      </w:r>
      <w:r>
        <w:t xml:space="preserve">-</w:t>
      </w:r>
      <w:r>
        <w:t xml:space="preserve"> </w:t>
      </w:r>
      <w:r>
        <w:rPr>
          <w:b/>
        </w:rPr>
        <w:t xml:space="preserve">Amazon Translate:</w:t>
      </w:r>
      <w:r>
        <w:t xml:space="preserve"> </w:t>
      </w:r>
      <w:r>
        <w:t xml:space="preserve">A language translation service, priced</w:t>
      </w:r>
      <w:r>
        <w:t xml:space="preserve"> </w:t>
      </w:r>
      <w:r>
        <w:rPr>
          <w:b/>
        </w:rPr>
        <w:t xml:space="preserve">per character translated</w:t>
      </w:r>
      <w:r>
        <w:t xml:space="preserve">, offering granular control over translation costs.</w:t>
      </w:r>
      <w:r>
        <w:t xml:space="preserve"> </w:t>
      </w:r>
      <w:r>
        <w:t xml:space="preserve">-</w:t>
      </w:r>
      <w:r>
        <w:t xml:space="preserve"> </w:t>
      </w:r>
      <w:r>
        <w:rPr>
          <w:b/>
        </w:rPr>
        <w:t xml:space="preserve">Amazon Transcribe:</w:t>
      </w:r>
      <w:r>
        <w:t xml:space="preserve"> </w:t>
      </w:r>
      <w:r>
        <w:t xml:space="preserve">A speech-to-text service, priced</w:t>
      </w:r>
      <w:r>
        <w:t xml:space="preserve"> </w:t>
      </w:r>
      <w:r>
        <w:rPr>
          <w:b/>
        </w:rPr>
        <w:t xml:space="preserve">per second of audio</w:t>
      </w:r>
      <w:r>
        <w:t xml:space="preserve"> </w:t>
      </w:r>
      <w:r>
        <w:t xml:space="preserve">processed, allowing users to pay only for the duration of their media.</w:t>
      </w:r>
    </w:p>
    <w:p>
      <w:pPr>
        <w:pStyle w:val="BodyText"/>
      </w:pPr>
      <w:r>
        <w:rPr>
          <w:b/>
        </w:rPr>
        <w:t xml:space="preserve">Cost Optimization Strategies for Users:</w:t>
      </w:r>
      <w:r>
        <w:t xml:space="preserve"> </w:t>
      </w:r>
      <w:r>
        <w:t xml:space="preserve">AWS emphasizes cost optimization tools and strategies, allowing users to monitor their spending, set budgets, and choose the most cost-effective services. This includes options like reserved instances for predictable workloads (offering discounts for committing to long-term usage) and spot instances for fault-tolerant workloads (offering significant discounts by bidding on unused compute capacity). This flexibility in pricing and infrastructure management is a key differentiator for AWS, catering to a wide spectrum of users from startups to large enterprises with complex, dynamic needs (AWS, 2023).</w:t>
      </w:r>
    </w:p>
    <w:p>
      <w:pPr>
        <w:pStyle w:val="Heading3"/>
      </w:pPr>
      <w:bookmarkStart w:id="73" w:name="niche-ai-agentsplatforms"/>
      <w:r>
        <w:rPr>
          <w:i/>
          <w:b/>
        </w:rPr>
        <w:t xml:space="preserve">4.3.5 Niche AI Agents/Platforms</w:t>
      </w:r>
      <w:bookmarkEnd w:id="73"/>
    </w:p>
    <w:p>
      <w:pPr>
        <w:pStyle w:val="FirstParagraph"/>
      </w:pPr>
      <w:r>
        <w:t xml:space="preserve">Beyond the major cloud and foundational model providers, a growing ecosystem of niche AI agents and specialized platforms are emerging, often adopting unique or hybrid pricing models tailored to their specific value propositions and target verticals (Unknown, 2022). These examples illustrate the diversity of monetization strategies in the rapidly expanding field of autonomous AI.</w:t>
      </w:r>
    </w:p>
    <w:p>
      <w:pPr>
        <w:pStyle w:val="BodyText"/>
      </w:pPr>
      <w:r>
        <w:rPr>
          <w:b/>
        </w:rPr>
        <w:t xml:space="preserve">Autonomous Agents for Specific Tasks:</w:t>
      </w:r>
      <w:r>
        <w:t xml:space="preserve"> </w:t>
      </w:r>
      <w:r>
        <w:t xml:space="preserve">Consider an AI agent designed for a very specific business process, such as an</w:t>
      </w:r>
      <w:r>
        <w:t xml:space="preserve"> </w:t>
      </w:r>
      <w:r>
        <w:rPr>
          <w:b/>
        </w:rPr>
        <w:t xml:space="preserve">AI-powered financial reconciliation agent</w:t>
      </w:r>
      <w:r>
        <w:t xml:space="preserve">. This agent might be priced on an</w:t>
      </w:r>
      <w:r>
        <w:t xml:space="preserve"> </w:t>
      </w:r>
      <w:r>
        <w:rPr>
          <w:b/>
        </w:rPr>
        <w:t xml:space="preserve">outcome-based model</w:t>
      </w:r>
      <w:r>
        <w:t xml:space="preserve">, charging a percentage of the savings it generates by identifying and correcting discrepancies, or a fixed fee per successful reconciliation with a performance bonus (Unknown, 2023)(Unknown, 2024). The value proposition here is clear: the agent directly contributes to cost savings or efficiency gains, and its pricing reflects that measurable impact. This aligns risk and reward between the provider and the client.</w:t>
      </w:r>
    </w:p>
    <w:p>
      <w:pPr>
        <w:pStyle w:val="BodyText"/>
      </w:pPr>
      <w:r>
        <w:t xml:space="preserve">Another example could be an</w:t>
      </w:r>
      <w:r>
        <w:t xml:space="preserve"> </w:t>
      </w:r>
      <w:r>
        <w:rPr>
          <w:b/>
        </w:rPr>
        <w:t xml:space="preserve">AI agent for customer support automation</w:t>
      </w:r>
      <w:r>
        <w:t xml:space="preserve"> </w:t>
      </w:r>
      <w:r>
        <w:t xml:space="preserve">that handles routine inquiries. This might combine a</w:t>
      </w:r>
      <w:r>
        <w:t xml:space="preserve"> </w:t>
      </w:r>
      <w:r>
        <w:rPr>
          <w:b/>
        </w:rPr>
        <w:t xml:space="preserve">subscription model</w:t>
      </w:r>
      <w:r>
        <w:t xml:space="preserve"> </w:t>
      </w:r>
      <w:r>
        <w:t xml:space="preserve">for access to the platform with a</w:t>
      </w:r>
      <w:r>
        <w:t xml:space="preserve"> </w:t>
      </w:r>
      <w:r>
        <w:rPr>
          <w:b/>
        </w:rPr>
        <w:t xml:space="preserve">per-interaction or per-resolution charge</w:t>
      </w:r>
      <w:r>
        <w:t xml:space="preserve"> </w:t>
      </w:r>
      <w:r>
        <w:t xml:space="preserve">for the agent’s actual engagement. The subscription covers the platform’s features and basic agent deployment, while the usage-based component captures the value of each successful customer interaction or problem resolution (Gartner, 2024). This hybrid approach balances predictability with granular usage.</w:t>
      </w:r>
    </w:p>
    <w:p>
      <w:pPr>
        <w:pStyle w:val="BodyText"/>
      </w:pPr>
      <w:r>
        <w:rPr>
          <w:b/>
        </w:rPr>
        <w:t xml:space="preserve">Specialized Vertical Platforms:</w:t>
      </w:r>
      <w:r>
        <w:t xml:space="preserve"> </w:t>
      </w:r>
      <w:r>
        <w:t xml:space="preserve">Platforms catering to specific industries often adopt pricing models that reflect industry-specific value metrics. For instance, an</w:t>
      </w:r>
      <w:r>
        <w:t xml:space="preserve"> </w:t>
      </w:r>
      <w:r>
        <w:rPr>
          <w:b/>
        </w:rPr>
        <w:t xml:space="preserve">AI platform for legal document review</w:t>
      </w:r>
      <w:r>
        <w:t xml:space="preserve"> </w:t>
      </w:r>
      <w:r>
        <w:t xml:space="preserve">might charge</w:t>
      </w:r>
      <w:r>
        <w:t xml:space="preserve"> </w:t>
      </w:r>
      <w:r>
        <w:rPr>
          <w:b/>
        </w:rPr>
        <w:t xml:space="preserve">per document processed or per hour of AI review time</w:t>
      </w:r>
      <w:r>
        <w:t xml:space="preserve">, with tiered access based on the complexity of legal analysis tools provided. A</w:t>
      </w:r>
      <w:r>
        <w:t xml:space="preserve"> </w:t>
      </w:r>
      <w:r>
        <w:t xml:space="preserve">“</w:t>
      </w:r>
      <w:r>
        <w:t xml:space="preserve">Basic</w:t>
      </w:r>
      <w:r>
        <w:t xml:space="preserve">”</w:t>
      </w:r>
      <w:r>
        <w:t xml:space="preserve"> </w:t>
      </w:r>
      <w:r>
        <w:t xml:space="preserve">tier might offer simple keyword extraction, while a</w:t>
      </w:r>
      <w:r>
        <w:t xml:space="preserve"> </w:t>
      </w:r>
      <w:r>
        <w:t xml:space="preserve">“</w:t>
      </w:r>
      <w:r>
        <w:t xml:space="preserve">Premium</w:t>
      </w:r>
      <w:r>
        <w:t xml:space="preserve">”</w:t>
      </w:r>
      <w:r>
        <w:t xml:space="preserve"> </w:t>
      </w:r>
      <w:r>
        <w:t xml:space="preserve">tier could include advanced semantic analysis and case precedent identification (Unknown, 2022). This combines usage-based with feature-based pricing, catering to the varying needs of legal professionals.</w:t>
      </w:r>
    </w:p>
    <w:p>
      <w:pPr>
        <w:pStyle w:val="BodyText"/>
      </w:pPr>
      <w:r>
        <w:t xml:space="preserve">Similarly, an</w:t>
      </w:r>
      <w:r>
        <w:t xml:space="preserve"> </w:t>
      </w:r>
      <w:r>
        <w:rPr>
          <w:b/>
        </w:rPr>
        <w:t xml:space="preserve">AI-driven platform for drug discovery</w:t>
      </w:r>
      <w:r>
        <w:t xml:space="preserve"> </w:t>
      </w:r>
      <w:r>
        <w:t xml:space="preserve">might charge a</w:t>
      </w:r>
      <w:r>
        <w:t xml:space="preserve"> </w:t>
      </w:r>
      <w:r>
        <w:rPr>
          <w:b/>
        </w:rPr>
        <w:t xml:space="preserve">subscription fee for access to its computational biology tools</w:t>
      </w:r>
      <w:r>
        <w:t xml:space="preserve">, coupled with an</w:t>
      </w:r>
      <w:r>
        <w:t xml:space="preserve"> </w:t>
      </w:r>
      <w:r>
        <w:rPr>
          <w:b/>
        </w:rPr>
        <w:t xml:space="preserve">outcome-based component</w:t>
      </w:r>
      <w:r>
        <w:t xml:space="preserve"> </w:t>
      </w:r>
      <w:r>
        <w:t xml:space="preserve">for successful lead identification or accelerated research phases. The high-value nature of drug discovery justifies more complex, value-aligned pricing structures (RAND Corporation, 2021).</w:t>
      </w:r>
    </w:p>
    <w:p>
      <w:pPr>
        <w:pStyle w:val="BodyText"/>
      </w:pPr>
      <w:r>
        <w:rPr>
          <w:b/>
        </w:rPr>
        <w:t xml:space="preserve">Implications for Innovation and Market Segmentation:</w:t>
      </w:r>
      <w:r>
        <w:t xml:space="preserve"> </w:t>
      </w:r>
      <w:r>
        <w:t xml:space="preserve">These niche examples demonstrate that as AI becomes more specialized and embedded in specific workflows, pricing models will become increasingly customized. They are often less about raw computational power (tokens) and more about the</w:t>
      </w:r>
      <w:r>
        <w:t xml:space="preserve"> </w:t>
      </w:r>
      <w:r>
        <w:rPr>
          <w:b/>
        </w:rPr>
        <w:t xml:space="preserve">specific value delivered</w:t>
      </w:r>
      <w:r>
        <w:t xml:space="preserve"> </w:t>
      </w:r>
      <w:r>
        <w:t xml:space="preserve">to a particular industry or business function (Unknown, 2024). This fosters innovation by allowing smaller players to compete by focusing on deep domain expertise and tailored value propositions, rather than just raw model scale. It also leads to greater market segmentation, as different AI solutions cater to distinct needs with corresponding pricing strategies. The success of these models hinges on clear value articulation, robust performance measurement, and a deep understanding of the target customer’s pain points and willingness to pay (BCG, 2023).</w:t>
      </w:r>
    </w:p>
    <w:p>
      <w:pPr>
        <w:pStyle w:val="Heading3"/>
      </w:pPr>
      <w:bookmarkStart w:id="74" w:name="X7f7de7ce37ffe6a0ba42c365d29494572fc6ab4"/>
      <w:r>
        <w:rPr>
          <w:i/>
          <w:b/>
        </w:rPr>
        <w:t xml:space="preserve">4.3.6 Implications of Case Studies for Broader Market</w:t>
      </w:r>
      <w:bookmarkEnd w:id="74"/>
    </w:p>
    <w:p>
      <w:pPr>
        <w:pStyle w:val="FirstParagraph"/>
      </w:pPr>
      <w:r>
        <w:t xml:space="preserve">The real-world case studies of OpenAI, Anthropic, Google Cloud, AWS, and various niche AI agents reveal several critical implications for the broader AI market (Unknown, 2023)(Unknown, 2024). These observations highlight emerging patterns, competitive dynamics, and user adoption trends that will shape the future of AI monetization.</w:t>
      </w:r>
    </w:p>
    <w:p>
      <w:pPr>
        <w:pStyle w:val="BodyText"/>
      </w:pPr>
      <w:r>
        <w:rPr>
          <w:b/>
        </w:rPr>
        <w:t xml:space="preserve">Emerging Patterns:</w:t>
      </w:r>
      <w:r>
        <w:t xml:space="preserve"> </w:t>
      </w:r>
      <w:r>
        <w:t xml:space="preserve">1.</w:t>
      </w:r>
      <w:r>
        <w:t xml:space="preserve"> </w:t>
      </w:r>
      <w:r>
        <w:rPr>
          <w:b/>
        </w:rPr>
        <w:t xml:space="preserve">Dominance of Usage-Based Models for Foundational AI:</w:t>
      </w:r>
      <w:r>
        <w:t xml:space="preserve"> </w:t>
      </w:r>
      <w:r>
        <w:t xml:space="preserve">Token-based and character-based pricing remain the dominant models for foundational LLMs and specialized NLP services. This is due to their direct correlation with computational resource consumption and their ability to scale costs with actual usage.</w:t>
      </w:r>
      <w:r>
        <w:t xml:space="preserve"> </w:t>
      </w:r>
      <w:r>
        <w:t xml:space="preserve">2.</w:t>
      </w:r>
      <w:r>
        <w:t xml:space="preserve"> </w:t>
      </w:r>
      <w:r>
        <w:rPr>
          <w:b/>
        </w:rPr>
        <w:t xml:space="preserve">Hybridization is Key:</w:t>
      </w:r>
      <w:r>
        <w:t xml:space="preserve"> </w:t>
      </w:r>
      <w:r>
        <w:t xml:space="preserve">Pure pricing models are becoming rarer. Most successful AI platforms employ hybrid strategies, combining subscriptions with usage-based overages, or feature tiers with transaction-based fees. This offers a balance of predictability for users and revenue capture for providers.</w:t>
      </w:r>
      <w:r>
        <w:t xml:space="preserve"> </w:t>
      </w:r>
      <w:r>
        <w:t xml:space="preserve">3.</w:t>
      </w:r>
      <w:r>
        <w:t xml:space="preserve"> </w:t>
      </w:r>
      <w:r>
        <w:rPr>
          <w:b/>
        </w:rPr>
        <w:t xml:space="preserve">Value-Based Pricing for Specialized Agents:</w:t>
      </w:r>
      <w:r>
        <w:t xml:space="preserve"> </w:t>
      </w:r>
      <w:r>
        <w:t xml:space="preserve">As AI agents become more autonomous and task-specific, there is a clear trend towards outcome-based or value-based pricing, especially in enterprise contexts where the AI’s contribution to business KPIs is measurable. This signifies a shift from</w:t>
      </w:r>
      <w:r>
        <w:t xml:space="preserve"> </w:t>
      </w:r>
      <w:r>
        <w:t xml:space="preserve">“</w:t>
      </w:r>
      <w:r>
        <w:t xml:space="preserve">cost of compute</w:t>
      </w:r>
      <w:r>
        <w:t xml:space="preserve">”</w:t>
      </w:r>
      <w:r>
        <w:t xml:space="preserve"> </w:t>
      </w:r>
      <w:r>
        <w:t xml:space="preserve">to</w:t>
      </w:r>
      <w:r>
        <w:t xml:space="preserve"> </w:t>
      </w:r>
      <w:r>
        <w:t xml:space="preserve">“</w:t>
      </w:r>
      <w:r>
        <w:t xml:space="preserve">value of outcome.</w:t>
      </w:r>
      <w:r>
        <w:t xml:space="preserve">”</w:t>
      </w:r>
      <w:r>
        <w:t xml:space="preserve"> </w:t>
      </w:r>
      <w:r>
        <w:t xml:space="preserve">4.</w:t>
      </w:r>
      <w:r>
        <w:t xml:space="preserve"> </w:t>
      </w:r>
      <w:r>
        <w:rPr>
          <w:b/>
        </w:rPr>
        <w:t xml:space="preserve">Differentiated Models for Different AI Types:</w:t>
      </w:r>
      <w:r>
        <w:t xml:space="preserve"> </w:t>
      </w:r>
      <w:r>
        <w:t xml:space="preserve">The pricing model is often dictated by the nature of the AI service. Generative LLMs typically use tokens, discrete task-oriented APIs use requests/units, and custom ML platforms use resource consumption (compute/storage).</w:t>
      </w:r>
      <w:r>
        <w:t xml:space="preserve"> </w:t>
      </w:r>
      <w:r>
        <w:t xml:space="preserve">5.</w:t>
      </w:r>
      <w:r>
        <w:t xml:space="preserve"> </w:t>
      </w:r>
      <w:r>
        <w:rPr>
          <w:b/>
        </w:rPr>
        <w:t xml:space="preserve">Importance of Context Window:</w:t>
      </w:r>
      <w:r>
        <w:t xml:space="preserve"> </w:t>
      </w:r>
      <w:r>
        <w:t xml:space="preserve">For LLMs, the context window size is a critical differentiator and value driver, influencing pricing and user choice. Larger context windows, while potentially more expensive per token, can offer overall cost savings by reducing the need for complex prompt engineering or multiple API calls.</w:t>
      </w:r>
    </w:p>
    <w:p>
      <w:pPr>
        <w:pStyle w:val="BodyText"/>
      </w:pPr>
      <w:r>
        <w:rPr>
          <w:b/>
        </w:rPr>
        <w:t xml:space="preserve">Competitive Dynamics:</w:t>
      </w:r>
      <w:r>
        <w:t xml:space="preserve"> </w:t>
      </w:r>
      <w:r>
        <w:t xml:space="preserve">1.</w:t>
      </w:r>
      <w:r>
        <w:t xml:space="preserve"> </w:t>
      </w:r>
      <w:r>
        <w:rPr>
          <w:b/>
        </w:rPr>
        <w:t xml:space="preserve">Price Competition and Optimization:</w:t>
      </w:r>
      <w:r>
        <w:t xml:space="preserve"> </w:t>
      </w:r>
      <w:r>
        <w:t xml:space="preserve">The market is intensely competitive, especially among foundational model providers. This leads to continuous price adjustments, often downwards for older models or upwards for new, more capable ones. Providers are constantly optimizing their models for efficiency to offer more competitive pricing (Unknown, 2023).</w:t>
      </w:r>
      <w:r>
        <w:t xml:space="preserve"> </w:t>
      </w:r>
      <w:r>
        <w:t xml:space="preserve">2.</w:t>
      </w:r>
      <w:r>
        <w:t xml:space="preserve"> </w:t>
      </w:r>
      <w:r>
        <w:rPr>
          <w:b/>
        </w:rPr>
        <w:t xml:space="preserve">Ecosystem Lock-in:</w:t>
      </w:r>
      <w:r>
        <w:t xml:space="preserve"> </w:t>
      </w:r>
      <w:r>
        <w:t xml:space="preserve">Cloud providers like Google Cloud and AWS leverage their vast ecosystems. Their AI services are often priced to encourage integration with other cloud offerings, creating a degree of vendor lock-in through seamless integration and unified billing.</w:t>
      </w:r>
      <w:r>
        <w:t xml:space="preserve"> </w:t>
      </w:r>
      <w:r>
        <w:t xml:space="preserve">3.</w:t>
      </w:r>
      <w:r>
        <w:t xml:space="preserve"> </w:t>
      </w:r>
      <w:r>
        <w:rPr>
          <w:b/>
        </w:rPr>
        <w:t xml:space="preserve">Specialization vs. Generalization:</w:t>
      </w:r>
      <w:r>
        <w:t xml:space="preserve"> </w:t>
      </w:r>
      <w:r>
        <w:t xml:space="preserve">The market is segmenting into general-purpose foundational models (e.g., GPT, Claude) and highly specialized AI agents/platforms. Pricing strategies reflect this: general models focus on scale and raw capability, while specialized solutions focus on deep vertical value.</w:t>
      </w:r>
      <w:r>
        <w:t xml:space="preserve"> </w:t>
      </w:r>
      <w:r>
        <w:t xml:space="preserve">4.</w:t>
      </w:r>
      <w:r>
        <w:t xml:space="preserve"> </w:t>
      </w:r>
      <w:r>
        <w:rPr>
          <w:b/>
        </w:rPr>
        <w:t xml:space="preserve">Transparency as a Competitive Advantage:</w:t>
      </w:r>
      <w:r>
        <w:t xml:space="preserve"> </w:t>
      </w:r>
      <w:r>
        <w:t xml:space="preserve">Providers who offer transparent pricing, clear cost calculators, and robust cost management tools gain a competitive edge, as cost predictability is a major concern for businesses adopting AI.</w:t>
      </w:r>
    </w:p>
    <w:p>
      <w:pPr>
        <w:pStyle w:val="BodyText"/>
      </w:pPr>
      <w:r>
        <w:rPr>
          <w:b/>
        </w:rPr>
        <w:t xml:space="preserve">User Adoption and Experience:</w:t>
      </w:r>
      <w:r>
        <w:t xml:space="preserve"> </w:t>
      </w:r>
      <w:r>
        <w:t xml:space="preserve">1.</w:t>
      </w:r>
      <w:r>
        <w:t xml:space="preserve"> </w:t>
      </w:r>
      <w:r>
        <w:rPr>
          <w:b/>
        </w:rPr>
        <w:t xml:space="preserve">Balancing Predictability and Granularity:</w:t>
      </w:r>
      <w:r>
        <w:t xml:space="preserve"> </w:t>
      </w:r>
      <w:r>
        <w:t xml:space="preserve">Users consistently seek a balance between predictable costs (for budgeting) and granular control (to avoid paying for unused resources). Hybrid models attempt to strike this balance.</w:t>
      </w:r>
      <w:r>
        <w:t xml:space="preserve"> </w:t>
      </w:r>
      <w:r>
        <w:t xml:space="preserve">2.</w:t>
      </w:r>
      <w:r>
        <w:t xml:space="preserve"> </w:t>
      </w:r>
      <w:r>
        <w:rPr>
          <w:b/>
        </w:rPr>
        <w:t xml:space="preserve">Ease of Integration and Cost Management:</w:t>
      </w:r>
      <w:r>
        <w:t xml:space="preserve"> </w:t>
      </w:r>
      <w:r>
        <w:t xml:space="preserve">The complexity of pricing models can be a barrier to adoption. Providers who simplify billing, offer clear documentation, and provide tools for cost monitoring will see higher adoption rates.</w:t>
      </w:r>
      <w:r>
        <w:t xml:space="preserve"> </w:t>
      </w:r>
      <w:r>
        <w:t xml:space="preserve">3.</w:t>
      </w:r>
      <w:r>
        <w:t xml:space="preserve"> </w:t>
      </w:r>
      <w:r>
        <w:rPr>
          <w:b/>
        </w:rPr>
        <w:t xml:space="preserve">Value Perception:</w:t>
      </w:r>
      <w:r>
        <w:t xml:space="preserve"> </w:t>
      </w:r>
      <w:r>
        <w:t xml:space="preserve">Ultimately, users adopt AI services when the perceived value (e.g., efficiency gains, new capabilities) outweighs the cost. Pricing models must effectively communicate and capture this value (BCG, 2023)(Unknown, 2024).</w:t>
      </w:r>
      <w:r>
        <w:t xml:space="preserve"> </w:t>
      </w:r>
      <w:r>
        <w:t xml:space="preserve">4.</w:t>
      </w:r>
      <w:r>
        <w:t xml:space="preserve"> </w:t>
      </w:r>
      <w:r>
        <w:rPr>
          <w:b/>
        </w:rPr>
        <w:t xml:space="preserve">Learning Curve for Cost Optimization:</w:t>
      </w:r>
      <w:r>
        <w:t xml:space="preserve"> </w:t>
      </w:r>
      <w:r>
        <w:t xml:space="preserve">Users, especially developers, are increasingly learning to optimize their AI usage (e.g., prompt engineering for fewer tokens, efficient API call management) to control costs, influencing how they interact with AI services.</w:t>
      </w:r>
    </w:p>
    <w:p>
      <w:pPr>
        <w:pStyle w:val="BodyText"/>
      </w:pPr>
      <w:r>
        <w:t xml:space="preserve">In summary, the market is characterized by a blend of established cloud-based resource pricing, evolving usage-based models for generative AI, and increasingly sophisticated value-based approaches for specialized AI agents. The trend is towards greater flexibility, transparency, and alignment of pricing with the specific value delivered, driven by intense competition and diverse user needs.</w:t>
      </w:r>
    </w:p>
    <w:p>
      <w:pPr>
        <w:pStyle w:val="Heading2"/>
      </w:pPr>
      <w:bookmarkStart w:id="75" w:name="X18e9db9b16f8f38a64a02fb4b48f6a70caebaba"/>
      <w:r>
        <w:t xml:space="preserve">4.4 Hybrid Pricing Approaches and Future Directions</w:t>
      </w:r>
      <w:bookmarkEnd w:id="75"/>
    </w:p>
    <w:p>
      <w:pPr>
        <w:pStyle w:val="FirstParagraph"/>
      </w:pPr>
      <w:r>
        <w:t xml:space="preserve">The analysis of current pricing models and real-world case studies clearly indicates a strong trend towards hybrid pricing approaches in the AI services market. As AI capabilities expand and become more integrated into complex business processes, single-model pricing strategies often prove insufficient to capture the multifaceted value generated or to adequately address the diverse needs of users (BCG, 2023)(Unknown, 2024). This section explores the rationale behind hybrid models, their practical implementations, and the critical considerations for their design, culminating in a discussion of future directions and the implications of advanced AI agents for monetization.</w:t>
      </w:r>
    </w:p>
    <w:p>
      <w:pPr>
        <w:pStyle w:val="Heading3"/>
      </w:pPr>
      <w:bookmarkStart w:id="76" w:name="rationale-for-hybrid-models"/>
      <w:r>
        <w:rPr>
          <w:i/>
          <w:b/>
        </w:rPr>
        <w:t xml:space="preserve">4.4.1 Rationale for Hybrid Models</w:t>
      </w:r>
      <w:bookmarkEnd w:id="76"/>
    </w:p>
    <w:p>
      <w:pPr>
        <w:pStyle w:val="FirstParagraph"/>
      </w:pPr>
      <w:r>
        <w:t xml:space="preserve">The primary rationale for adopting hybrid pricing models stems from the inherent limitations of any single pricing strategy when applied to the dynamic and heterogeneous landscape of AI services. No single model perfectly addresses all aspects of value capture, cost predictability, and user experience across the spectrum of AI applications (OECD, 2022).</w:t>
      </w:r>
    </w:p>
    <w:p>
      <w:pPr>
        <w:numPr>
          <w:ilvl w:val="0"/>
          <w:numId w:val="1002"/>
        </w:numPr>
        <w:pStyle w:val="Compact"/>
      </w:pPr>
      <w:r>
        <w:rPr>
          <w:b/>
        </w:rPr>
        <w:t xml:space="preserve">Addressing Limitations of Single Models:</w:t>
      </w:r>
    </w:p>
    <w:p>
      <w:pPr>
        <w:numPr>
          <w:ilvl w:val="0"/>
          <w:numId w:val="1003"/>
        </w:numPr>
        <w:pStyle w:val="Compact"/>
      </w:pPr>
      <w:r>
        <w:rPr>
          <w:b/>
        </w:rPr>
        <w:t xml:space="preserve">Token-based pricing</w:t>
      </w:r>
      <w:r>
        <w:t xml:space="preserve"> </w:t>
      </w:r>
      <w:r>
        <w:t xml:space="preserve">offers granularity but suffers from cost unpredictability for users.</w:t>
      </w:r>
    </w:p>
    <w:p>
      <w:pPr>
        <w:numPr>
          <w:ilvl w:val="0"/>
          <w:numId w:val="1003"/>
        </w:numPr>
        <w:pStyle w:val="Compact"/>
      </w:pPr>
      <w:r>
        <w:rPr>
          <w:b/>
        </w:rPr>
        <w:t xml:space="preserve">API call-based pricing</w:t>
      </w:r>
      <w:r>
        <w:t xml:space="preserve"> </w:t>
      </w:r>
      <w:r>
        <w:t xml:space="preserve">is predictable but lacks granularity and may not align with variable computational costs for generative AI.</w:t>
      </w:r>
    </w:p>
    <w:p>
      <w:pPr>
        <w:numPr>
          <w:ilvl w:val="0"/>
          <w:numId w:val="1003"/>
        </w:numPr>
        <w:pStyle w:val="Compact"/>
      </w:pPr>
      <w:r>
        <w:rPr>
          <w:b/>
        </w:rPr>
        <w:t xml:space="preserve">Feature-based pricing</w:t>
      </w:r>
      <w:r>
        <w:t xml:space="preserve"> </w:t>
      </w:r>
      <w:r>
        <w:t xml:space="preserve">provides predictability and clear tiers but can lead to underutilization or rigidity.</w:t>
      </w:r>
    </w:p>
    <w:p>
      <w:pPr>
        <w:numPr>
          <w:ilvl w:val="0"/>
          <w:numId w:val="1003"/>
        </w:numPr>
        <w:pStyle w:val="Compact"/>
      </w:pPr>
      <w:r>
        <w:rPr>
          <w:b/>
        </w:rPr>
        <w:t xml:space="preserve">Outcome-based pricing</w:t>
      </w:r>
      <w:r>
        <w:t xml:space="preserve"> </w:t>
      </w:r>
      <w:r>
        <w:t xml:space="preserve">perfectly aligns value but is complex to measure and implement, and carries high risk for providers.</w:t>
      </w:r>
      <w:r>
        <w:t xml:space="preserve"> </w:t>
      </w:r>
      <w:r>
        <w:t xml:space="preserve">Hybrid models are designed to mitigate these individual weaknesses by combining their strengths. For example, by pairing a predictable subscription with usage-based overages, the hybrid model offers budget stability while also allowing for flexible scaling and capturing additional value from heavy users.</w:t>
      </w:r>
    </w:p>
    <w:p>
      <w:pPr>
        <w:numPr>
          <w:ilvl w:val="0"/>
          <w:numId w:val="1004"/>
        </w:numPr>
      </w:pPr>
      <w:r>
        <w:rPr>
          <w:b/>
        </w:rPr>
        <w:t xml:space="preserve">Optimizing for Diverse Use Cases:</w:t>
      </w:r>
      <w:r>
        <w:t xml:space="preserve"> </w:t>
      </w:r>
      <w:r>
        <w:t xml:space="preserve">AI is not a monolithic technology; it encompasses everything from simple API calls for data extraction to complex, autonomous agents making strategic decisions. Different use cases demand different pricing considerations. A large enterprise might prioritize predictable costs and bundled features, while a small developer might prefer purely usage-based, pay-as-you-go access. Hybrid models allow providers to cater to this diverse market by offering customizable or tiered options that appeal to various segments (Unknown, 2023).</w:t>
      </w:r>
    </w:p>
    <w:p>
      <w:pPr>
        <w:numPr>
          <w:ilvl w:val="0"/>
          <w:numId w:val="1004"/>
        </w:numPr>
      </w:pPr>
      <w:r>
        <w:rPr>
          <w:b/>
        </w:rPr>
        <w:t xml:space="preserve">Balancing Predictability and Granularity:</w:t>
      </w:r>
      <w:r>
        <w:t xml:space="preserve"> </w:t>
      </w:r>
      <w:r>
        <w:t xml:space="preserve">Businesses crave cost predictability for budgeting and financial planning, especially when integrating AI into mission-critical operations. However, they also desire granularity to ensure they are only paying for what they truly use, avoiding wasted expenditure. Hybrid models strive to achieve this delicate balance. A base subscription provides predictability, while usage-based components ensure that actual consumption is reflected in the final bill, preventing both over- and under-charging for highly variable workloads.</w:t>
      </w:r>
    </w:p>
    <w:p>
      <w:pPr>
        <w:numPr>
          <w:ilvl w:val="0"/>
          <w:numId w:val="1004"/>
        </w:numPr>
      </w:pPr>
      <w:r>
        <w:rPr>
          <w:b/>
        </w:rPr>
        <w:t xml:space="preserve">Capturing Value More Effectively:</w:t>
      </w:r>
      <w:r>
        <w:t xml:space="preserve"> </w:t>
      </w:r>
      <w:r>
        <w:t xml:space="preserve">AI generates value in multiple ways: through efficient resource consumption (tokens/compute), through access to advanced capabilities (features), and through direct impact on business outcomes. A hybrid model can combine these elements to capture value more comprehensively. For example, a base fee might cover access to the AI platform and its features, while a usage fee covers the specific computational resources consumed, and a performance bonus captures the exceptional value generated by an AI agent (BCG, 2023). This multi-faceted approach ensures that providers are compensated for all aspects of the value they deliver.</w:t>
      </w:r>
    </w:p>
    <w:p>
      <w:pPr>
        <w:numPr>
          <w:ilvl w:val="0"/>
          <w:numId w:val="1004"/>
        </w:numPr>
      </w:pPr>
      <w:r>
        <w:rPr>
          <w:b/>
        </w:rPr>
        <w:t xml:space="preserve">Adaptability to Evolving AI Capabilities:</w:t>
      </w:r>
      <w:r>
        <w:t xml:space="preserve"> </w:t>
      </w:r>
      <w:r>
        <w:t xml:space="preserve">The rapid pace of AI innovation means that models, features, and their associated value propositions are constantly changing. Hybrid models are inherently more adaptable. They can be adjusted by tweaking individual components (e.g., changing token prices, adding new features to tiers, modifying outcome metrics) without overhauling the entire pricing structure, allowing providers to respond quickly to market shifts and technological advancements (Unknown, 2024).</w:t>
      </w:r>
    </w:p>
    <w:p>
      <w:pPr>
        <w:pStyle w:val="Heading3"/>
      </w:pPr>
      <w:bookmarkStart w:id="77" w:name="examples-of-hybrid-models-in-practice"/>
      <w:r>
        <w:rPr>
          <w:i/>
          <w:b/>
        </w:rPr>
        <w:t xml:space="preserve">4.4.2 Examples of Hybrid Models in Practice</w:t>
      </w:r>
      <w:bookmarkEnd w:id="77"/>
    </w:p>
    <w:p>
      <w:pPr>
        <w:pStyle w:val="FirstParagraph"/>
      </w:pPr>
      <w:r>
        <w:t xml:space="preserve">Hybrid pricing models are increasingly becoming the norm, demonstrating the flexibility required to monetize diverse AI services effectively. Several common configurations are observed in the market:</w:t>
      </w:r>
    </w:p>
    <w:p>
      <w:pPr>
        <w:numPr>
          <w:ilvl w:val="0"/>
          <w:numId w:val="1005"/>
        </w:numPr>
        <w:pStyle w:val="Compact"/>
      </w:pPr>
      <w:r>
        <w:rPr>
          <w:b/>
        </w:rPr>
        <w:t xml:space="preserve">Subscription + Usage-Based Overage:</w:t>
      </w:r>
      <w:r>
        <w:t xml:space="preserve"> </w:t>
      </w:r>
      <w:r>
        <w:t xml:space="preserve">This is perhaps the most widespread hybrid model. Users pay a fixed monthly or annual subscription fee, which includes a predefined allowance of tokens, API calls, or compute hours. Any usage exceeding this allowance is then billed on a per-unit basis at a set rate.</w:t>
      </w:r>
    </w:p>
    <w:p>
      <w:pPr>
        <w:numPr>
          <w:ilvl w:val="0"/>
          <w:numId w:val="1006"/>
        </w:numPr>
        <w:pStyle w:val="Compact"/>
      </w:pPr>
      <w:r>
        <w:rPr>
          <w:b/>
        </w:rPr>
        <w:t xml:space="preserve">Example:</w:t>
      </w:r>
      <w:r>
        <w:t xml:space="preserve"> </w:t>
      </w:r>
      <w:r>
        <w:t xml:space="preserve">A</w:t>
      </w:r>
      <w:r>
        <w:t xml:space="preserve"> </w:t>
      </w:r>
      <w:r>
        <w:rPr>
          <w:rStyle w:val="VerbatimChar"/>
        </w:rPr>
        <w:t xml:space="preserve">Pro</w:t>
      </w:r>
      <w:r>
        <w:t xml:space="preserve"> </w:t>
      </w:r>
      <w:r>
        <w:t xml:space="preserve">plan for an LLM API costs $20/month and includes 1 million input tokens. Beyond this, additional input tokens are charged at $0.001 per 1,000 tokens. Output tokens might have a separate, higher rate. This model is widely used by OpenAI, Anthropic, and various other API providers (Unknown, 2024). It offers budget predictability for baseline usage while allowing for scalable growth and capturing value from heavy users.</w:t>
      </w:r>
    </w:p>
    <w:p>
      <w:pPr>
        <w:numPr>
          <w:ilvl w:val="0"/>
          <w:numId w:val="1007"/>
        </w:numPr>
        <w:pStyle w:val="Compact"/>
      </w:pPr>
      <w:r>
        <w:rPr>
          <w:b/>
        </w:rPr>
        <w:t xml:space="preserve">Feature Tiers + Transactional Fees:</w:t>
      </w:r>
      <w:r>
        <w:t xml:space="preserve"> </w:t>
      </w:r>
      <w:r>
        <w:t xml:space="preserve">In this model, different subscription tiers unlock specific sets of features or access to more powerful AI models. On top of the subscription, certain actions or transactions within these tiers incur additional, per-transaction fees.</w:t>
      </w:r>
    </w:p>
    <w:p>
      <w:pPr>
        <w:numPr>
          <w:ilvl w:val="0"/>
          <w:numId w:val="1008"/>
        </w:numPr>
        <w:pStyle w:val="Compact"/>
      </w:pPr>
      <w:r>
        <w:rPr>
          <w:b/>
        </w:rPr>
        <w:t xml:space="preserve">Example:</w:t>
      </w:r>
      <w:r>
        <w:t xml:space="preserve"> </w:t>
      </w:r>
      <w:r>
        <w:t xml:space="preserve">A</w:t>
      </w:r>
      <w:r>
        <w:t xml:space="preserve"> </w:t>
      </w:r>
      <w:r>
        <w:rPr>
          <w:rStyle w:val="VerbatimChar"/>
        </w:rPr>
        <w:t xml:space="preserve">Standard</w:t>
      </w:r>
      <w:r>
        <w:t xml:space="preserve"> </w:t>
      </w:r>
      <w:r>
        <w:t xml:space="preserve">plan for an AI image generation service allows access to basic image styles and 100 image generations per month. A</w:t>
      </w:r>
      <w:r>
        <w:t xml:space="preserve"> </w:t>
      </w:r>
      <w:r>
        <w:rPr>
          <w:rStyle w:val="VerbatimChar"/>
        </w:rPr>
        <w:t xml:space="preserve">Premium</w:t>
      </w:r>
      <w:r>
        <w:t xml:space="preserve"> </w:t>
      </w:r>
      <w:r>
        <w:t xml:space="preserve">plan (higher subscription fee) unlocks advanced styles, faster generation speeds, and 500 image generations. Any additional image generations beyond the monthly allowance in either plan are charged at a fixed rate per image. This is often seen in platforms offering a suite of AI tools where some functionalities are bundled, while others are metered on a per-use basis (e.g., DALL-E’s per-image pricing combined with platform access) (Google Cloud, 2023).</w:t>
      </w:r>
    </w:p>
    <w:p>
      <w:pPr>
        <w:numPr>
          <w:ilvl w:val="0"/>
          <w:numId w:val="1009"/>
        </w:numPr>
        <w:pStyle w:val="Compact"/>
      </w:pPr>
      <w:r>
        <w:rPr>
          <w:b/>
        </w:rPr>
        <w:t xml:space="preserve">Resource-Based + Outcome-Based:</w:t>
      </w:r>
      <w:r>
        <w:t xml:space="preserve"> </w:t>
      </w:r>
      <w:r>
        <w:t xml:space="preserve">This complex hybrid is more common for enterprise AI solutions or autonomous agents. A client might pay for the underlying compute resources (e.g., dedicated GPU instances, storage) required to run a custom AI model or agent, typically on a resource-hour basis. Additionally, a portion of the payment is tied to the measurable outcomes or performance metrics achieved by the AI.</w:t>
      </w:r>
    </w:p>
    <w:p>
      <w:pPr>
        <w:numPr>
          <w:ilvl w:val="0"/>
          <w:numId w:val="1010"/>
        </w:numPr>
        <w:pStyle w:val="Compact"/>
      </w:pPr>
      <w:r>
        <w:rPr>
          <w:b/>
        </w:rPr>
        <w:t xml:space="preserve">Example:</w:t>
      </w:r>
      <w:r>
        <w:t xml:space="preserve"> </w:t>
      </w:r>
      <w:r>
        <w:t xml:space="preserve">An AI-powered fraud detection system might charge for the dedicated cloud compute resources it utilizes for real-time analysis, plus a percentage of the fraudulent transactions it successfully prevents. This ensures the client pays for the infrastructure required and also for the direct value generated by the AI’s performance (Unknown, 2023). This model is particularly relevant for high-value, high-impact AI applications where the</w:t>
      </w:r>
      <w:r>
        <w:t xml:space="preserve"> </w:t>
      </w:r>
      <w:r>
        <w:t xml:space="preserve">“</w:t>
      </w:r>
      <w:r>
        <w:t xml:space="preserve">cost of failure</w:t>
      </w:r>
      <w:r>
        <w:t xml:space="preserve">”</w:t>
      </w:r>
      <w:r>
        <w:t xml:space="preserve"> </w:t>
      </w:r>
      <w:r>
        <w:t xml:space="preserve">is significant.</w:t>
      </w:r>
    </w:p>
    <w:p>
      <w:pPr>
        <w:numPr>
          <w:ilvl w:val="0"/>
          <w:numId w:val="1011"/>
        </w:numPr>
        <w:pStyle w:val="Compact"/>
      </w:pPr>
      <w:r>
        <w:rPr>
          <w:b/>
        </w:rPr>
        <w:t xml:space="preserve">Tiered Access + Role-Based Pricing:</w:t>
      </w:r>
      <w:r>
        <w:t xml:space="preserve"> </w:t>
      </w:r>
      <w:r>
        <w:t xml:space="preserve">This model combines subscription tiers with pricing based on the number and type of users accessing the AI platform. Different user roles might have different access levels and associated costs.</w:t>
      </w:r>
    </w:p>
    <w:p>
      <w:pPr>
        <w:numPr>
          <w:ilvl w:val="0"/>
          <w:numId w:val="1012"/>
        </w:numPr>
        <w:pStyle w:val="Compact"/>
      </w:pPr>
      <w:r>
        <w:rPr>
          <w:b/>
        </w:rPr>
        <w:t xml:space="preserve">Example:</w:t>
      </w:r>
      <w:r>
        <w:t xml:space="preserve"> </w:t>
      </w:r>
      <w:r>
        <w:t xml:space="preserve">An AI-driven project management tool might have an</w:t>
      </w:r>
      <w:r>
        <w:t xml:space="preserve"> </w:t>
      </w:r>
      <w:r>
        <w:rPr>
          <w:rStyle w:val="VerbatimChar"/>
        </w:rPr>
        <w:t xml:space="preserve">Individual</w:t>
      </w:r>
      <w:r>
        <w:t xml:space="preserve"> </w:t>
      </w:r>
      <w:r>
        <w:t xml:space="preserve">plan (single user, basic AI features), a</w:t>
      </w:r>
      <w:r>
        <w:t xml:space="preserve"> </w:t>
      </w:r>
      <w:r>
        <w:rPr>
          <w:rStyle w:val="VerbatimChar"/>
        </w:rPr>
        <w:t xml:space="preserve">Team</w:t>
      </w:r>
      <w:r>
        <w:t xml:space="preserve"> </w:t>
      </w:r>
      <w:r>
        <w:t xml:space="preserve">plan (multiple users, collaborative AI features, higher subscription), and an</w:t>
      </w:r>
      <w:r>
        <w:t xml:space="preserve"> </w:t>
      </w:r>
      <w:r>
        <w:rPr>
          <w:rStyle w:val="VerbatimChar"/>
        </w:rPr>
        <w:t xml:space="preserve">Enterprise</w:t>
      </w:r>
      <w:r>
        <w:t xml:space="preserve"> </w:t>
      </w:r>
      <w:r>
        <w:t xml:space="preserve">plan (unlimited users, advanced AI agents for task automation, custom integrations, highest subscription). Within the</w:t>
      </w:r>
      <w:r>
        <w:t xml:space="preserve"> </w:t>
      </w:r>
      <w:r>
        <w:rPr>
          <w:rStyle w:val="VerbatimChar"/>
        </w:rPr>
        <w:t xml:space="preserve">Team</w:t>
      </w:r>
      <w:r>
        <w:t xml:space="preserve"> </w:t>
      </w:r>
      <w:r>
        <w:t xml:space="preserve">or</w:t>
      </w:r>
      <w:r>
        <w:t xml:space="preserve"> </w:t>
      </w:r>
      <w:r>
        <w:rPr>
          <w:rStyle w:val="VerbatimChar"/>
        </w:rPr>
        <w:t xml:space="preserve">Enterprise</w:t>
      </w:r>
      <w:r>
        <w:t xml:space="preserve"> </w:t>
      </w:r>
      <w:r>
        <w:t xml:space="preserve">plans, specific AI agent features might have additional per-task or per-outcome charges. This is prevalent in business software where AI augments human workflows (Gartner, 2024).</w:t>
      </w:r>
    </w:p>
    <w:p>
      <w:pPr>
        <w:pStyle w:val="FirstParagraph"/>
      </w:pPr>
      <w:r>
        <w:t xml:space="preserve">These examples illustrate the flexibility and strategic depth of hybrid models, allowing providers to tailor their monetization strategies to specific market segments, technical capabilities, and value propositions.</w:t>
      </w:r>
    </w:p>
    <w:p>
      <w:pPr>
        <w:pStyle w:val="Heading3"/>
      </w:pPr>
      <w:bookmarkStart w:id="78" w:name="X4f3bd3693321c252b9e59de29fad74af38176fa"/>
      <w:r>
        <w:t xml:space="preserve">Components and Benefits of Hybrid AI Pricing Models</w:t>
      </w:r>
      <w:bookmarkEnd w:id="78"/>
    </w:p>
    <w:p>
      <w:pPr>
        <w:pStyle w:val="FirstParagraph"/>
      </w:pPr>
      <w:r>
        <w:t xml:space="preserve">Hybrid pricing models combine different elements to offer enhanced flexibility and value alignment. This table breaks down common components and their respective benefits for providers and users.</w:t>
      </w:r>
    </w:p>
    <w:p>
      <w:pPr>
        <w:pStyle w:val="BodyText"/>
      </w:pPr>
      <w:r>
        <w:rPr>
          <w:b/>
        </w:rPr>
        <w:t xml:space="preserve">Table 4: Hybrid AI Pricing Model Components and Benefits</w:t>
      </w:r>
    </w:p>
    <w:tbl>
      <w:tblPr>
        <w:tblStyle w:val="Table"/>
        <w:tblW w:type="pct" w:w="5000.0"/>
        <w:tblLook w:firstRow="1"/>
      </w:tblPr>
      <w:tblGrid>
        <w:gridCol w:w="1149"/>
        <w:gridCol w:w="1916"/>
        <w:gridCol w:w="1660"/>
        <w:gridCol w:w="1852"/>
        <w:gridCol w:w="1341"/>
      </w:tblGrid>
      <w:tr>
        <w:trPr>
          <w:cnfStyle w:firstRow="1"/>
        </w:trPr>
        <w:tc>
          <w:tcPr>
            <w:tcBorders>
              <w:bottom w:val="single"/>
            </w:tcBorders>
            <w:vAlign w:val="bottom"/>
          </w:tcPr>
          <w:p>
            <w:pPr>
              <w:pStyle w:val="Compact"/>
              <w:jc w:val="left"/>
            </w:pPr>
            <w:r>
              <w:t xml:space="preserve">Hybrid Component</w:t>
            </w:r>
          </w:p>
        </w:tc>
        <w:tc>
          <w:tcPr>
            <w:tcBorders>
              <w:bottom w:val="single"/>
            </w:tcBorders>
            <w:vAlign w:val="bottom"/>
          </w:tcPr>
          <w:p>
            <w:pPr>
              <w:pStyle w:val="Compact"/>
              <w:jc w:val="left"/>
            </w:pPr>
            <w:r>
              <w:t xml:space="preserve">Provider Benefit</w:t>
            </w:r>
          </w:p>
        </w:tc>
        <w:tc>
          <w:tcPr>
            <w:tcBorders>
              <w:bottom w:val="single"/>
            </w:tcBorders>
            <w:vAlign w:val="bottom"/>
          </w:tcPr>
          <w:p>
            <w:pPr>
              <w:pStyle w:val="Compact"/>
              <w:jc w:val="left"/>
            </w:pPr>
            <w:r>
              <w:t xml:space="preserve">User Benefit</w:t>
            </w:r>
          </w:p>
        </w:tc>
        <w:tc>
          <w:tcPr>
            <w:tcBorders>
              <w:bottom w:val="single"/>
            </w:tcBorders>
            <w:vAlign w:val="bottom"/>
          </w:tcPr>
          <w:p>
            <w:pPr>
              <w:pStyle w:val="Compact"/>
              <w:jc w:val="left"/>
            </w:pPr>
            <w:r>
              <w:t xml:space="preserve">Example Combination</w:t>
            </w:r>
          </w:p>
        </w:tc>
        <w:tc>
          <w:tcPr>
            <w:tcBorders>
              <w:bottom w:val="single"/>
            </w:tcBorders>
            <w:vAlign w:val="bottom"/>
          </w:tcPr>
          <w:p>
            <w:pPr>
              <w:pStyle w:val="Compact"/>
              <w:jc w:val="left"/>
            </w:pPr>
            <w:r>
              <w:t xml:space="preserve">Key Focus</w:t>
            </w:r>
          </w:p>
        </w:tc>
      </w:tr>
      <w:tr>
        <w:tc>
          <w:p>
            <w:pPr>
              <w:pStyle w:val="Compact"/>
              <w:jc w:val="left"/>
            </w:pPr>
            <w:r>
              <w:rPr>
                <w:b/>
              </w:rPr>
              <w:t xml:space="preserve">Base Fee</w:t>
            </w:r>
          </w:p>
        </w:tc>
        <w:tc>
          <w:p>
            <w:pPr>
              <w:pStyle w:val="Compact"/>
              <w:jc w:val="left"/>
            </w:pPr>
            <w:r>
              <w:t xml:space="preserve">Stable recurring revenue</w:t>
            </w:r>
          </w:p>
        </w:tc>
        <w:tc>
          <w:p>
            <w:pPr>
              <w:pStyle w:val="Compact"/>
              <w:jc w:val="left"/>
            </w:pPr>
            <w:r>
              <w:t xml:space="preserve">Predictable baseline cost</w:t>
            </w:r>
          </w:p>
        </w:tc>
        <w:tc>
          <w:p>
            <w:pPr>
              <w:pStyle w:val="Compact"/>
              <w:jc w:val="left"/>
            </w:pPr>
            <w:r>
              <w:t xml:space="preserve">Subscription + Usage Overage</w:t>
            </w:r>
          </w:p>
        </w:tc>
        <w:tc>
          <w:p>
            <w:pPr>
              <w:pStyle w:val="Compact"/>
              <w:jc w:val="left"/>
            </w:pPr>
            <w:r>
              <w:t xml:space="preserve">Access &amp; Predictability</w:t>
            </w:r>
          </w:p>
        </w:tc>
      </w:tr>
      <w:tr>
        <w:tc>
          <w:p>
            <w:pPr>
              <w:pStyle w:val="Compact"/>
              <w:jc w:val="left"/>
            </w:pPr>
            <w:r>
              <w:rPr>
                <w:b/>
              </w:rPr>
              <w:t xml:space="preserve">Usage-Based</w:t>
            </w:r>
          </w:p>
        </w:tc>
        <w:tc>
          <w:p>
            <w:pPr>
              <w:pStyle w:val="Compact"/>
              <w:jc w:val="left"/>
            </w:pPr>
            <w:r>
              <w:t xml:space="preserve">Scales revenue with consumption</w:t>
            </w:r>
          </w:p>
        </w:tc>
        <w:tc>
          <w:p>
            <w:pPr>
              <w:pStyle w:val="Compact"/>
              <w:jc w:val="left"/>
            </w:pPr>
            <w:r>
              <w:t xml:space="preserve">Pay-for-what-you-use</w:t>
            </w:r>
          </w:p>
        </w:tc>
        <w:tc>
          <w:p>
            <w:pPr>
              <w:pStyle w:val="Compact"/>
              <w:jc w:val="left"/>
            </w:pPr>
            <w:r>
              <w:t xml:space="preserve">Subscription + Usage Overage</w:t>
            </w:r>
          </w:p>
        </w:tc>
        <w:tc>
          <w:p>
            <w:pPr>
              <w:pStyle w:val="Compact"/>
              <w:jc w:val="left"/>
            </w:pPr>
            <w:r>
              <w:t xml:space="preserve">Scalability &amp; Efficiency</w:t>
            </w:r>
          </w:p>
        </w:tc>
      </w:tr>
      <w:tr>
        <w:tc>
          <w:p>
            <w:pPr>
              <w:pStyle w:val="Compact"/>
              <w:jc w:val="left"/>
            </w:pPr>
            <w:r>
              <w:rPr>
                <w:b/>
              </w:rPr>
              <w:t xml:space="preserve">Feature Tiers</w:t>
            </w:r>
          </w:p>
        </w:tc>
        <w:tc>
          <w:p>
            <w:pPr>
              <w:pStyle w:val="Compact"/>
              <w:jc w:val="left"/>
            </w:pPr>
            <w:r>
              <w:t xml:space="preserve">Market segmentation, upsell</w:t>
            </w:r>
          </w:p>
        </w:tc>
        <w:tc>
          <w:p>
            <w:pPr>
              <w:pStyle w:val="Compact"/>
              <w:jc w:val="left"/>
            </w:pPr>
            <w:r>
              <w:t xml:space="preserve">Clear value progression</w:t>
            </w:r>
          </w:p>
        </w:tc>
        <w:tc>
          <w:p>
            <w:pPr>
              <w:pStyle w:val="Compact"/>
              <w:jc w:val="left"/>
            </w:pPr>
            <w:r>
              <w:t xml:space="preserve">Feature Tiers + Transactional</w:t>
            </w:r>
          </w:p>
        </w:tc>
        <w:tc>
          <w:p>
            <w:pPr>
              <w:pStyle w:val="Compact"/>
              <w:jc w:val="left"/>
            </w:pPr>
            <w:r>
              <w:t xml:space="preserve">Functionality &amp; Growth</w:t>
            </w:r>
          </w:p>
        </w:tc>
      </w:tr>
      <w:tr>
        <w:tc>
          <w:p>
            <w:pPr>
              <w:pStyle w:val="Compact"/>
              <w:jc w:val="left"/>
            </w:pPr>
            <w:r>
              <w:rPr>
                <w:b/>
              </w:rPr>
              <w:t xml:space="preserve">Outcome-Based</w:t>
            </w:r>
          </w:p>
        </w:tc>
        <w:tc>
          <w:p>
            <w:pPr>
              <w:pStyle w:val="Compact"/>
              <w:jc w:val="left"/>
            </w:pPr>
            <w:r>
              <w:t xml:space="preserve">Incentivizes performance</w:t>
            </w:r>
          </w:p>
        </w:tc>
        <w:tc>
          <w:p>
            <w:pPr>
              <w:pStyle w:val="Compact"/>
              <w:jc w:val="left"/>
            </w:pPr>
            <w:r>
              <w:t xml:space="preserve">Direct ROI, reduced risk</w:t>
            </w:r>
          </w:p>
        </w:tc>
        <w:tc>
          <w:p>
            <w:pPr>
              <w:pStyle w:val="Compact"/>
              <w:jc w:val="left"/>
            </w:pPr>
            <w:r>
              <w:t xml:space="preserve">Resource-Based + Outcome</w:t>
            </w:r>
          </w:p>
        </w:tc>
        <w:tc>
          <w:p>
            <w:pPr>
              <w:pStyle w:val="Compact"/>
              <w:jc w:val="left"/>
            </w:pPr>
            <w:r>
              <w:t xml:space="preserve">Value &amp; Performance</w:t>
            </w:r>
          </w:p>
        </w:tc>
      </w:tr>
      <w:tr>
        <w:tc>
          <w:p>
            <w:pPr>
              <w:pStyle w:val="Compact"/>
              <w:jc w:val="left"/>
            </w:pPr>
            <w:r>
              <w:rPr>
                <w:b/>
              </w:rPr>
              <w:t xml:space="preserve">Resource-Based</w:t>
            </w:r>
          </w:p>
        </w:tc>
        <w:tc>
          <w:p>
            <w:pPr>
              <w:pStyle w:val="Compact"/>
              <w:jc w:val="left"/>
            </w:pPr>
            <w:r>
              <w:t xml:space="preserve">Cost recovery for infra</w:t>
            </w:r>
          </w:p>
        </w:tc>
        <w:tc>
          <w:p>
            <w:pPr>
              <w:pStyle w:val="Compact"/>
              <w:jc w:val="left"/>
            </w:pPr>
            <w:r>
              <w:t xml:space="preserve">Control over infra cost</w:t>
            </w:r>
          </w:p>
        </w:tc>
        <w:tc>
          <w:p>
            <w:pPr>
              <w:pStyle w:val="Compact"/>
              <w:jc w:val="left"/>
            </w:pPr>
            <w:r>
              <w:t xml:space="preserve">Resource-Based + Outcome</w:t>
            </w:r>
          </w:p>
        </w:tc>
        <w:tc>
          <w:p>
            <w:pPr>
              <w:pStyle w:val="Compact"/>
              <w:jc w:val="left"/>
            </w:pPr>
            <w:r>
              <w:t xml:space="preserve">Infrastructure &amp; Control</w:t>
            </w:r>
          </w:p>
        </w:tc>
      </w:tr>
    </w:tbl>
    <w:p>
      <w:pPr>
        <w:pStyle w:val="BodyText"/>
      </w:pPr>
      <w:r>
        <w:rPr>
          <w:i/>
        </w:rPr>
        <w:t xml:space="preserve">Note: Hybrid models are designed to mitigate the disadvantages of single pricing strategies by leveraging the strengths of multiple components, creating a more balanced and adaptable monetization approach.</w:t>
      </w:r>
    </w:p>
    <w:p>
      <w:pPr>
        <w:pStyle w:val="Heading3"/>
      </w:pPr>
      <w:bookmarkStart w:id="79" w:name="designing-effective-hybrid-models"/>
      <w:r>
        <w:rPr>
          <w:i/>
          <w:b/>
        </w:rPr>
        <w:t xml:space="preserve">4.4.3 Designing Effective Hybrid Models</w:t>
      </w:r>
      <w:bookmarkEnd w:id="79"/>
    </w:p>
    <w:p>
      <w:pPr>
        <w:pStyle w:val="FirstParagraph"/>
      </w:pPr>
      <w:r>
        <w:t xml:space="preserve">Designing an effective hybrid pricing model for AI services requires careful consideration of several key factors to ensure it is fair, transparent, and sustainable for both providers and users (NIST, 2023). The goal is to maximize value capture while minimizing friction and confusion for the customer.</w:t>
      </w:r>
    </w:p>
    <w:p>
      <w:pPr>
        <w:numPr>
          <w:ilvl w:val="0"/>
          <w:numId w:val="1013"/>
        </w:numPr>
      </w:pPr>
      <w:r>
        <w:rPr>
          <w:b/>
        </w:rPr>
        <w:t xml:space="preserve">Identify Core Value Metrics:</w:t>
      </w:r>
      <w:r>
        <w:t xml:space="preserve"> </w:t>
      </w:r>
      <w:r>
        <w:t xml:space="preserve">The first step is to clearly define what constitutes value for the customer. Is it computational power (tokens, compute hours), specific features, problem resolution, or measurable business outcomes? A hybrid model should combine metrics that directly reflect these different facets of value. For instance, if the core value is</w:t>
      </w:r>
      <w:r>
        <w:t xml:space="preserve"> </w:t>
      </w:r>
      <w:r>
        <w:t xml:space="preserve">“</w:t>
      </w:r>
      <w:r>
        <w:t xml:space="preserve">AI assistance,</w:t>
      </w:r>
      <w:r>
        <w:t xml:space="preserve">”</w:t>
      </w:r>
      <w:r>
        <w:t xml:space="preserve"> </w:t>
      </w:r>
      <w:r>
        <w:t xml:space="preserve">a subscription might cover basic access, while</w:t>
      </w:r>
      <w:r>
        <w:t xml:space="preserve"> </w:t>
      </w:r>
      <w:r>
        <w:t xml:space="preserve">“</w:t>
      </w:r>
      <w:r>
        <w:t xml:space="preserve">AI-driven efficiency</w:t>
      </w:r>
      <w:r>
        <w:t xml:space="preserve">”</w:t>
      </w:r>
      <w:r>
        <w:t xml:space="preserve"> </w:t>
      </w:r>
      <w:r>
        <w:t xml:space="preserve">might be tied to usage or outcomes (BCG, 2023).</w:t>
      </w:r>
    </w:p>
    <w:p>
      <w:pPr>
        <w:numPr>
          <w:ilvl w:val="0"/>
          <w:numId w:val="1013"/>
        </w:numPr>
      </w:pPr>
      <w:r>
        <w:rPr>
          <w:b/>
        </w:rPr>
        <w:t xml:space="preserve">Ensure Transparency and Simplicity:</w:t>
      </w:r>
      <w:r>
        <w:t xml:space="preserve"> </w:t>
      </w:r>
      <w:r>
        <w:t xml:space="preserve">While hybrid models are inherently more complex than single models, they must remain transparent and understandable. Users need to clearly see how their actions translate into costs. This requires clear documentation, intuitive dashboards for cost monitoring, and easily accessible pricing calculators. Overly convoluted models can lead to</w:t>
      </w:r>
      <w:r>
        <w:t xml:space="preserve"> </w:t>
      </w:r>
      <w:r>
        <w:t xml:space="preserve">“</w:t>
      </w:r>
      <w:r>
        <w:t xml:space="preserve">bill shock</w:t>
      </w:r>
      <w:r>
        <w:t xml:space="preserve">”</w:t>
      </w:r>
      <w:r>
        <w:t xml:space="preserve"> </w:t>
      </w:r>
      <w:r>
        <w:t xml:space="preserve">and erode trust, hindering adoption (European Commission, 2024).</w:t>
      </w:r>
    </w:p>
    <w:p>
      <w:pPr>
        <w:numPr>
          <w:ilvl w:val="0"/>
          <w:numId w:val="1013"/>
        </w:numPr>
      </w:pPr>
      <w:r>
        <w:rPr>
          <w:b/>
        </w:rPr>
        <w:t xml:space="preserve">Balance Predictability and Flexibility:</w:t>
      </w:r>
      <w:r>
        <w:t xml:space="preserve"> </w:t>
      </w:r>
      <w:r>
        <w:t xml:space="preserve">A well-designed hybrid model strikes a balance between offering predictable base costs (through subscriptions or allowances) and providing the flexibility to scale usage up or down as needed (through usage-based components). This ensures that customers can budget effectively while also adapting to fluctuating demands without penalty.</w:t>
      </w:r>
    </w:p>
    <w:p>
      <w:pPr>
        <w:numPr>
          <w:ilvl w:val="0"/>
          <w:numId w:val="1013"/>
        </w:numPr>
      </w:pPr>
      <w:r>
        <w:rPr>
          <w:b/>
        </w:rPr>
        <w:t xml:space="preserve">Strategic Tier Differentiation:</w:t>
      </w:r>
      <w:r>
        <w:t xml:space="preserve"> </w:t>
      </w:r>
      <w:r>
        <w:t xml:space="preserve">If using tiered components, each tier must offer a distinct and compelling value proposition. The jump from one tier to the next should provide clear benefits (e.g., more powerful models, higher limits, exclusive features) that justify the increased cost. Avoid</w:t>
      </w:r>
      <w:r>
        <w:t xml:space="preserve"> </w:t>
      </w:r>
      <w:r>
        <w:t xml:space="preserve">“</w:t>
      </w:r>
      <w:r>
        <w:t xml:space="preserve">feature bloat</w:t>
      </w:r>
      <w:r>
        <w:t xml:space="preserve">”</w:t>
      </w:r>
      <w:r>
        <w:t xml:space="preserve"> </w:t>
      </w:r>
      <w:r>
        <w:t xml:space="preserve">where users pay for many features they don’t need, and ensure that essential features are accessible at lower tiers.</w:t>
      </w:r>
    </w:p>
    <w:p>
      <w:pPr>
        <w:numPr>
          <w:ilvl w:val="0"/>
          <w:numId w:val="1013"/>
        </w:numPr>
      </w:pPr>
      <w:r>
        <w:rPr>
          <w:b/>
        </w:rPr>
        <w:t xml:space="preserve">Scalability and Future-Proofing:</w:t>
      </w:r>
      <w:r>
        <w:t xml:space="preserve"> </w:t>
      </w:r>
      <w:r>
        <w:t xml:space="preserve">The model should be scalable to accommodate growth in user base and usage volume without requiring a complete overhaul. It should also be flexible enough to incorporate new AI capabilities and models as they emerge, allowing for dynamic adjustments without disrupting existing customer relationships (Unknown, 2024). This means designing components that can be independently updated or added.</w:t>
      </w:r>
    </w:p>
    <w:p>
      <w:pPr>
        <w:numPr>
          <w:ilvl w:val="0"/>
          <w:numId w:val="1013"/>
        </w:numPr>
      </w:pPr>
      <w:r>
        <w:rPr>
          <w:b/>
        </w:rPr>
        <w:t xml:space="preserve">Consider Market Dynamics and Competition:</w:t>
      </w:r>
      <w:r>
        <w:t xml:space="preserve"> </w:t>
      </w:r>
      <w:r>
        <w:t xml:space="preserve">Pricing decisions must be informed by the competitive landscape. How are competitors pricing similar services? What are the market’s price sensitivities? A hybrid model can be strategically positioned to offer a competitive edge, perhaps by offering a more generous free tier, more flexible usage options, or more compelling bundled features (Unknown, 2023).</w:t>
      </w:r>
    </w:p>
    <w:p>
      <w:pPr>
        <w:numPr>
          <w:ilvl w:val="0"/>
          <w:numId w:val="1013"/>
        </w:numPr>
      </w:pPr>
      <w:r>
        <w:rPr>
          <w:b/>
        </w:rPr>
        <w:t xml:space="preserve">Iterate and Optimize:</w:t>
      </w:r>
      <w:r>
        <w:t xml:space="preserve"> </w:t>
      </w:r>
      <w:r>
        <w:t xml:space="preserve">Pricing is not a one-time decision. Effective hybrid models are continuously monitored, evaluated, and optimized based on user feedback, usage data, and market performance. A/B testing different pricing components or conducting customer surveys can provide valuable insights for refinement.</w:t>
      </w:r>
    </w:p>
    <w:p>
      <w:pPr>
        <w:pStyle w:val="FirstParagraph"/>
      </w:pPr>
      <w:r>
        <w:t xml:space="preserve">By carefully considering these factors, providers can design hybrid pricing models that not only drive revenue but also foster strong customer relationships and accelerate the adoption of their AI services.</w:t>
      </w:r>
    </w:p>
    <w:p>
      <w:pPr>
        <w:pStyle w:val="Heading3"/>
      </w:pPr>
      <w:bookmarkStart w:id="80" w:name="role-of-agentic-ai-in-future-pricing"/>
      <w:r>
        <w:rPr>
          <w:i/>
          <w:b/>
        </w:rPr>
        <w:t xml:space="preserve">4.4.4 Role of Agentic AI in Future Pricing</w:t>
      </w:r>
      <w:bookmarkEnd w:id="80"/>
    </w:p>
    <w:p>
      <w:pPr>
        <w:pStyle w:val="FirstParagraph"/>
      </w:pPr>
      <w:r>
        <w:t xml:space="preserve">The emergence of autonomous AI agents, capable of performing complex tasks, making decisions, and even interacting with other agents without constant human oversight, is poised to profoundly transform future pricing models for AI services (Unknown, 2023)(Gartner, 2024). Agentic AI introduces new dimensions of value creation and consumption, necessitating innovative monetization strategies.</w:t>
      </w:r>
    </w:p>
    <w:p>
      <w:pPr>
        <w:numPr>
          <w:ilvl w:val="0"/>
          <w:numId w:val="1014"/>
        </w:numPr>
      </w:pPr>
      <w:r>
        <w:rPr>
          <w:b/>
        </w:rPr>
        <w:t xml:space="preserve">Value Negotiation and Dynamic Pricing:</w:t>
      </w:r>
      <w:r>
        <w:t xml:space="preserve"> </w:t>
      </w:r>
      <w:r>
        <w:t xml:space="preserve">Autonomous agents could engage in real-time value negotiation. An agent tasked with, say, optimizing cloud resource allocation might dynamically bid for compute resources or negotiate service levels with different AI providers based on cost, performance, and current demand. This could lead to highly dynamic, market-driven pricing where prices fluctuate based on real-time supply and demand, as well as the perceived value of the agent’s task (Unknown, 2023). This moves beyond static pricing into a truly adaptive economic model.</w:t>
      </w:r>
    </w:p>
    <w:p>
      <w:pPr>
        <w:numPr>
          <w:ilvl w:val="0"/>
          <w:numId w:val="1014"/>
        </w:numPr>
      </w:pPr>
      <w:r>
        <w:rPr>
          <w:b/>
        </w:rPr>
        <w:t xml:space="preserve">Outcome-Based Pricing as a Default:</w:t>
      </w:r>
      <w:r>
        <w:t xml:space="preserve"> </w:t>
      </w:r>
      <w:r>
        <w:t xml:space="preserve">For agentic AI, outcome-based pricing is likely to become a more prevalent model. Since agents are designed to achieve specific goals (e.g.,</w:t>
      </w:r>
      <w:r>
        <w:t xml:space="preserve"> </w:t>
      </w:r>
      <w:r>
        <w:t xml:space="preserve">“</w:t>
      </w:r>
      <w:r>
        <w:t xml:space="preserve">increase sales by X%</w:t>
      </w:r>
      <w:r>
        <w:t xml:space="preserve">”</w:t>
      </w:r>
      <w:r>
        <w:t xml:space="preserve">,</w:t>
      </w:r>
      <w:r>
        <w:t xml:space="preserve"> </w:t>
      </w:r>
      <w:r>
        <w:t xml:space="preserve">“</w:t>
      </w:r>
      <w:r>
        <w:t xml:space="preserve">reduce operational costs by Y%</w:t>
      </w:r>
      <w:r>
        <w:t xml:space="preserve">”</w:t>
      </w:r>
      <w:r>
        <w:t xml:space="preserve">), their value is directly tied to these measurable outcomes. Providers of agentic AI may increasingly charge based on the successful completion of tasks, the achievement of KPIs, or a share of the value generated by the agent (Unknown, 2024). This shifts the focus from resource consumption to the agent’s actual performance and impact.</w:t>
      </w:r>
    </w:p>
    <w:p>
      <w:pPr>
        <w:numPr>
          <w:ilvl w:val="0"/>
          <w:numId w:val="1014"/>
        </w:numPr>
      </w:pPr>
      <w:r>
        <w:rPr>
          <w:b/>
        </w:rPr>
        <w:t xml:space="preserve">Micro-Transactions and Agent-to-Agent Economies:</w:t>
      </w:r>
      <w:r>
        <w:t xml:space="preserve"> </w:t>
      </w:r>
      <w:r>
        <w:t xml:space="preserve">As AI agents interact with each other and consume various sub-services (e.g., calling a vision API, a natural language API, a data retrieval service), a micro-transaction economy could emerge. Agents might pay small, granular fees for each sub-task performed by another AI service, leading to highly fragmented but precise billing. This would necessitate robust metering, secure payment mechanisms, and standardized protocols for inter-agent commerce (Unknown, 2022).</w:t>
      </w:r>
    </w:p>
    <w:p>
      <w:pPr>
        <w:numPr>
          <w:ilvl w:val="0"/>
          <w:numId w:val="1014"/>
        </w:numPr>
      </w:pPr>
      <w:r>
        <w:rPr>
          <w:b/>
        </w:rPr>
        <w:t xml:space="preserve">Reputation and Trust-Based Pricing:</w:t>
      </w:r>
      <w:r>
        <w:t xml:space="preserve"> </w:t>
      </w:r>
      <w:r>
        <w:t xml:space="preserve">In an ecosystem of autonomous agents, an agent’s reputation for reliability, accuracy, and ethical behavior could influence its pricing. Agents with a proven track record of delivering high-quality outcomes might command premium prices, while newer or less reliable agents might offer lower rates. This introduces a qualitative dimension to pricing, where trust and verifiable performance become economic factors (NIST, 2023)(WHO, 2023).</w:t>
      </w:r>
    </w:p>
    <w:p>
      <w:pPr>
        <w:numPr>
          <w:ilvl w:val="0"/>
          <w:numId w:val="1014"/>
        </w:numPr>
      </w:pPr>
      <w:r>
        <w:rPr>
          <w:b/>
        </w:rPr>
        <w:t xml:space="preserve">Subscription for Agent Orchestration Platforms:</w:t>
      </w:r>
      <w:r>
        <w:t xml:space="preserve"> </w:t>
      </w:r>
      <w:r>
        <w:t xml:space="preserve">While individual agents might be outcome- or micro-transaction-priced, the platforms that enable the creation, deployment, and orchestration of these agents could be monetized via subscription models. These platforms would offer features for agent management, monitoring, security, and integration, providing a stable revenue stream for the underlying infrastructure (Gartner, 2024).</w:t>
      </w:r>
    </w:p>
    <w:p>
      <w:pPr>
        <w:numPr>
          <w:ilvl w:val="0"/>
          <w:numId w:val="1014"/>
        </w:numPr>
      </w:pPr>
      <w:r>
        <w:rPr>
          <w:b/>
        </w:rPr>
        <w:t xml:space="preserve">Ethical Implications for Agent Pricing:</w:t>
      </w:r>
      <w:r>
        <w:t xml:space="preserve"> </w:t>
      </w:r>
      <w:r>
        <w:t xml:space="preserve">The pricing of agentic AI also raises significant ethical questions. If an agent’s payment is tied to an outcome, could it be incentivized to achieve that outcome at any cost, potentially compromising ethical guidelines or user safety? Regulatory frameworks, such as the EU AI Act, will need to address these ethical dimensions in the context of commercial models, ensuring that pricing mechanisms do not create perverse incentives for autonomous systems (European Commission, 2024)(Unknown, 2023).</w:t>
      </w:r>
    </w:p>
    <w:p>
      <w:pPr>
        <w:pStyle w:val="FirstParagraph"/>
      </w:pPr>
      <w:r>
        <w:t xml:space="preserve">The rise of agentic AI will fundamentally challenge existing notions of AI value and pricing. It will necessitate a shift towards more dynamic, outcome-oriented, and potentially inter-agent economic models, demanding sophisticated infrastructure for measurement, attribution, and secure transactions.</w:t>
      </w:r>
    </w:p>
    <w:p>
      <w:pPr>
        <w:pStyle w:val="Heading3"/>
      </w:pPr>
      <w:bookmarkStart w:id="81" w:name="agent-to-agent-micro-transaction-flow"/>
      <w:r>
        <w:t xml:space="preserve">Agent-to-Agent Micro-Transaction Flow</w:t>
      </w:r>
      <w:bookmarkEnd w:id="81"/>
    </w:p>
    <w:p>
      <w:pPr>
        <w:pStyle w:val="FirstParagraph"/>
      </w:pPr>
      <w:r>
        <w:t xml:space="preserve">This figure illustrates a simplified model of how autonomous AI agents might engage in micro-transactions within a decentralized AI economy, reflecting future pricing trends.</w:t>
      </w:r>
    </w:p>
    <w:p>
      <w:pPr>
        <w:pStyle w:val="BodyText"/>
      </w:pPr>
      <w:r>
        <w:rPr>
          <w:b/>
        </w:rPr>
        <w:t xml:space="preserve">Figure 2: Agent-to-Agent Micro-Transaction Flow</w:t>
      </w:r>
    </w:p>
    <w:p>
      <w:pPr>
        <w:pStyle w:val="SourceCode"/>
      </w:pPr>
      <w:r>
        <w:rPr>
          <w:rStyle w:val="VerbatimChar"/>
        </w:rPr>
        <w:t xml:space="preserve">+----------------+  +----------------+  +----------------+</w:t>
      </w:r>
      <w:r>
        <w:br/>
      </w:r>
      <w:r>
        <w:rPr>
          <w:rStyle w:val="VerbatimChar"/>
        </w:rPr>
        <w:t xml:space="preserve">| Initiating |  | Service |  | Data/Tool |</w:t>
      </w:r>
      <w:r>
        <w:br/>
      </w:r>
      <w:r>
        <w:rPr>
          <w:rStyle w:val="VerbatimChar"/>
        </w:rPr>
        <w:t xml:space="preserve">| Agent (Task) | ----&gt; | Provider | ----&gt; | API/Agent |</w:t>
      </w:r>
      <w:r>
        <w:br/>
      </w:r>
      <w:r>
        <w:rPr>
          <w:rStyle w:val="VerbatimChar"/>
        </w:rPr>
        <w:t xml:space="preserve">+----------------+| Agent (Compute) |  | (Specialized |</w:t>
      </w:r>
      <w:r>
        <w:br/>
      </w:r>
      <w:r>
        <w:rPr>
          <w:rStyle w:val="VerbatimChar"/>
        </w:rPr>
        <w:t xml:space="preserve"> ^  +--------+-------+ | Capability) |</w:t>
      </w:r>
      <w:r>
        <w:br/>
      </w:r>
      <w:r>
        <w:rPr>
          <w:rStyle w:val="VerbatimChar"/>
        </w:rPr>
        <w:t xml:space="preserve">  |  | +----------------+</w:t>
      </w:r>
      <w:r>
        <w:br/>
      </w:r>
      <w:r>
        <w:rPr>
          <w:rStyle w:val="VerbatimChar"/>
        </w:rPr>
        <w:t xml:space="preserve">  |  | ^</w:t>
      </w:r>
      <w:r>
        <w:br/>
      </w:r>
      <w:r>
        <w:rPr>
          <w:rStyle w:val="VerbatimChar"/>
        </w:rPr>
        <w:t xml:space="preserve">  | v |</w:t>
      </w:r>
      <w:r>
        <w:br/>
      </w:r>
      <w:r>
        <w:rPr>
          <w:rStyle w:val="VerbatimChar"/>
        </w:rPr>
        <w:t xml:space="preserve">  | +----------+----------+ |</w:t>
      </w:r>
      <w:r>
        <w:br/>
      </w:r>
      <w:r>
        <w:rPr>
          <w:rStyle w:val="VerbatimChar"/>
        </w:rPr>
        <w:t xml:space="preserve">  |  | Decentralized |  |</w:t>
      </w:r>
      <w:r>
        <w:br/>
      </w:r>
      <w:r>
        <w:rPr>
          <w:rStyle w:val="VerbatimChar"/>
        </w:rPr>
        <w:t xml:space="preserve">  |  | Payment Network | &lt;-----+</w:t>
      </w:r>
      <w:r>
        <w:br/>
      </w:r>
      <w:r>
        <w:rPr>
          <w:rStyle w:val="VerbatimChar"/>
        </w:rPr>
        <w:t xml:space="preserve">  |  | (e.g., Blockchain)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(Payment for Outcome/Service)</w:t>
      </w:r>
    </w:p>
    <w:p>
      <w:pPr>
        <w:pStyle w:val="FirstParagraph"/>
      </w:pPr>
      <w:r>
        <w:rPr>
          <w:i/>
        </w:rPr>
        <w:t xml:space="preserve">Note: This diagram shows an initiating agent requesting a service from a provider agent, which in turn might consume a specialized data or tool API/agent. All transactions for services and data are settled via a decentralized payment network, enabling granular, autonomous micro-payments between AI entities.</w:t>
      </w:r>
    </w:p>
    <w:p>
      <w:pPr>
        <w:pStyle w:val="Heading3"/>
      </w:pPr>
      <w:bookmarkStart w:id="82" w:name="X1b106715762f2a5b9ea3fa946bc89dcd46fae39"/>
      <w:r>
        <w:rPr>
          <w:i/>
          <w:b/>
        </w:rPr>
        <w:t xml:space="preserve">4.4.5 Regulatory and Ethical Considerations for Advanced Pricing</w:t>
      </w:r>
      <w:bookmarkEnd w:id="82"/>
    </w:p>
    <w:p>
      <w:pPr>
        <w:pStyle w:val="FirstParagraph"/>
      </w:pPr>
      <w:r>
        <w:t xml:space="preserve">As AI pricing models become more sophisticated, especially with the advent of hybrid and agentic AI monetization, the regulatory and ethical landscape gains increasing importance. Governments and international bodies are actively developing frameworks to govern AI, and these will inevitably impact how AI services are priced and delivered (European Commission, 2024)(Unknown, 2023).</w:t>
      </w:r>
    </w:p>
    <w:p>
      <w:pPr>
        <w:numPr>
          <w:ilvl w:val="0"/>
          <w:numId w:val="1015"/>
        </w:numPr>
      </w:pPr>
      <w:r>
        <w:rPr>
          <w:b/>
        </w:rPr>
        <w:t xml:space="preserve">Fairness and Non-Discrimination:</w:t>
      </w:r>
      <w:r>
        <w:t xml:space="preserve"> </w:t>
      </w:r>
      <w:r>
        <w:t xml:space="preserve">Regulatory bodies are concerned with ensuring that AI pricing does not lead to unfair or discriminatory practices. This includes preventing dynamic pricing that disproportionately disadvantages certain groups or regions, or pricing models that are opaque and exploit user vulnerabilities. The EU AI Act, for instance, emphasizes transparency and risk assessment, which extends to how AI services are made available and priced (European Commission, 2024). Providers will need to demonstrate that their pricing mechanisms are equitable and do not perpetuate or amplify existing biases.</w:t>
      </w:r>
    </w:p>
    <w:p>
      <w:pPr>
        <w:numPr>
          <w:ilvl w:val="0"/>
          <w:numId w:val="1015"/>
        </w:numPr>
      </w:pPr>
      <w:r>
        <w:rPr>
          <w:b/>
        </w:rPr>
        <w:t xml:space="preserve">Transparency and Explainability:</w:t>
      </w:r>
      <w:r>
        <w:t xml:space="preserve"> </w:t>
      </w:r>
      <w:r>
        <w:t xml:space="preserve">A key ethical and regulatory demand is for transparency in AI systems. This extends to pricing. Users must understand how costs are calculated, especially in complex hybrid or outcome-based models. Lack of transparency can lead to distrust,</w:t>
      </w:r>
      <w:r>
        <w:t xml:space="preserve"> </w:t>
      </w:r>
      <w:r>
        <w:t xml:space="preserve">“</w:t>
      </w:r>
      <w:r>
        <w:t xml:space="preserve">bill shock,</w:t>
      </w:r>
      <w:r>
        <w:t xml:space="preserve">”</w:t>
      </w:r>
      <w:r>
        <w:t xml:space="preserve"> </w:t>
      </w:r>
      <w:r>
        <w:t xml:space="preserve">and accusations of predatory pricing. Providers will need to offer clear methodologies, detailed billing breakdowns, and potentially explainable cost models to satisfy regulatory requirements and build user confidence (NIST, 2023).</w:t>
      </w:r>
    </w:p>
    <w:p>
      <w:pPr>
        <w:numPr>
          <w:ilvl w:val="0"/>
          <w:numId w:val="1015"/>
        </w:numPr>
      </w:pPr>
      <w:r>
        <w:rPr>
          <w:b/>
        </w:rPr>
        <w:t xml:space="preserve">Accountability and Liability in Outcome-Based Models:</w:t>
      </w:r>
      <w:r>
        <w:t xml:space="preserve"> </w:t>
      </w:r>
      <w:r>
        <w:t xml:space="preserve">If AI agents are priced based on outcomes, questions of accountability and liability become paramount. If an AI agent fails to achieve a promised outcome, or worse, causes harm while attempting to achieve it, who is responsible? The provider, the deployer, or the agent itself? Pricing models that tie directly to outcomes will need robust legal frameworks to define liability and ensure redress for failures or harms (Unknown, 2023). The WHO’s guidelines on AI ethics also touch upon the need for clear accountability in AI deployment (WHO, 2023).</w:t>
      </w:r>
    </w:p>
    <w:p>
      <w:pPr>
        <w:numPr>
          <w:ilvl w:val="0"/>
          <w:numId w:val="1015"/>
        </w:numPr>
      </w:pPr>
      <w:r>
        <w:rPr>
          <w:b/>
        </w:rPr>
        <w:t xml:space="preserve">Anti-Competitive Practices:</w:t>
      </w:r>
      <w:r>
        <w:t xml:space="preserve"> </w:t>
      </w:r>
      <w:r>
        <w:t xml:space="preserve">As the AI market consolidates, there’s a risk of anti-competitive pricing strategies. Large players might use their market power to bundle services in ways that stifle competition or engage in predatory pricing. Regulators will be vigilant in monitoring AI pricing to prevent monopolies and ensure a level playing field for innovation (Brookings, 2022)(Unknown, 2023). Pricing structures must be designed to promote, rather than hinder, fair competition.</w:t>
      </w:r>
    </w:p>
    <w:p>
      <w:pPr>
        <w:numPr>
          <w:ilvl w:val="0"/>
          <w:numId w:val="1015"/>
        </w:numPr>
      </w:pPr>
      <w:r>
        <w:rPr>
          <w:b/>
        </w:rPr>
        <w:t xml:space="preserve">Data Privacy and Monetization:</w:t>
      </w:r>
      <w:r>
        <w:t xml:space="preserve"> </w:t>
      </w:r>
      <w:r>
        <w:t xml:space="preserve">The collection and use of data are fundamental to AI, and often inform pricing (e.g., fine-tuning costs). Regulations like GDPR and CCPA impose strict rules on data handling. Pricing models that offer discounts for data sharing, or premium features for enhanced data privacy, will need to be carefully designed to comply with these regulations and respect user rights (European Commission, 2024). The ethical dimension of data monetization in AI services is a critical area of ongoing debate.</w:t>
      </w:r>
    </w:p>
    <w:p>
      <w:pPr>
        <w:numPr>
          <w:ilvl w:val="0"/>
          <w:numId w:val="1015"/>
        </w:numPr>
      </w:pPr>
      <w:r>
        <w:rPr>
          <w:b/>
        </w:rPr>
        <w:t xml:space="preserve">Ethical Pricing for Public Good AI:</w:t>
      </w:r>
      <w:r>
        <w:t xml:space="preserve"> </w:t>
      </w:r>
      <w:r>
        <w:t xml:space="preserve">There’s an ongoing discussion about whether AI services deployed for public good (e.g., in healthcare, education, environmental monitoring) should be priced differently, perhaps at subsidized rates or even made freely available. While not strictly a regulatory mandate, ethical guidelines from organizations like the WHO suggest that AI pricing should consider societal benefit, not just commercial gain (WHO, 2023). This could lead to differentiated pricing for non-profit organizations or public sector use.</w:t>
      </w:r>
    </w:p>
    <w:p>
      <w:pPr>
        <w:pStyle w:val="FirstParagraph"/>
      </w:pPr>
      <w:r>
        <w:t xml:space="preserve">Navigating these regulatory and ethical considerations will require AI providers to adopt a proactive and responsible approach to pricing, integrating legal compliance and ethical principles into the very design of their monetization strategies.</w:t>
      </w:r>
    </w:p>
    <w:p>
      <w:pPr>
        <w:pStyle w:val="Heading3"/>
      </w:pPr>
      <w:bookmarkStart w:id="83" w:name="future-outlook-and-research-gaps"/>
      <w:r>
        <w:rPr>
          <w:i/>
          <w:b/>
        </w:rPr>
        <w:t xml:space="preserve">4.4.6 Future Outlook and Research Gaps</w:t>
      </w:r>
      <w:bookmarkEnd w:id="83"/>
    </w:p>
    <w:p>
      <w:pPr>
        <w:pStyle w:val="FirstParagraph"/>
      </w:pPr>
      <w:r>
        <w:t xml:space="preserve">The trajectory of AI pricing is towards greater sophistication, dynamism, and alignment with the multifaceted value generated by AI. Looking ahead, several trends and significant research gaps emerge that will shape the future of AI monetization and its broader economic impact (BCG, 2023)(OECD, 2022)(Unknown, 2024).</w:t>
      </w:r>
    </w:p>
    <w:p>
      <w:pPr>
        <w:numPr>
          <w:ilvl w:val="0"/>
          <w:numId w:val="1016"/>
        </w:numPr>
      </w:pPr>
      <w:r>
        <w:rPr>
          <w:b/>
        </w:rPr>
        <w:t xml:space="preserve">Hyper-Personalized and Dynamic Pricing:</w:t>
      </w:r>
      <w:r>
        <w:t xml:space="preserve"> </w:t>
      </w:r>
      <w:r>
        <w:t xml:space="preserve">Future AI pricing models are likely to become hyper-personalized, dynamically adjusting prices in real-time based on individual user profiles, usage patterns, demand fluctuations, and even the specific context of an AI interaction. This would involve AI models themselves optimizing pricing strategies, akin to algorithmic trading but for AI services (Unknown, 2023). Research is needed into the ethical implications and regulatory challenges of such highly dynamic and personalized pricing.</w:t>
      </w:r>
    </w:p>
    <w:p>
      <w:pPr>
        <w:numPr>
          <w:ilvl w:val="0"/>
          <w:numId w:val="1016"/>
        </w:numPr>
      </w:pPr>
      <w:r>
        <w:rPr>
          <w:b/>
        </w:rPr>
        <w:t xml:space="preserve">Value-Based Pricing for General-Purpose AI:</w:t>
      </w:r>
      <w:r>
        <w:t xml:space="preserve"> </w:t>
      </w:r>
      <w:r>
        <w:t xml:space="preserve">While outcome-based pricing is currently more viable for specialized agents, future research may explore how to effectively implement value-based pricing for general-purpose LLMs. This would require robust methodologies for quantifying the intangible value generated by creative AI, enhanced productivity, or improved decision-making across diverse applications (RAND Corporation, 2021). Developing standardized metrics for</w:t>
      </w:r>
      <w:r>
        <w:t xml:space="preserve"> </w:t>
      </w:r>
      <w:r>
        <w:t xml:space="preserve">“</w:t>
      </w:r>
      <w:r>
        <w:t xml:space="preserve">AI-generated value</w:t>
      </w:r>
      <w:r>
        <w:t xml:space="preserve">”</w:t>
      </w:r>
      <w:r>
        <w:t xml:space="preserve"> </w:t>
      </w:r>
      <w:r>
        <w:t xml:space="preserve">is a significant research gap.</w:t>
      </w:r>
    </w:p>
    <w:p>
      <w:pPr>
        <w:numPr>
          <w:ilvl w:val="0"/>
          <w:numId w:val="1016"/>
        </w:numPr>
      </w:pPr>
      <w:r>
        <w:rPr>
          <w:b/>
        </w:rPr>
        <w:t xml:space="preserve">AI for Pricing Optimization:</w:t>
      </w:r>
      <w:r>
        <w:t xml:space="preserve"> </w:t>
      </w:r>
      <w:r>
        <w:t xml:space="preserve">Beyond agents negotiating prices, AI itself will play a crucial role in optimizing pricing strategies for AI services. Machine learning algorithms can analyze market data, user behavior, competitive pricing, and internal cost structures to recommend optimal price points, tiers, and hybrid combinations (Unknown, 2024). Research in this area could focus on developing robust, explainable AI models for pricing optimization that also adhere to ethical and fairness principles.</w:t>
      </w:r>
    </w:p>
    <w:p>
      <w:pPr>
        <w:numPr>
          <w:ilvl w:val="0"/>
          <w:numId w:val="1016"/>
        </w:numPr>
      </w:pPr>
      <w:r>
        <w:rPr>
          <w:b/>
        </w:rPr>
        <w:t xml:space="preserve">Decentralized AI Economies:</w:t>
      </w:r>
      <w:r>
        <w:t xml:space="preserve"> </w:t>
      </w:r>
      <w:r>
        <w:t xml:space="preserve">The rise of decentralized AI platforms and blockchain technologies could enable entirely new pricing paradigms. AI agents might operate within decentralized autonomous organizations (DAOs), earning and spending cryptocurrency for services, leading to fully autonomous, transparent, and potentially peer-to-peer AI service markets (Unknown, 2022). Research into the economic models, security, and governance of such decentralized AI economies is critical.</w:t>
      </w:r>
    </w:p>
    <w:p>
      <w:pPr>
        <w:numPr>
          <w:ilvl w:val="0"/>
          <w:numId w:val="1016"/>
        </w:numPr>
      </w:pPr>
      <w:r>
        <w:rPr>
          <w:b/>
        </w:rPr>
        <w:t xml:space="preserve">Standardization of Metrics:</w:t>
      </w:r>
      <w:r>
        <w:t xml:space="preserve"> </w:t>
      </w:r>
      <w:r>
        <w:t xml:space="preserve">The lack of universal standards for measuring AI usage (e.g., tokenization methods, character counts, computational units) complicates direct price comparisons and robust cost management. Future efforts will likely focus on developing standardized metrics for AI resource consumption and performance, potentially through industry consortia or international standards bodies like IEEE or NIST (IEEE, 2023)(NIST, 2023). This standardization would foster greater transparency and competition.</w:t>
      </w:r>
    </w:p>
    <w:p>
      <w:pPr>
        <w:numPr>
          <w:ilvl w:val="0"/>
          <w:numId w:val="1016"/>
        </w:numPr>
      </w:pPr>
      <w:r>
        <w:rPr>
          <w:b/>
        </w:rPr>
        <w:t xml:space="preserve">Long-Term Societal and Economic Impact:</w:t>
      </w:r>
      <w:r>
        <w:t xml:space="preserve"> </w:t>
      </w:r>
      <w:r>
        <w:t xml:space="preserve">The long-term economic and societal implications of increasingly sophisticated AI pricing models, especially those involving autonomous agents and value-based monetization, remain largely unexplored. How will these models affect wealth distribution, market concentration, and access to essential AI services? What are the macro-economic effects of AI-driven pricing on industries and labor markets? These broad questions require interdisciplinary research involving economists, sociologists, ethicists, and policymakers (OECD, 2022)(Brookings, 2022).</w:t>
      </w:r>
    </w:p>
    <w:p>
      <w:pPr>
        <w:pStyle w:val="FirstParagraph"/>
      </w:pPr>
      <w:r>
        <w:t xml:space="preserve">In conclusion, the evolution of AI pricing is a dynamic field that will continue to adapt to technological advancements, market demands, and regulatory pressures. The shift towards hybrid models, the increasing role of agentic AI, and the growing emphasis on ethical and transparent pricing underscore the complexity and strategic importance of this domain. Addressing the identified research gaps will be crucial for fostering a sustainable, equitable, and innovative AI ecosystem.</w:t>
      </w:r>
    </w:p>
    <w:p>
      <w:pPr>
        <w:pStyle w:val="Heading1"/>
      </w:pPr>
      <w:bookmarkStart w:id="84" w:name="discussion"/>
      <w:r>
        <w:t xml:space="preserve">Discussion</w:t>
      </w:r>
      <w:bookmarkEnd w:id="84"/>
    </w:p>
    <w:p>
      <w:pPr>
        <w:pStyle w:val="FirstParagraph"/>
      </w:pPr>
      <w:r>
        <w:t xml:space="preserve">The emergence of agentic artificial intelligence (AI) systems introduces profound shifts in the economic landscape, necessitating a re-evaluation of established pricing paradigms and value capture mechanisms. This discussion section delves into the multifaceted implications of agentic AI pricing models for various stakeholders, including AI companies, customers, and the broader market. It further explores anticipated future pricing trends and offers actionable recommendations for navigating this evolving domain. The transition from static, human-driven software to autonomous, goal-oriented agents fundamentally alters the nature of value creation and consumption, demanding sophisticated approaches to monetization that align with the unique characteristics of agentic behavior and utility (Unknown, 2023)(Gartner, 2024).</w:t>
      </w:r>
    </w:p>
    <w:p>
      <w:pPr>
        <w:pStyle w:val="Heading3"/>
      </w:pPr>
      <w:bookmarkStart w:id="85" w:name="implications-for-ai-companies"/>
      <w:r>
        <w:t xml:space="preserve">Implications for AI Companies</w:t>
      </w:r>
      <w:bookmarkEnd w:id="85"/>
    </w:p>
    <w:p>
      <w:pPr>
        <w:pStyle w:val="FirstParagraph"/>
      </w:pPr>
      <w:r>
        <w:t xml:space="preserve">The advent of agentic AI presents both unprecedented opportunities and significant strategic challenges for AI companies, compelling them to innovate not just in technology but also in their business and pricing models. A primary implication is the strategic imperative to shift from traditional input-based or subscription-based pricing to more sophisticated value-centric and outcome-based models (BCG, 2023). As AI agents become increasingly autonomous and capable of delivering tangible business results, their value is less tied to the computational resources consumed (e.g., tokens, API calls) and more to the specific outcomes they achieve (e.g., increased revenue, reduced costs, enhanced efficiency). This transition requires AI companies to develop robust methodologies for quantifying the value delivered by their agents, often necessitating deep integration with customer operations to measure key performance indicators (KPIs) directly impacted by the agent’s actions (OECD, 2022). For instance, an agent designed to optimize marketing campaigns might be priced based on the percentage increase in conversion rates it generates, rather than the number of ad impressions it processes. This necessitates a fundamental reorientation of sales, marketing, and product development functions to articulate and guarantee specific value propositions (Unknown, 2024).</w:t>
      </w:r>
    </w:p>
    <w:p>
      <w:pPr>
        <w:pStyle w:val="BodyText"/>
      </w:pPr>
      <w:r>
        <w:t xml:space="preserve">Furthermore, the operational complexities associated with managing dynamic pricing, resource allocation, and precise metering for autonomous agents are substantial (IEEE, 2023)(NIST, 2023). Unlike conventional software, agentic AI operates in dynamic environments, making decisions and consuming resources variably based on real-time conditions and task complexity. This variability makes static pricing models less suitable and necessitates the development of sophisticated metering infrastructures capable of tracking not just basic usage metrics, but also the complexity of tasks, the quality of outcomes, and the specific intellectual property or data sources leveraged by the agent (IEEE, 2023). AI companies must invest in advanced telemetry and analytics platforms to accurately attribute costs and value, ensuring fairness and transparency in pricing. The challenge is compounded by the potential for agents to interact with other agents or external services, creating complex dependency chains that require intricate cost attribution mechanisms (Unknown, 2023). For example, an agent performing legal research might incur costs for accessing multiple proprietary databases, each with its own pricing structure, which then needs to be accurately rolled up into the final charge for the client.</w:t>
      </w:r>
    </w:p>
    <w:p>
      <w:pPr>
        <w:pStyle w:val="BodyText"/>
      </w:pPr>
      <w:r>
        <w:t xml:space="preserve">The competitive landscape is another critical area profoundly impacted by agentic AI pricing strategies (Unknown, 2023). In a rapidly evolving market, pricing models serve as a key differentiator, influencing market share and customer loyalty. Companies like OpenAI, Google Cloud, and AWS are already experimenting with various pricing models for their foundational AI services, including token-based, per-request, and fine-tuning costs (Unknown, 2024)(Google Cloud, 2023)(AWS, 2023). As agentic capabilities become more commoditized, the ability to offer innovative, transparent, and value-aligned pricing will be paramount. This could lead to a</w:t>
      </w:r>
      <w:r>
        <w:t xml:space="preserve"> </w:t>
      </w:r>
      <w:r>
        <w:t xml:space="preserve">‘</w:t>
      </w:r>
      <w:r>
        <w:t xml:space="preserve">race to the bottom</w:t>
      </w:r>
      <w:r>
        <w:t xml:space="preserve">’</w:t>
      </w:r>
      <w:r>
        <w:t xml:space="preserve"> </w:t>
      </w:r>
      <w:r>
        <w:t xml:space="preserve">on basic computational costs, pushing companies to differentiate through specialized agent capabilities, superior performance, or unique value-added services bundled with their agents (Unknown, 2023). Companies that fail to adapt their pricing to reflect the true value and autonomy of their agents risk being outmaneuvered by competitors offering more compelling and economically rational monetization schemes. Moreover, the platform economics associated with AI agent APIs and marketplaces introduce further competitive dynamics, where providers compete not only on the quality of their agents but also on the ease of integration and cost-effectiveness of their API access (Unknown, 2022).</w:t>
      </w:r>
    </w:p>
    <w:p>
      <w:pPr>
        <w:pStyle w:val="BodyText"/>
      </w:pPr>
      <w:r>
        <w:t xml:space="preserve">Innovation incentives are also intrinsically linked to pricing structures. Well-designed pricing models can foster innovation by rewarding the development of more efficient, capable, and valuable agents. Conversely, poorly designed models, such as overly restrictive usage-based fees, can stifle experimentation and limit the adoption of advanced agentic functionalities (Unknown, 2023). Companies must strike a delicate balance: pricing agents high enough to recoup significant research and development costs, while low enough to encourage widespread adoption and iterative improvement through real-world usage. This often involves tiered pricing, freemium models for basic agents, or incentive structures that reward developers for contributing to agent ecosystems. The challenge lies in predicting the future value of emergent agent capabilities, which can be difficult to quantify at early stages of development.</w:t>
      </w:r>
    </w:p>
    <w:p>
      <w:pPr>
        <w:pStyle w:val="BodyText"/>
      </w:pPr>
      <w:r>
        <w:t xml:space="preserve">Finally, regulatory compliance is emerging as a significant consideration for AI companies, especially concerning pricing transparency and fairness (European Commission, 2024)(Unknown, 2023). As evidenced by initiatives like the European Union’s AI Act, there is increasing scrutiny on how AI systems are developed, deployed, and monetized. This extends to pricing, particularly for agents operating in sensitive sectors like healthcare, finance, or public services. Regulators may demand greater transparency in how agentic services are priced, requiring companies to disclose the underlying cost components, data usage policies, and the logic behind dynamic pricing adjustments. Ethical considerations also play a crucial role, compelling companies to balance profit motives with principles of fairness, non-discrimination, and accessibility (WHO, 2023). Pricing models should avoid perpetuating biases or creating exclusionary barriers, ensuring that the benefits of agentic AI are broadly accessible. Companies must proactively engage with policymakers and contribute to the development of industry standards to ensure that regulatory frameworks are practical and foster responsible innovation (Unknown, 2023)(ISO, 2023).</w:t>
      </w:r>
    </w:p>
    <w:p>
      <w:pPr>
        <w:pStyle w:val="Heading3"/>
      </w:pPr>
      <w:bookmarkStart w:id="86" w:name="customer-adoption-considerations"/>
      <w:r>
        <w:t xml:space="preserve">Customer Adoption Considerations</w:t>
      </w:r>
      <w:bookmarkEnd w:id="86"/>
    </w:p>
    <w:p>
      <w:pPr>
        <w:pStyle w:val="FirstParagraph"/>
      </w:pPr>
      <w:r>
        <w:t xml:space="preserve">The successful adoption of agentic AI services by customers—ranging from large enterprises to individual users—hinges significantly on how these services are priced and the perceived value they offer. One of the most critical factors is the customer’s perceived value and their willingness to trust autonomous agents (Unknown, 2024). If the pricing model is opaque, unpredictable, or does not clearly align with the value delivered, customers will be hesitant to integrate agents into their critical workflows. Trust, a foundational element in any service relationship, becomes even more paramount with autonomous agents. Customers need assurance that agents will act in their best interest, deliver reliable outcomes, and that the costs incurred will be justified by the benefits received. Pricing models that offer clear performance guarantees, outcome-based payments, or transparent audit trails for agent actions can help build this trust (NIST, 2023). Conversely, models that lead to unexpected costs or unclear value propositions can quickly erode confidence and deter adoption.</w:t>
      </w:r>
    </w:p>
    <w:p>
      <w:pPr>
        <w:pStyle w:val="BodyText"/>
      </w:pPr>
      <w:r>
        <w:t xml:space="preserve">Transparency and predictability in pricing are paramount for fostering customer confidence, especially given the complex and often non-linear behavior of agentic systems (NIST, 2023). Unlike a fixed subscription fee or a clear per-unit charge for a tangible good, the cost of an agent’s service can fluctuate based on the complexity of the task, the resources it consumes, and the external APIs it interacts with. Customers, particularly businesses, require predictable budgeting and cost control. Pricing models that are overly complex, subject to significant variability without clear justification, or difficult to understand will create significant barriers to adoption. The NIST’s best practices for AI emphasize the need for clear communication and explainability, principles that extend directly to pricing practices (NIST, 2023). Customers need to understand not just</w:t>
      </w:r>
      <w:r>
        <w:t xml:space="preserve"> </w:t>
      </w:r>
      <w:r>
        <w:t xml:space="preserve">“</w:t>
      </w:r>
      <w:r>
        <w:t xml:space="preserve">what</w:t>
      </w:r>
      <w:r>
        <w:t xml:space="preserve">”</w:t>
      </w:r>
      <w:r>
        <w:t xml:space="preserve"> </w:t>
      </w:r>
      <w:r>
        <w:t xml:space="preserve">they are paying for, but</w:t>
      </w:r>
      <w:r>
        <w:t xml:space="preserve"> </w:t>
      </w:r>
      <w:r>
        <w:t xml:space="preserve">“</w:t>
      </w:r>
      <w:r>
        <w:t xml:space="preserve">why</w:t>
      </w:r>
      <w:r>
        <w:t xml:space="preserve">”</w:t>
      </w:r>
      <w:r>
        <w:t xml:space="preserve"> </w:t>
      </w:r>
      <w:r>
        <w:t xml:space="preserve">the cost is what it is, and how they can optimize their usage to manage expenses. This might involve providing detailed dashboards, cost projection tools, or simplified pricing tiers that abstract away some of the underlying complexity.</w:t>
      </w:r>
    </w:p>
    <w:p>
      <w:pPr>
        <w:pStyle w:val="BodyText"/>
      </w:pPr>
      <w:r>
        <w:t xml:space="preserve">A thorough cost-benefit analysis is an inherent part of the adoption decision for any customer, whether an individual evaluating a personal AI assistant or an enterprise considering an autonomous business process agent (OECD, 2022). Customers will weigh the direct and indirect costs of agentic AI (including subscription fees, usage charges, integration costs, and potential risks) against the anticipated benefits (such as efficiency gains, cost savings, improved decision-making, or new revenue streams). For businesses, this often translates into a clear return on investment (ROI) calculation. Pricing models must demonstrate a compelling ROI, especially in the early stages of agentic AI adoption where the technology is still maturing and perceived risks might be higher. The challenge for AI providers is to articulate this ROI effectively, providing case studies, benchmark data, and tools that enable customers to accurately project their potential gains. The OECD’s framework for AI economic impact underscores the importance of such rigorous analysis in driving adoption (OECD, 2022).</w:t>
      </w:r>
    </w:p>
    <w:p>
      <w:pPr>
        <w:pStyle w:val="BodyText"/>
      </w:pPr>
      <w:r>
        <w:t xml:space="preserve">Integration challenges also influence customer adoption, particularly when pricing models are not conducive to seamless incorporation into existing workflows and infrastructure (Unknown, 2022). Enterprises often have complex legacy systems and established operational procedures. An agentic AI service, no matter how powerful, will face resistance if its pricing structure creates friction during integration, such as requiring significant upfront investment for uncertain long-term costs, or if it mandates a complete overhaul of existing IT infrastructure solely to accommodate its billing mechanisms. Pricing models that facilitate incremental adoption, offer flexible integration options, and provide clear migration paths are more likely to succeed. This could include offering trial periods, providing developer credits for API integration, or structuring contracts that allow for phased implementation and payment.</w:t>
      </w:r>
    </w:p>
    <w:p>
      <w:pPr>
        <w:pStyle w:val="BodyText"/>
      </w:pPr>
      <w:r>
        <w:t xml:space="preserve">Furthermore, customer demand for scalability and flexibility is a significant driver of adoption (Unknown, 2024). As businesses grow and their needs evolve, they expect AI services to scale effortlessly, with pricing models that adapt to changing usage patterns. This means avoiding rigid contracts that penalize fluctuating demand or prevent rapid scaling up or down of agent capabilities. Flexible pricing models, such as those based on consumption tiers, burst capacity options, or dynamic resource allocation, are likely to be more attractive. The ability to easily adjust the scope of agent services without incurring prohibitive costs or administrative overhead is a key differentiator in a dynamic business environment.</w:t>
      </w:r>
    </w:p>
    <w:p>
      <w:pPr>
        <w:pStyle w:val="BodyText"/>
      </w:pPr>
      <w:r>
        <w:t xml:space="preserve">Finally, education and onboarding play a crucial role in customer adoption, particularly concerning new pricing paradigms. The complexity of agentic AI and its novel pricing models means that customers often require significant education to understand how these systems work, what value they provide, and how they are monetized. Clear communication, comprehensive documentation, and effective onboarding processes are essential to demystify pricing structures and help customers maximize the value of their agent investments. Without this foundational understanding, even the most innovative pricing model can become a barrier to adoption.</w:t>
      </w:r>
    </w:p>
    <w:p>
      <w:pPr>
        <w:pStyle w:val="Heading3"/>
      </w:pPr>
      <w:bookmarkStart w:id="87" w:name="future-pricing-trends-for-agentic-ai"/>
      <w:r>
        <w:t xml:space="preserve">Future Pricing Trends for Agentic AI</w:t>
      </w:r>
      <w:bookmarkEnd w:id="87"/>
    </w:p>
    <w:p>
      <w:pPr>
        <w:pStyle w:val="FirstParagraph"/>
      </w:pPr>
      <w:r>
        <w:t xml:space="preserve">The trajectory of pricing for agentic AI is expected to evolve rapidly, driven by technological advancements, market competition, regulatory pressures, and shifts in user expectations (Unknown, 2024). A significant trend is the accelerating shift towards outcome-based pricing, moving beyond mere input/output metrics to directly monetize the value delivered (BCG, 2023). As agents become more sophisticated and their impact on business metrics more measurable, companies will increasingly offer pricing models tied to specific performance indicators, such as revenue growth, customer satisfaction scores, or operational efficiency improvements. This aligns the incentives of AI providers with the success of their customers, fostering deeper partnerships and shared risk/reward models. For instance, an agent designed for fraud detection might be priced based on the amount of fraud prevented, rather than the number of transactions it processes. This shift necessitates robust value attribution frameworks and potentially new contractual agreements that incorporate performance-based clauses.</w:t>
      </w:r>
    </w:p>
    <w:p>
      <w:pPr>
        <w:pStyle w:val="BodyText"/>
      </w:pPr>
      <w:r>
        <w:t xml:space="preserve">Hybrid pricing models are also anticipated to become the norm, combining elements of subscriptions, usage-based fees, and outcome-based components. A foundational subscription might grant access to an agent platform, while usage fees cover computational resources or API calls, and a performance bonus is applied for achieving specific targets. This flexibility allows providers to cater to diverse customer needs and risk appetites, offering a blend of predictability and incentivization. For example, a legal agent service might have a base monthly fee, a per-query charge for complex research tasks, and a success fee for identifying critical precedents that lead to a favorable court outcome. Such models offer a nuanced approach to value capture, reflecting the multi-faceted nature of agentic AI utility.</w:t>
      </w:r>
    </w:p>
    <w:p>
      <w:pPr>
        <w:pStyle w:val="BodyText"/>
      </w:pPr>
      <w:r>
        <w:t xml:space="preserve">Dynamic and personalized pricing will likely become more prevalent, leveraging real-time data to adjust costs based on context, user behavior, and market conditions. Advanced AI algorithms themselves could be used to optimize pricing, taking into account factors like current demand, available computational resources, the urgency of a task, or even the historical value generated for a specific customer (Unknown, 2023). This could lead to highly personalized pricing plans, where the cost of an agent’s service varies not only by the task but also by the individual user or organization engaging the agent. While offering efficiency and optimized resource allocation, this trend also raises significant ethical and regulatory questions regarding fairness, transparency, and potential discrimination, which will need to be carefully addressed (WHO, 2023).</w:t>
      </w:r>
    </w:p>
    <w:p>
      <w:pPr>
        <w:pStyle w:val="BodyText"/>
      </w:pPr>
      <w:r>
        <w:t xml:space="preserve">The emergence of decentralized autonomous organizations (DAOs) and tokenomics could also play a transformative role in agentic AI pricing. Blockchain-based platforms might enable agents to autonomously bid for tasks, exchange services using cryptocurrencies, and even self-govern their economic interactions. This could lead to highly granular, micro-transactional pricing models where agents pay each other for specific computations, data access, or specialized skills. Such a decentralized marketplace could foster greater transparency, reduce intermediary costs, and create new forms of value exchange within an agent ecosystem. While still nascent, the potential for blockchain to underpin future AI economies is significant (Unknown, 2023).</w:t>
      </w:r>
    </w:p>
    <w:p>
      <w:pPr>
        <w:pStyle w:val="BodyText"/>
      </w:pPr>
      <w:r>
        <w:t xml:space="preserve">Regulatory influence will undoubtedly shape future pricing trends (European Commission, 2024)(Unknown, 2023). As AI becomes more pervasive, governments and international bodies will likely introduce clearer guidelines and standards for AI governance, including aspects related to pricing. The European Commission’s AI Act, for example, signals a move towards greater accountability and transparency in AI systems (European Commission, 2024). This could lead to mandated pricing disclosures, restrictions on certain dynamic pricing practices, or requirements for fairness audits of AI-driven pricing algorithms. Industry standards, such as those from ISO and NIST, will also play a role in standardizing metering, performance metrics, and ethical considerations, indirectly influencing how agents are priced and valued (ISO, 2023)(NIST, 2023).</w:t>
      </w:r>
    </w:p>
    <w:p>
      <w:pPr>
        <w:pStyle w:val="BodyText"/>
      </w:pPr>
      <w:r>
        <w:t xml:space="preserve">Competitive pressures will continue to drive innovation in pricing strategies (Unknown, 2023). As more players enter the agentic AI market, companies will need to continually refine their pricing to attract and retain customers. This could manifest as aggressive pricing for foundational agent capabilities, coupled with premium pricing for highly specialized or proprietary agent skills. The emergence of AI-as-a-Service (AIaaS) marketplaces, where various agent capabilities are offered by different providers, will likely lead to standardized pricing for common tasks and fierce competition for differentiated services (Unknown, 2022). This environment will reward providers who can offer not only superior technology but also the most compelling and customer-centric pricing models.</w:t>
      </w:r>
    </w:p>
    <w:p>
      <w:pPr>
        <w:pStyle w:val="BodyText"/>
      </w:pPr>
      <w:r>
        <w:t xml:space="preserve">Overall, future pricing models will likely be characterized by increasing complexity, dynamism, and a closer alignment with the actual value generated by autonomous agents. This evolution will require continuous adaptation from both AI providers and consumers, necessitating flexible business strategies and robust regulatory frameworks to ensure equitable and sustainable growth.</w:t>
      </w:r>
    </w:p>
    <w:p>
      <w:pPr>
        <w:pStyle w:val="Heading3"/>
      </w:pPr>
      <w:bookmarkStart w:id="88" w:name="recommendations"/>
      <w:r>
        <w:t xml:space="preserve">Recommendations</w:t>
      </w:r>
      <w:bookmarkEnd w:id="88"/>
    </w:p>
    <w:p>
      <w:pPr>
        <w:pStyle w:val="FirstParagraph"/>
      </w:pPr>
      <w:r>
        <w:t xml:space="preserve">Based on the foregoing discussion of implications and future trends, several key recommendations emerge for various stakeholders to effectively navigate the evolving landscape of agentic AI pricing.</w:t>
      </w:r>
    </w:p>
    <w:p>
      <w:pPr>
        <w:pStyle w:val="BodyText"/>
      </w:pPr>
      <w:r>
        <w:rPr>
          <w:b/>
        </w:rPr>
        <w:t xml:space="preserve">For AI Developers and Providers:</w:t>
      </w:r>
      <w:r>
        <w:t xml:space="preserve"> </w:t>
      </w:r>
      <w:r>
        <w:t xml:space="preserve">1.</w:t>
      </w:r>
      <w:r>
        <w:t xml:space="preserve"> </w:t>
      </w:r>
      <w:r>
        <w:rPr>
          <w:b/>
        </w:rPr>
        <w:t xml:space="preserve">Prioritize Value-Based Pricing Research and Implementation:</w:t>
      </w:r>
      <w:r>
        <w:t xml:space="preserve"> </w:t>
      </w:r>
      <w:r>
        <w:t xml:space="preserve">AI companies should move beyond simple input/output or subscription models and invest heavily in developing sophisticated value-based and outcome-based pricing frameworks (BCG, 2023). This requires a deep understanding of customer business processes, the ability to quantify the specific ROI delivered by agents, and the development of contractual mechanisms that align incentives. Pilot programs and collaborative customer engagements can help refine these models.</w:t>
      </w:r>
      <w:r>
        <w:t xml:space="preserve"> </w:t>
      </w:r>
      <w:r>
        <w:t xml:space="preserve">2.</w:t>
      </w:r>
      <w:r>
        <w:t xml:space="preserve"> </w:t>
      </w:r>
      <w:r>
        <w:rPr>
          <w:b/>
        </w:rPr>
        <w:t xml:space="preserve">Develop Robust Metering and Monitoring Systems:</w:t>
      </w:r>
      <w:r>
        <w:t xml:space="preserve"> </w:t>
      </w:r>
      <w:r>
        <w:t xml:space="preserve">To support dynamic and value-based pricing, AI providers must invest in advanced telemetry, auditing, and monitoring infrastructures (IEEE, 2023). These systems should be capable of tracking not only computational usage but also task complexity, quality of outcomes, and the specific intellectual property or data sources leveraged by agents. Transparency in these systems will be crucial for building customer trust.</w:t>
      </w:r>
      <w:r>
        <w:t xml:space="preserve"> </w:t>
      </w:r>
      <w:r>
        <w:t xml:space="preserve">3.</w:t>
      </w:r>
      <w:r>
        <w:t xml:space="preserve"> </w:t>
      </w:r>
      <w:r>
        <w:rPr>
          <w:b/>
        </w:rPr>
        <w:t xml:space="preserve">Invest in Transparency and Explainability of Pricing:</w:t>
      </w:r>
      <w:r>
        <w:t xml:space="preserve"> </w:t>
      </w:r>
      <w:r>
        <w:t xml:space="preserve">Given the inherent complexity of agentic AI, providers must prioritize clear communication and explainability in their pricing models (NIST, 2023). This includes providing detailed breakdowns of cost components, offering tools for cost projection and optimization, and simplifying complex pricing structures into understandable tiers or bundles. Educating customers on how to maximize value and control costs is paramount for adoption.</w:t>
      </w:r>
      <w:r>
        <w:t xml:space="preserve"> </w:t>
      </w:r>
      <w:r>
        <w:t xml:space="preserve">4.</w:t>
      </w:r>
      <w:r>
        <w:t xml:space="preserve"> </w:t>
      </w:r>
      <w:r>
        <w:rPr>
          <w:b/>
        </w:rPr>
        <w:t xml:space="preserve">Proactively Engage with Regulatory Bodies and Standard-Setting Organizations:</w:t>
      </w:r>
      <w:r>
        <w:t xml:space="preserve"> </w:t>
      </w:r>
      <w:r>
        <w:t xml:space="preserve">AI companies should actively participate in discussions with policymakers and contribute to the development of industry standards (European Commission, 2024)(Unknown, 2023)(ISO, 2023). This proactive engagement can help shape practical and balanced regulatory frameworks that foster innovation while ensuring fairness, transparency, and ethical conduct in AI pricing. Adherence to emerging standards, such as those from ISO and NIST, will be increasingly important.</w:t>
      </w:r>
      <w:r>
        <w:t xml:space="preserve"> </w:t>
      </w:r>
      <w:r>
        <w:t xml:space="preserve">5.</w:t>
      </w:r>
      <w:r>
        <w:t xml:space="preserve"> </w:t>
      </w:r>
      <w:r>
        <w:rPr>
          <w:b/>
        </w:rPr>
        <w:t xml:space="preserve">Foster Ethical Pricing Frameworks:</w:t>
      </w:r>
      <w:r>
        <w:t xml:space="preserve"> </w:t>
      </w:r>
      <w:r>
        <w:t xml:space="preserve">Beyond mere compliance, AI providers should embed ethical considerations into their pricing strategies (WHO, 2023). This includes developing mechanisms to prevent algorithmic bias in pricing, ensuring equitable access to essential AI services, and maintaining transparency to avoid exploitative practices. Ethical guidelines should inform the design of dynamic pricing algorithms and personalized offers.</w:t>
      </w:r>
    </w:p>
    <w:p>
      <w:pPr>
        <w:pStyle w:val="BodyText"/>
      </w:pPr>
      <w:r>
        <w:rPr>
          <w:b/>
        </w:rPr>
        <w:t xml:space="preserve">For Businesses Adopting AI:</w:t>
      </w:r>
      <w:r>
        <w:t xml:space="preserve"> </w:t>
      </w:r>
      <w:r>
        <w:t xml:space="preserve">1.</w:t>
      </w:r>
      <w:r>
        <w:t xml:space="preserve"> </w:t>
      </w:r>
      <w:r>
        <w:rPr>
          <w:b/>
        </w:rPr>
        <w:t xml:space="preserve">Conduct Thorough Cost-Benefit Analyses and ROI Projections:</w:t>
      </w:r>
      <w:r>
        <w:t xml:space="preserve"> </w:t>
      </w:r>
      <w:r>
        <w:t xml:space="preserve">Before adopting agentic AI, businesses must perform rigorous cost-benefit analyses, focusing on the tangible ROI and strategic advantages that agents can provide (OECD, 2022). This involves identifying specific business problems agents can solve, quantifying potential gains, and evaluating different pricing models against their expected value.</w:t>
      </w:r>
      <w:r>
        <w:t xml:space="preserve"> </w:t>
      </w:r>
      <w:r>
        <w:t xml:space="preserve">2.</w:t>
      </w:r>
      <w:r>
        <w:t xml:space="preserve"> </w:t>
      </w:r>
      <w:r>
        <w:rPr>
          <w:b/>
        </w:rPr>
        <w:t xml:space="preserve">Demand Pricing Transparency and Predictability:</w:t>
      </w:r>
      <w:r>
        <w:t xml:space="preserve"> </w:t>
      </w:r>
      <w:r>
        <w:t xml:space="preserve">Customers should actively seek out AI providers who offer clear, predictable, and transparent pricing models. They should ask probing questions about how costs are incurred, how to optimize usage, and what mechanisms are in place for cost control and auditing. Prioritizing providers who offer robust monitoring and reporting tools is advisable.</w:t>
      </w:r>
      <w:r>
        <w:t xml:space="preserve"> </w:t>
      </w:r>
      <w:r>
        <w:t xml:space="preserve">3.</w:t>
      </w:r>
      <w:r>
        <w:t xml:space="preserve"> </w:t>
      </w:r>
      <w:r>
        <w:rPr>
          <w:b/>
        </w:rPr>
        <w:t xml:space="preserve">Utilize Pilot Programs and Phased Implementations:</w:t>
      </w:r>
      <w:r>
        <w:t xml:space="preserve"> </w:t>
      </w:r>
      <w:r>
        <w:t xml:space="preserve">To mitigate risks and better understand real-world costs and benefits, businesses should leverage pilot programs and phased implementations of agentic AI. This allows for iterative learning, optimization of usage patterns, and refinement of cost projections before full-scale deployment.</w:t>
      </w:r>
      <w:r>
        <w:t xml:space="preserve"> </w:t>
      </w:r>
      <w:r>
        <w:t xml:space="preserve">4.</w:t>
      </w:r>
      <w:r>
        <w:t xml:space="preserve"> </w:t>
      </w:r>
      <w:r>
        <w:rPr>
          <w:b/>
        </w:rPr>
        <w:t xml:space="preserve">Focus on Integration and Change Management:</w:t>
      </w:r>
      <w:r>
        <w:t xml:space="preserve"> </w:t>
      </w:r>
      <w:r>
        <w:t xml:space="preserve">Successful adoption of agentic AI goes beyond technology; it requires effective integration into existing IT infrastructure and significant change management within the organization. Businesses should evaluate pricing models based on how well they support seamless integration and minimize disruption, considering the total cost of ownership rather than just the direct service fees.</w:t>
      </w:r>
    </w:p>
    <w:p>
      <w:pPr>
        <w:pStyle w:val="BodyText"/>
      </w:pPr>
      <w:r>
        <w:rPr>
          <w:b/>
        </w:rPr>
        <w:t xml:space="preserve">For Policymakers and Regulators:</w:t>
      </w:r>
      <w:r>
        <w:t xml:space="preserve"> </w:t>
      </w:r>
      <w:r>
        <w:t xml:space="preserve">1.</w:t>
      </w:r>
      <w:r>
        <w:t xml:space="preserve"> </w:t>
      </w:r>
      <w:r>
        <w:rPr>
          <w:b/>
        </w:rPr>
        <w:t xml:space="preserve">Develop Clear Guidelines for Fair and Transparent AI Pricing:</w:t>
      </w:r>
      <w:r>
        <w:t xml:space="preserve"> </w:t>
      </w:r>
      <w:r>
        <w:t xml:space="preserve">Policymakers should work towards establishing clear, internationally harmonized guidelines for fair, transparent, and non-discriminatory AI pricing (European Commission, 2024)(Unknown, 2023). This may include requirements for disclosure of pricing methodologies, limitations on opaque dynamic pricing, and mechanisms for consumer protection against unexpected costs or biased pricing.</w:t>
      </w:r>
      <w:r>
        <w:t xml:space="preserve"> </w:t>
      </w:r>
      <w:r>
        <w:t xml:space="preserve">2.</w:t>
      </w:r>
      <w:r>
        <w:t xml:space="preserve"> </w:t>
      </w:r>
      <w:r>
        <w:rPr>
          <w:b/>
        </w:rPr>
        <w:t xml:space="preserve">Encourage Standardization in Metering and Performance Metrics:</w:t>
      </w:r>
      <w:r>
        <w:t xml:space="preserve"> </w:t>
      </w:r>
      <w:r>
        <w:t xml:space="preserve">To facilitate fair competition and enable effective regulation, policymakers should support initiatives that standardize metering, performance metrics, and value attribution for agentic AI services (IEEE, 2023)(ISO, 2023). This will create a common language for evaluating and pricing agent capabilities, benefiting both providers and consumers.</w:t>
      </w:r>
      <w:r>
        <w:t xml:space="preserve"> </w:t>
      </w:r>
      <w:r>
        <w:t xml:space="preserve">3.</w:t>
      </w:r>
      <w:r>
        <w:t xml:space="preserve"> </w:t>
      </w:r>
      <w:r>
        <w:rPr>
          <w:b/>
        </w:rPr>
        <w:t xml:space="preserve">Address Potential Anti-Competitive Practices:</w:t>
      </w:r>
      <w:r>
        <w:t xml:space="preserve"> </w:t>
      </w:r>
      <w:r>
        <w:t xml:space="preserve">Regulators must remain vigilant against potential anti-competitive behaviors that could arise from the consolidation of power among a few large AI providers or the use of AI to create unfair pricing advantages (Unknown, 2023). This includes monitoring market dominance, scrutinizing mergers and acquisitions, and ensuring equitable access to foundational AI models and agent APIs (Unknown, 2022).</w:t>
      </w:r>
    </w:p>
    <w:p>
      <w:pPr>
        <w:pStyle w:val="BodyText"/>
      </w:pPr>
      <w:r>
        <w:rPr>
          <w:b/>
        </w:rPr>
        <w:t xml:space="preserve">For Researchers:</w:t>
      </w:r>
      <w:r>
        <w:t xml:space="preserve"> </w:t>
      </w:r>
      <w:r>
        <w:t xml:space="preserve">1.</w:t>
      </w:r>
      <w:r>
        <w:t xml:space="preserve"> </w:t>
      </w:r>
      <w:r>
        <w:rPr>
          <w:b/>
        </w:rPr>
        <w:t xml:space="preserve">Further Explore Economic Frameworks for Autonomous Agents:</w:t>
      </w:r>
      <w:r>
        <w:t xml:space="preserve"> </w:t>
      </w:r>
      <w:r>
        <w:t xml:space="preserve">Academic research should continue to develop and refine economic frameworks specifically tailored to autonomous AI agents (Unknown, 2023). This includes investigating new theories of value creation, market dynamics, and pricing mechanisms that account for agent autonomy, emergent behavior, and complex inter-agent interactions.</w:t>
      </w:r>
      <w:r>
        <w:t xml:space="preserve"> </w:t>
      </w:r>
      <w:r>
        <w:t xml:space="preserve">2.</w:t>
      </w:r>
      <w:r>
        <w:t xml:space="preserve"> </w:t>
      </w:r>
      <w:r>
        <w:rPr>
          <w:b/>
        </w:rPr>
        <w:t xml:space="preserve">Investigate Long-Term Societal Impacts of Different Pricing Models:</w:t>
      </w:r>
      <w:r>
        <w:t xml:space="preserve"> </w:t>
      </w:r>
      <w:r>
        <w:t xml:space="preserve">Research is needed to understand the long-term societal implications of various agentic AI pricing models, particularly concerning issues of equity, accessibility, and the distribution of economic benefits (OECD, 2022)(WHO, 2023). This includes studying how different pricing structures might exacerbate or mitigate existing socio-economic disparities.</w:t>
      </w:r>
      <w:r>
        <w:t xml:space="preserve"> </w:t>
      </w:r>
      <w:r>
        <w:t xml:space="preserve">3.</w:t>
      </w:r>
      <w:r>
        <w:t xml:space="preserve"> </w:t>
      </w:r>
      <w:r>
        <w:rPr>
          <w:b/>
        </w:rPr>
        <w:t xml:space="preserve">Study User Psychology Related to Agentic AI Pricing:</w:t>
      </w:r>
      <w:r>
        <w:t xml:space="preserve"> </w:t>
      </w:r>
      <w:r>
        <w:t xml:space="preserve">Further research into the psychological factors influencing user perception of value, trust, and willingness to pay for agentic AI services is crucial. Understanding cognitive biases, perceived risks, and the impact of transparency on user acceptance can inform more effective pricing strategies and adoption pathways.</w:t>
      </w:r>
    </w:p>
    <w:p>
      <w:pPr>
        <w:pStyle w:val="BodyText"/>
      </w:pPr>
      <w:r>
        <w:t xml:space="preserve">In conclusion, the discussion highlights that the economic models underpinning agentic AI are in a nascent yet rapidly evolving state. The shift towards outcome-based and dynamic pricing, coupled with the imperative for transparency and ethical considerations, defines the current landscape. By proactively addressing these implications and implementing the recommended strategies, stakeholders can collectively foster a robust, equitable, and innovation-driven ecosystem for agentic AI. The challenges are substantial, but the opportunities for redefining value creation and capture are even greater, demanding a collaborative and forward-thinking approach from all involved parties.</w:t>
      </w:r>
    </w:p>
    <w:p>
      <w:pPr>
        <w:pStyle w:val="Heading2"/>
      </w:pPr>
      <w:bookmarkStart w:id="89" w:name="limitations"/>
      <w:r>
        <w:t xml:space="preserve">Limitations</w:t>
      </w:r>
      <w:bookmarkEnd w:id="89"/>
    </w:p>
    <w:p>
      <w:pPr>
        <w:pStyle w:val="FirstParagraph"/>
      </w:pPr>
      <w:r>
        <w:t xml:space="preserve">While this research makes significant contributions to understanding pricing models for agentic AI systems, it is important to acknowledge several limitations that contextualize the findings and suggest areas for refinement.</w:t>
      </w:r>
    </w:p>
    <w:p>
      <w:pPr>
        <w:pStyle w:val="Heading3"/>
      </w:pPr>
      <w:bookmarkStart w:id="90" w:name="methodological-limitations"/>
      <w:r>
        <w:t xml:space="preserve">Methodological Limitations</w:t>
      </w:r>
      <w:bookmarkEnd w:id="90"/>
    </w:p>
    <w:p>
      <w:pPr>
        <w:pStyle w:val="FirstParagraph"/>
      </w:pPr>
      <w:r>
        <w:t xml:space="preserve">The primary methodological limitation stems from the qualitative, multi-case study approach employed. While this method is excellent for in-depth exploration and identifying emerging patterns in a nascent field, it inherently limits the generalizability of the findings to a broader population or across all AI service providers. The selection of</w:t>
      </w:r>
      <w:r>
        <w:t xml:space="preserve"> </w:t>
      </w:r>
      <w:r>
        <w:t xml:space="preserve">“</w:t>
      </w:r>
      <w:r>
        <w:t xml:space="preserve">information-rich</w:t>
      </w:r>
      <w:r>
        <w:t xml:space="preserve">”</w:t>
      </w:r>
      <w:r>
        <w:t xml:space="preserve"> </w:t>
      </w:r>
      <w:r>
        <w:t xml:space="preserve">cases, while purposeful, does not guarantee statistical representativeness. Furthermore, the reliance on publicly available data (e.g., pricing pages, whitepapers, industry reports) means that proprietary or internal pricing strategies, rationales, and detailed cost structures of AI companies could not be fully explored. This may lead to an incomplete picture of the actual decision-making processes behind current pricing models. The subjective interpretation inherent in qualitative thematic analysis also introduces a potential for researcher bias, despite efforts to ensure transparency and systematic coding.</w:t>
      </w:r>
    </w:p>
    <w:p>
      <w:pPr>
        <w:pStyle w:val="Heading3"/>
      </w:pPr>
      <w:bookmarkStart w:id="91" w:name="scope-and-generalizability"/>
      <w:r>
        <w:t xml:space="preserve">Scope and Generalizability</w:t>
      </w:r>
      <w:bookmarkEnd w:id="91"/>
    </w:p>
    <w:p>
      <w:pPr>
        <w:pStyle w:val="FirstParagraph"/>
      </w:pPr>
      <w:r>
        <w:t xml:space="preserve">The scope of this study was intentionally focused on agentic AI systems and related AI services, primarily within the context of commercial offerings from major cloud providers and foundational model developers. This focus means that pricing models for highly specialized, internal-only AI systems (e.g., proprietary AI used by financial institutions for internal trading) or those within academic/research contexts were largely excluded. Consequently, the generalizability of the proposed framework and the identified trends may be limited to the commercial AI-as-a-Service (AIaaS) market. The rapid pace of technological development also means that the</w:t>
      </w:r>
      <w:r>
        <w:t xml:space="preserve"> </w:t>
      </w:r>
      <w:r>
        <w:t xml:space="preserve">“</w:t>
      </w:r>
      <w:r>
        <w:t xml:space="preserve">state-of-the-art</w:t>
      </w:r>
      <w:r>
        <w:t xml:space="preserve">”</w:t>
      </w:r>
      <w:r>
        <w:t xml:space="preserve"> </w:t>
      </w:r>
      <w:r>
        <w:t xml:space="preserve">in AI capabilities and their associated pricing models is constantly evolving, making any snapshot in time (like this research) inherently susceptible to becoming quickly outdated. The study does not comprehensively cover all possible geographical and regulatory contexts, focusing primarily on Western and European regulatory trends.</w:t>
      </w:r>
    </w:p>
    <w:p>
      <w:pPr>
        <w:pStyle w:val="Heading3"/>
      </w:pPr>
      <w:bookmarkStart w:id="92" w:name="temporal-and-contextual-constraints"/>
      <w:r>
        <w:t xml:space="preserve">Temporal and Contextual Constraints</w:t>
      </w:r>
      <w:bookmarkEnd w:id="92"/>
    </w:p>
    <w:p>
      <w:pPr>
        <w:pStyle w:val="FirstParagraph"/>
      </w:pPr>
      <w:r>
        <w:t xml:space="preserve">The AI industry is characterized by exceptionally rapid innovation and market shifts. This research captures pricing models and trends observed up to the point of its completion, but these are subject to continuous change. New models, capabilities, and competitive dynamics emerge frequently, potentially altering the landscape of pricing strategies. For instance, a breakthrough in model efficiency could drastically reduce computational costs, leading to widespread price reductions that were not anticipated at the time of data collection. Similarly, unforeseen geopolitical events or major regulatory shifts could introduce new compliance costs or market constraints impacting pricing. The specific contextual factors influencing pricing decisions, such as a company’s financial health, investor pressure, or long-term strategic goals, were largely inferred from public statements rather than direct, in-depth interviews.</w:t>
      </w:r>
    </w:p>
    <w:p>
      <w:pPr>
        <w:pStyle w:val="Heading3"/>
      </w:pPr>
      <w:bookmarkStart w:id="93" w:name="theoretical-and-conceptual-limitations"/>
      <w:r>
        <w:t xml:space="preserve">Theoretical and Conceptual Limitations</w:t>
      </w:r>
      <w:bookmarkEnd w:id="93"/>
    </w:p>
    <w:p>
      <w:pPr>
        <w:pStyle w:val="FirstParagraph"/>
      </w:pPr>
      <w:r>
        <w:t xml:space="preserve">While the study developed an integrated economic framework, the quantification of</w:t>
      </w:r>
      <w:r>
        <w:t xml:space="preserve"> </w:t>
      </w:r>
      <w:r>
        <w:t xml:space="preserve">“</w:t>
      </w:r>
      <w:r>
        <w:t xml:space="preserve">value</w:t>
      </w:r>
      <w:r>
        <w:t xml:space="preserve">”</w:t>
      </w:r>
      <w:r>
        <w:t xml:space="preserve"> </w:t>
      </w:r>
      <w:r>
        <w:t xml:space="preserve">for AI services, particularly for intangible benefits and the complex, emergent behaviors of autonomous agents, remains a significant theoretical challenge. The</w:t>
      </w:r>
      <w:r>
        <w:t xml:space="preserve"> </w:t>
      </w:r>
      <w:r>
        <w:t xml:space="preserve">“</w:t>
      </w:r>
      <w:r>
        <w:t xml:space="preserve">attribution problem</w:t>
      </w:r>
      <w:r>
        <w:t xml:space="preserve">”</w:t>
      </w:r>
      <w:r>
        <w:t xml:space="preserve">—isolating the precise contribution of an AI agent to a business outcome amidst multiple interacting factors—is not fully resolved and limits the precision of truly value-based pricing. The framework’s conceptualization of agent autonomy and its economic implications, while advanced, may still simplify the intricate decision-making processes and inter-agent interactions that characterize sophisticated multi-agent systems. Furthermore, the study primarily focused on the economic rationale for pricing, with less emphasis on the psychological factors influencing user perception of value, trust, and willingness to pay for agentic AI services.</w:t>
      </w:r>
    </w:p>
    <w:p>
      <w:pPr>
        <w:pStyle w:val="Heading3"/>
      </w:pPr>
      <w:bookmarkStart w:id="94" w:name="data-and-empirical-validation"/>
      <w:r>
        <w:t xml:space="preserve">Data and Empirical Validation</w:t>
      </w:r>
      <w:bookmarkEnd w:id="94"/>
    </w:p>
    <w:p>
      <w:pPr>
        <w:pStyle w:val="FirstParagraph"/>
      </w:pPr>
      <w:r>
        <w:t xml:space="preserve">The research relies heavily on publicly available documentation, which may not always reflect the full complexity or nuances of a company’s pricing strategy or its internal economic modeling. There is a lack of granular, real-world usage data across diverse AI agent deployments, which would be necessary for robust quantitative validation of the proposed framework and the comparative analysis of model efficiencies. Without access to proprietary data on development costs, operational margins, customer churn rates under different pricing models, or the precise ROI achieved by customers, the empirical evidence for certain claims remains inferential rather than direct. This limits the ability to perform rigorous econometric analysis or to definitively prove causal links between specific pricing models and their long-term market impacts.</w:t>
      </w:r>
    </w:p>
    <w:p>
      <w:pPr>
        <w:pStyle w:val="BodyText"/>
      </w:pPr>
      <w:r>
        <w:t xml:space="preserve">Despite these limitations, the research provides valuable insights into pricing models for agentic AI systems, and the identified constraints offer clear directions for future investigation.</w:t>
      </w:r>
    </w:p>
    <w:p>
      <w:r>
        <w:pict>
          <v:rect style="width:0;height:1.5pt" o:hralign="center" o:hrstd="t" o:hr="t"/>
        </w:pict>
      </w:r>
    </w:p>
    <w:p>
      <w:pPr>
        <w:pStyle w:val="Heading2"/>
      </w:pPr>
      <w:bookmarkStart w:id="95" w:name="future-research-directions"/>
      <w:r>
        <w:t xml:space="preserve">Future Research Directions</w:t>
      </w:r>
      <w:bookmarkEnd w:id="95"/>
    </w:p>
    <w:p>
      <w:pPr>
        <w:pStyle w:val="FirstParagraph"/>
      </w:pPr>
      <w:r>
        <w:t xml:space="preserve">This research opens several promising avenues for future investigation that could address current limitations and extend the theoretical and practical contributions of this work. The dynamic nature of agentic AI and its evolving economic landscape necessitates continuous inquiry across multiple disciplines.</w:t>
      </w:r>
    </w:p>
    <w:p>
      <w:pPr>
        <w:pStyle w:val="Heading3"/>
      </w:pPr>
      <w:bookmarkStart w:id="96" w:name="Xbcbd58beadd3d43cd34b77db4b90a6b8530b3cf"/>
      <w:r>
        <w:t xml:space="preserve">1. Empirical Validation and Large-Scale Quantitative Studies</w:t>
      </w:r>
      <w:bookmarkEnd w:id="96"/>
    </w:p>
    <w:p>
      <w:pPr>
        <w:pStyle w:val="FirstParagraph"/>
      </w:pPr>
      <w:r>
        <w:t xml:space="preserve">Future research should focus on empirically validating the proposed economic framework and the efficacy of various pricing models through large-scale quantitative studies. This would involve collecting granular, real-world data on AI agent usage, performance metrics, and associated costs across diverse industries and deployment scenarios. Studies could leverage A/B testing of different pricing structures, analyze customer adoption and retention rates, and measure the direct financial impact (ROI) of agentic AI under various monetization schemes. Such empirical evidence would provide robust validation for the theoretical insights presented in this paper and help to identify optimal pricing strategies for specific agent capabilities and market contexts.</w:t>
      </w:r>
    </w:p>
    <w:p>
      <w:pPr>
        <w:pStyle w:val="Heading3"/>
      </w:pPr>
      <w:bookmarkStart w:id="97" w:name="Xb9b69be255b75f269ebab81529a338cfd9bf095"/>
      <w:r>
        <w:t xml:space="preserve">2. Advanced Value Attribution and Econometric Modeling</w:t>
      </w:r>
      <w:bookmarkEnd w:id="97"/>
    </w:p>
    <w:p>
      <w:pPr>
        <w:pStyle w:val="FirstParagraph"/>
      </w:pPr>
      <w:r>
        <w:t xml:space="preserve">A critical area for future investigation is the development of more sophisticated methodologies for value attribution in complex, human-AI and AI-AI collaborative systems. This includes exploring advanced econometric models, causal inference techniques, and machine learning approaches to accurately isolate and quantify the value generated by autonomous AI agents, especially for intangible benefits. Research could focus on creating standardized metrics for</w:t>
      </w:r>
      <w:r>
        <w:t xml:space="preserve"> </w:t>
      </w:r>
      <w:r>
        <w:t xml:space="preserve">“</w:t>
      </w:r>
      <w:r>
        <w:t xml:space="preserve">AI-generated value</w:t>
      </w:r>
      <w:r>
        <w:t xml:space="preserve">”</w:t>
      </w:r>
      <w:r>
        <w:t xml:space="preserve"> </w:t>
      </w:r>
      <w:r>
        <w:t xml:space="preserve">that are recognized across industries, enabling more precise outcome-based pricing and fair risk-reward distribution. This would involve interdisciplinary collaboration between economists, data scientists, and domain experts.</w:t>
      </w:r>
    </w:p>
    <w:p>
      <w:pPr>
        <w:pStyle w:val="Heading3"/>
      </w:pPr>
      <w:bookmarkStart w:id="98" w:name="X3c2838fb31a86cab9f9d4ce9d8b20c9cd2dac53"/>
      <w:r>
        <w:t xml:space="preserve">3. Socio-Economic Impact of AI Pricing Models</w:t>
      </w:r>
      <w:bookmarkEnd w:id="98"/>
    </w:p>
    <w:p>
      <w:pPr>
        <w:pStyle w:val="FirstParagraph"/>
      </w:pPr>
      <w:r>
        <w:t xml:space="preserve">The long-term socio-economic implications of different AI agent pricing models warrant deeper exploration. Research is needed to understand how these models affect market concentration, income inequality, and equitable access to advanced AI technologies, particularly for developing nations or smaller enterprises. Studies could investigate whether current pricing structures create barriers to entry for innovators or exacerbate existing digital divides. This would involve macro-economic analyses, policy simulations, and qualitative studies on the experiences of diverse user groups, contributing to a more inclusive and sustainable AI economy.</w:t>
      </w:r>
    </w:p>
    <w:p>
      <w:pPr>
        <w:pStyle w:val="Heading3"/>
      </w:pPr>
      <w:bookmarkStart w:id="99" w:name="Xaad4f9b71c3cbbd814364e0d2f6c0cc71c562f6"/>
      <w:r>
        <w:t xml:space="preserve">4. Regulatory Frameworks for Dynamic and Decentralized AI Economies</w:t>
      </w:r>
      <w:bookmarkEnd w:id="99"/>
    </w:p>
    <w:p>
      <w:pPr>
        <w:pStyle w:val="FirstParagraph"/>
      </w:pPr>
      <w:r>
        <w:t xml:space="preserve">As AI pricing becomes increasingly dynamic, personalized, and potentially decentralized (e.g., through blockchain-based micro-transactions and agent-to-agent economies), future research should focus on developing adaptive regulatory frameworks. This includes investigating the legal and ethical challenges of hyper-personalized pricing, ensuring fairness and non-discrimination. Research into the governance models, security implications, and economic viability of decentralized AI marketplaces (e.g., DAOs for agent services) is crucial. Policymakers will need guidance on how to foster innovation in these new economic paradigms while safeguarding consumer rights and preventing anti-competitive practices.</w:t>
      </w:r>
    </w:p>
    <w:p>
      <w:pPr>
        <w:pStyle w:val="Heading3"/>
      </w:pPr>
      <w:bookmarkStart w:id="100" w:name="X43137087d51c044a8353f27b070758f41fa06ac"/>
      <w:r>
        <w:t xml:space="preserve">5. User Psychology and Trust in Agentic Pricing</w:t>
      </w:r>
      <w:bookmarkEnd w:id="100"/>
    </w:p>
    <w:p>
      <w:pPr>
        <w:pStyle w:val="FirstParagraph"/>
      </w:pPr>
      <w:r>
        <w:t xml:space="preserve">Further research into the psychological factors influencing user perception of value, trust, and willingness to pay for agentic AI services is crucial. This could involve experimental studies to understand cognitive biases related to AI pricing, the impact of transparency on user acceptance, and how perceived risks influence adoption decisions. Understanding how users interpret and react to dynamic or outcome-based pricing, and what builds confidence in autonomous systems, can inform more effective pricing strategies and enhance customer satisfaction and loyalty.</w:t>
      </w:r>
    </w:p>
    <w:p>
      <w:pPr>
        <w:pStyle w:val="Heading3"/>
      </w:pPr>
      <w:bookmarkStart w:id="101" w:name="Xea2cd18f2043dc112876eb8847e9dc801bc8ffd"/>
      <w:r>
        <w:t xml:space="preserve">6. Standardization of AI Metering and Performance Metrics</w:t>
      </w:r>
      <w:bookmarkEnd w:id="101"/>
    </w:p>
    <w:p>
      <w:pPr>
        <w:pStyle w:val="FirstParagraph"/>
      </w:pPr>
      <w:r>
        <w:t xml:space="preserve">The current lack of universal standards for measuring AI usage (e.g., tokenization methods, character counts, computational units) and performance complicates direct price comparisons and robust cost management. Future efforts should focus on collaborative research between academia, industry, and standardization bodies (e.g., IEEE, NIST, ISO) to develop common, transparent, and auditable metrics for AI resource consumption and agent performance. This standardization would foster greater transparency, enable fair competition, and build trust in the burgeoning AI services market.</w:t>
      </w:r>
    </w:p>
    <w:p>
      <w:pPr>
        <w:pStyle w:val="Heading3"/>
      </w:pPr>
      <w:bookmarkStart w:id="102" w:name="Xa50159287e317fb3c33d1a0b5f3e868b305d5ce"/>
      <w:r>
        <w:t xml:space="preserve">7. Impact of Emerging AI Architectures on Pricing</w:t>
      </w:r>
      <w:bookmarkEnd w:id="102"/>
    </w:p>
    <w:p>
      <w:pPr>
        <w:pStyle w:val="FirstParagraph"/>
      </w:pPr>
      <w:r>
        <w:t xml:space="preserve">The continuous evolution of AI architectures, such as multi-agent systems, specialized hardware (e.g., neuromorphic chips, quantum computing), and multimodal models, will profoundly impact future pricing. Research is needed to explore how these new architectures change the cost structures of AI services, create new value propositions, and necessitate novel pricing mechanisms. For instance, how might collective intelligence in multi-agent systems be priced, or how will dedicated AI hardware influence the balance between fixed and variable costs? This forward-looking research will ensure that economic models keep pace with technological advancements.</w:t>
      </w:r>
    </w:p>
    <w:p>
      <w:pPr>
        <w:pStyle w:val="BodyText"/>
      </w:pPr>
      <w:r>
        <w:t xml:space="preserve">These research directions collectively point toward a richer, more nuanced understanding of pricing models for agentic AI systems and their implications for theory, practice, and policy.</w:t>
      </w:r>
    </w:p>
    <w:p>
      <w:r>
        <w:pict>
          <v:rect style="width:0;height:1.5pt" o:hralign="center" o:hrstd="t" o:hr="t"/>
        </w:pict>
      </w:r>
    </w:p>
    <w:p>
      <w:pPr>
        <w:pStyle w:val="Heading2"/>
      </w:pPr>
      <w:bookmarkStart w:id="103" w:name="conclusion"/>
      <w:r>
        <w:t xml:space="preserve">Conclusion</w:t>
      </w:r>
      <w:bookmarkEnd w:id="103"/>
    </w:p>
    <w:p>
      <w:pPr>
        <w:pStyle w:val="FirstParagraph"/>
      </w:pPr>
      <w:r>
        <w:t xml:space="preserve">The rapid proliferation of artificial intelligence (AI) agents across various sectors heralds a transformative era, yet simultaneously introduces unprecedented complexities in their valuation and monetization. This paper embarked on a comprehensive exploration of the economic frameworks, pricing models, and regulatory considerations essential for understanding and effectively leveraging AI agent services. At its core, the research addressed the critical gap in existing literature concerning the structured conceptualization and practical application of pricing strategies for autonomous AI agents, moving beyond traditional software-as-a-service (SaaS) paradigms to account for agentic capabilities, dynamic interactions, and emergent behaviors (Unknown, 2023)(Gartner, 2024). The initial problem statement highlighted the nascent and often ad-hoc nature of current AI pricing, which frequently fails to capture the true value or adequately manage the risks associated with increasingly autonomous systems. This study aimed to provide a robust theoretical foundation and practical insights to navigate this complex landscape, ultimately contributing to sustainable innovation and equitable value distribution in the AI economy.</w:t>
      </w:r>
    </w:p>
    <w:p>
      <w:pPr>
        <w:pStyle w:val="BodyText"/>
      </w:pPr>
      <w:r>
        <w:t xml:space="preserve">The investigation yielded several key findings that collectively advance our understanding of AI agent monetization. Firstly, the developed economic framework for autonomous AI agents successfully integrated principles from platform economics, agent-based modeling, and traditional microeconomics, demonstrating that the unique characteristics of AI agents—such as autonomy, learning capability, and interactive decision-making—necessitate a departure from conventional pricing mechanisms (Unknown, 2023)(Unknown, 2022). This framework underscored the importance of shifting from purely input-based (e.g., token count) or time-based models to more sophisticated value-based, outcome-based, or performance-tiered pricing strategies that directly align with the utility generated by the agent’s actions (BCG, 2023)(Unknown, 2024). The analysis revealed that while input-based pricing offers simplicity, it often fails to capture the differential value created by agents of varying intelligence or efficiency, leading to potential under-monetization for advanced agents and over-monetization for less capable ones. Conversely, outcome-based models, though more challenging to implement due to attribution complexities, offer a more equitable distribution of risk and reward between providers and consumers, fostering greater trust and incentivizing optimal agent performance (NIST, 2023).</w:t>
      </w:r>
    </w:p>
    <w:p>
      <w:pPr>
        <w:pStyle w:val="BodyText"/>
      </w:pPr>
      <w:r>
        <w:t xml:space="preserve">Secondly, through the detailed examination of various pricing models, including usage-based, subscription, performance-based, and hybrid approaches, the study illuminated their respective strengths, weaknesses, and applicability in different contexts. Usage-based models, exemplified by token-based pricing in large language models (LLMs) (Unknown, 2024)(Google Cloud, 2023), were found to be straightforward but often opaque regarding final costs, especially for complex agentic workflows. Subscription models offer predictability but struggle to account for variable agent load or differentiated value delivery. The research highlighted that hybrid models, combining elements like a base subscription with performance-based tiers or usage overages, are emerging as a pragmatic solution to balance predictability, flexibility, and value capture (AWS, 2023)(Unknown, 2024). These models allow providers to secure recurring revenue while incentivizing higher performance and deeper integration of AI agents into user workflows. The case studies further validated these theoretical insights, demonstrating how leading AI providers are experimenting with dynamic pricing, tiered service levels, and specialized APIs to cater to diverse enterprise and developer needs (Unknown, 2024)(Google Cloud, 2023)(AWS, 2023). For instance, the transition from purely API call-based pricing to models that consider the complexity of the task or the quality of the output reflects an industry-wide recognition of the need for more nuanced valuation (Unknown, 2023).</w:t>
      </w:r>
    </w:p>
    <w:p>
      <w:pPr>
        <w:pStyle w:val="BodyText"/>
      </w:pPr>
      <w:r>
        <w:t xml:space="preserve">Thirdly, the paper comprehensively addressed the critical regulatory and ethical dimensions influencing AI agent pricing. The analysis underscored that emerging legislative frameworks, such as the European Union’s AI Act, are poised to significantly impact how AI services are developed, deployed, and priced (European Commission, 2024). Requirements related to transparency, accountability, data governance, and risk assessment will likely necessitate higher development and compliance costs, which will inevitably be reflected in pricing structures. The study argued that ethical considerations, including fairness, bias mitigation, and privacy, are not merely compliance burdens but integral components of value proposition and trust-building (WHO, 2023). Agents that demonstrate verifiable adherence to ethical guidelines and provide transparent explanations for their decisions may command a premium, as they reduce operational and reputational risks for adopters (NIST, 2023)(Brookings, 2022). This highlights a nascent but crucial shift towards</w:t>
      </w:r>
      <w:r>
        <w:t xml:space="preserve"> </w:t>
      </w:r>
      <w:r>
        <w:t xml:space="preserve">“</w:t>
      </w:r>
      <w:r>
        <w:t xml:space="preserve">responsible AI pricing,</w:t>
      </w:r>
      <w:r>
        <w:t xml:space="preserve">”</w:t>
      </w:r>
      <w:r>
        <w:t xml:space="preserve"> </w:t>
      </w:r>
      <w:r>
        <w:t xml:space="preserve">where ethical compliance becomes a market differentiator rather than just a regulatory hurdle. The findings suggest that policymakers must adopt a forward-looking approach, creating regulatory sandboxes and fostering international collaboration to develop adaptable frameworks that do not stifle innovation while safeguarding public interest (OECD, 2022)(RAND Corporation, 2021).</w:t>
      </w:r>
    </w:p>
    <w:p>
      <w:pPr>
        <w:pStyle w:val="BodyText"/>
      </w:pPr>
      <w:r>
        <w:t xml:space="preserve">This research offers several significant contributions to both theory and practice. Theoretically, it provides a novel, integrated economic framework for understanding AI agent pricing, extending existing theories of platform economics and agent-based systems to explicitly account for the unique attributes of autonomous AI. By delineating the spectrum of pricing models and their suitability for different agent capabilities and market contexts, the paper offers a structured lens through which to analyze and design monetization strategies for this rapidly evolving technology (Unknown, 2023)(Unknown, 2022). The emphasis on value-based pricing, outcome-driven metrics, and the integration of ethical considerations into economic models represents a conceptual advancement that moves beyond simplistic cost-plus or input-based approaches. Furthermore, the systematic review of regulatory implications bridges the gap between technological innovation and policy development, providing a foundational understanding for future interdisciplinary research at the nexus of AI, economics, and law (European Commission, 2024)(Unknown, 2023).</w:t>
      </w:r>
    </w:p>
    <w:p>
      <w:pPr>
        <w:pStyle w:val="BodyText"/>
      </w:pPr>
      <w:r>
        <w:t xml:space="preserve">Practically, this paper offers actionable insights for AI developers, businesses, and policymakers. Developers can leverage the proposed framework to design more effective and fair pricing models that align with the true value delivered by their AI agents, fostering greater adoption and sustainable revenue streams (Gartner, 2024)(Unknown, 2024). Businesses considering the integration of AI agents can utilize the comparative analysis of pricing models to make informed procurement decisions, optimize their AI investments, and negotiate more favorable terms with providers. The emphasis on value capture and performance metrics provides a blueprint for assessing the return on investment (ROI) of agentic solutions (BCG, 2023). For policymakers, the research serves as a timely resource, highlighting the intricate relationship between technological capabilities, market dynamics, and regulatory imperatives. It underscores the need for agile and adaptive regulatory frameworks that can keep pace with AI innovation, promoting fair competition, consumer protection, and ethical deployment without impeding progress (Brookings, 2022)(RAND Corporation, 2021). The insights into responsible AI pricing encourage the development of standards and certifications that can guide both providers and consumers in navigating the ethical landscape of AI (ISO, 2023)(WHO, 2023).</w:t>
      </w:r>
    </w:p>
    <w:p>
      <w:pPr>
        <w:pStyle w:val="BodyText"/>
      </w:pPr>
      <w:r>
        <w:t xml:space="preserve">Despite its comprehensive scope, this study acknowledges several limitations that open avenues for future research. Firstly, the theoretical framework, while robust, would benefit from empirical validation through large-scale quantitative studies across diverse industries and agent types. Future work could involve collecting granular data on AI agent usage, performance, and associated pricing models to test the hypotheses derived from this paper (Jeng, 2018). Secondly, the case studies, while illustrative, were limited in number and focused primarily on prominent commercial examples. Expanding this to include a wider range of smaller enterprises, open-source initiatives, and specialized vertical applications could provide richer, more nuanced insights into pricing challenges and solutions (Unknown, 2023). Thirdly, the rapidly evolving nature of AI technology means that new agent capabilities, interaction paradigms (e.g., multi-agent systems, collective intelligence), and underlying infrastructure (e.g., specialized hardware, quantum computing) will continuously emerge (Ahsan et al., 2025). Future research should explore how these advancements further reshape the economic and regulatory landscape of AI agent pricing.</w:t>
      </w:r>
    </w:p>
    <w:p>
      <w:pPr>
        <w:pStyle w:val="BodyText"/>
      </w:pPr>
      <w:r>
        <w:t xml:space="preserve">Furthermore, the study highlighted the complexities of value attribution in highly autonomous and self-optimizing AI systems. Developing more sophisticated econometric models and causal inference techniques to accurately attribute value generated by AI agents, especially in complex, multi-stakeholder environments, remains a critical area for future investigation (Unknown, 2023). Research into the socio-economic impact of AI agent pricing on labor markets, income inequality, and access to advanced technologies also warrants deeper exploration (OECD, 2022)(Brookings, 2022). From a regulatory perspective, comparative studies of AI legislation across different geopolitical regions and their specific impacts on pricing and market structures would be invaluable (European Commission, 2024)(Unknown, 2023). Finally, the development of industry-wide standards for metering, reporting, and auditing AI agent performance and resource consumption is essential for fostering transparency and trust, representing a crucial area for collaborative research between academia, industry, and standardization bodies (IEEE, 2023)(ISO, 2023).</w:t>
      </w:r>
    </w:p>
    <w:p>
      <w:pPr>
        <w:pStyle w:val="BodyText"/>
      </w:pPr>
      <w:r>
        <w:t xml:space="preserve">In conclusion, the effective monetization of autonomous AI agents is not merely a technical or business challenge; it is a fundamental economic and societal imperative. This paper has laid a significant foundation by proposing a comprehensive framework, analyzing diverse pricing models, and integrating critical regulatory and ethical considerations. As AI agents continue to permeate every facet of human endeavor, the insights gleaned from this research will be instrumental in fostering a robust, equitable, and sustainable AI economy. The journey towards fully understanding and optimizing AI agent pricing is ongoing, demanding continuous interdisciplinary research, adaptive policy-making, and a steadfast commitment to ethical innovation. The future success of AI hinges on our collective ability to price its intelligence responsibly and effectively, ensuring its transformative potential is realized for the benefit of all.</w:t>
      </w:r>
    </w:p>
    <w:p>
      <w:r>
        <w:pict>
          <v:rect style="width:0;height:1.5pt" o:hralign="center" o:hrstd="t" o:hr="t"/>
        </w:pict>
      </w:r>
    </w:p>
    <w:p>
      <w:pPr>
        <w:pStyle w:val="Heading2"/>
      </w:pPr>
      <w:bookmarkStart w:id="104" w:name="Xb2e21c58b5d7f62e35f8e65018bee1cd6e87ce2"/>
      <w:r>
        <w:t xml:space="preserve">Appendix A: Economic Framework for Agentic AI Pricing</w:t>
      </w:r>
      <w:bookmarkEnd w:id="104"/>
    </w:p>
    <w:p>
      <w:pPr>
        <w:pStyle w:val="Heading3"/>
      </w:pPr>
      <w:bookmarkStart w:id="105" w:name="Xafd2185fdfb43de376f63b312d8213c5906f55e"/>
      <w:r>
        <w:t xml:space="preserve">A.1 Core Principles of Agentic Value Creation</w:t>
      </w:r>
      <w:bookmarkEnd w:id="105"/>
    </w:p>
    <w:p>
      <w:pPr>
        <w:pStyle w:val="FirstParagraph"/>
      </w:pPr>
      <w:r>
        <w:t xml:space="preserve">Agentic AI systems fundamentally alter the landscape of value creation by introducing autonomy, proactive decision-making, and continuous learning capabilities. Unlike traditional software that executes predefined instructions, agents can identify opportunities, adapt to dynamic environments, and optimize their actions to achieve specific goals. This emergent behavior means that value is not merely derived from computational throughput but from the agent’s intelligence, adaptability, and the quality of its autonomous decisions. Key principles of agentic value creation include:</w:t>
      </w:r>
    </w:p>
    <w:p>
      <w:pPr>
        <w:numPr>
          <w:ilvl w:val="0"/>
          <w:numId w:val="1017"/>
        </w:numPr>
        <w:pStyle w:val="Compact"/>
      </w:pPr>
      <w:r>
        <w:rPr>
          <w:b/>
        </w:rPr>
        <w:t xml:space="preserve">Autonomous Goal Pursuit:</w:t>
      </w:r>
      <w:r>
        <w:t xml:space="preserve"> </w:t>
      </w:r>
      <w:r>
        <w:t xml:space="preserve">Agents are designed to pursue objectives with minimal human oversight. Their value is directly tied to their ability to achieve these goals effectively, whether it’s optimizing a supply chain, generating creative content, or managing complex IT infrastructure.</w:t>
      </w:r>
    </w:p>
    <w:p>
      <w:pPr>
        <w:numPr>
          <w:ilvl w:val="0"/>
          <w:numId w:val="1017"/>
        </w:numPr>
        <w:pStyle w:val="Compact"/>
      </w:pPr>
      <w:r>
        <w:rPr>
          <w:b/>
        </w:rPr>
        <w:t xml:space="preserve">Adaptive Learning and Improvement:</w:t>
      </w:r>
      <w:r>
        <w:t xml:space="preserve"> </w:t>
      </w:r>
      <w:r>
        <w:t xml:space="preserve">Many agentic systems continuously learn from their interactions and environment, improving their performance over time. This dynamic enhancement of capabilities means their value proposition can evolve and increase without additional human intervention, posing a challenge for static pricing models.</w:t>
      </w:r>
    </w:p>
    <w:p>
      <w:pPr>
        <w:numPr>
          <w:ilvl w:val="0"/>
          <w:numId w:val="1017"/>
        </w:numPr>
        <w:pStyle w:val="Compact"/>
      </w:pPr>
      <w:r>
        <w:rPr>
          <w:b/>
        </w:rPr>
        <w:t xml:space="preserve">Proactive Problem Solving:</w:t>
      </w:r>
      <w:r>
        <w:t xml:space="preserve"> </w:t>
      </w:r>
      <w:r>
        <w:t xml:space="preserve">Agents can anticipate issues, identify patterns, and initiate actions proactively, moving beyond reactive responses. This foresight and initiative generate value through risk mitigation, early opportunity identification, and enhanced operational resilience.</w:t>
      </w:r>
    </w:p>
    <w:p>
      <w:pPr>
        <w:numPr>
          <w:ilvl w:val="0"/>
          <w:numId w:val="1017"/>
        </w:numPr>
        <w:pStyle w:val="Compact"/>
      </w:pPr>
      <w:r>
        <w:rPr>
          <w:b/>
        </w:rPr>
        <w:t xml:space="preserve">Complex Interaction Capabilities:</w:t>
      </w:r>
      <w:r>
        <w:t xml:space="preserve"> </w:t>
      </w:r>
      <w:r>
        <w:t xml:space="preserve">Agentic AI can interact with multiple systems, other agents, and real-world environments. The value often arises from orchestrating these complex interactions, synthesizing information from diverse sources, and executing multi-step tasks efficiently.</w:t>
      </w:r>
    </w:p>
    <w:p>
      <w:pPr>
        <w:numPr>
          <w:ilvl w:val="0"/>
          <w:numId w:val="1017"/>
        </w:numPr>
        <w:pStyle w:val="Compact"/>
      </w:pPr>
      <w:r>
        <w:rPr>
          <w:b/>
        </w:rPr>
        <w:t xml:space="preserve">Human Capital Augmentation/Replacement:</w:t>
      </w:r>
      <w:r>
        <w:t xml:space="preserve"> </w:t>
      </w:r>
      <w:r>
        <w:t xml:space="preserve">Agents can free up human workers from mundane, repetitive, or even complex cognitive tasks, allowing human capital to be reallocated to higher-value activities or enabling entirely new business processes. Quantifying this human capital impact is central to agentic value.</w:t>
      </w:r>
    </w:p>
    <w:p>
      <w:pPr>
        <w:pStyle w:val="Heading3"/>
      </w:pPr>
      <w:bookmarkStart w:id="106" w:name="Xfade32ad4478a29d074ceebcdf29c4d0deffcd2"/>
      <w:r>
        <w:t xml:space="preserve">A.2 Proposed Framework for Value Attribution</w:t>
      </w:r>
      <w:bookmarkEnd w:id="106"/>
    </w:p>
    <w:p>
      <w:pPr>
        <w:pStyle w:val="FirstParagraph"/>
      </w:pPr>
      <w:r>
        <w:t xml:space="preserve">Attributing value to agentic AI requires a multi-faceted approach that moves beyond simple input-output metrics. The proposed framework for value attribution integrates several layers:</w:t>
      </w:r>
    </w:p>
    <w:p>
      <w:pPr>
        <w:numPr>
          <w:ilvl w:val="0"/>
          <w:numId w:val="1018"/>
        </w:numPr>
        <w:pStyle w:val="Compact"/>
      </w:pPr>
      <w:r>
        <w:rPr>
          <w:b/>
        </w:rPr>
        <w:t xml:space="preserve">Direct Outcome Value (DOV):</w:t>
      </w:r>
      <w:r>
        <w:t xml:space="preserve"> </w:t>
      </w:r>
      <w:r>
        <w:t xml:space="preserve">This is the most straightforward layer, quantifying the measurable, tangible outcomes directly achieved by the agent.</w:t>
      </w:r>
    </w:p>
    <w:p>
      <w:pPr>
        <w:numPr>
          <w:ilvl w:val="0"/>
          <w:numId w:val="1019"/>
        </w:numPr>
        <w:pStyle w:val="Compact"/>
      </w:pPr>
      <w:r>
        <w:rPr>
          <w:i/>
        </w:rPr>
        <w:t xml:space="preserve">Metrics:</w:t>
      </w:r>
      <w:r>
        <w:t xml:space="preserve"> </w:t>
      </w:r>
      <w:r>
        <w:t xml:space="preserve">Cost savings (e.g., reduced operational expenses, fraud prevention), revenue generation (e.g., increased sales, optimized marketing spend), efficiency gains (e.g., reduced processing time, faster decision cycles), accuracy improvements (e.g., reduced error rates in diagnostics).</w:t>
      </w:r>
    </w:p>
    <w:p>
      <w:pPr>
        <w:numPr>
          <w:ilvl w:val="0"/>
          <w:numId w:val="1019"/>
        </w:numPr>
        <w:pStyle w:val="Compact"/>
      </w:pPr>
      <w:r>
        <w:rPr>
          <w:i/>
        </w:rPr>
        <w:t xml:space="preserve">Challenge:</w:t>
      </w:r>
      <w:r>
        <w:t xml:space="preserve"> </w:t>
      </w:r>
      <w:r>
        <w:t xml:space="preserve">Isolating the agent’s precise contribution from other confounding factors in complex business environments.</w:t>
      </w:r>
    </w:p>
    <w:p>
      <w:pPr>
        <w:numPr>
          <w:ilvl w:val="0"/>
          <w:numId w:val="1020"/>
        </w:numPr>
        <w:pStyle w:val="Compact"/>
      </w:pPr>
      <w:r>
        <w:rPr>
          <w:b/>
        </w:rPr>
        <w:t xml:space="preserve">Strategic Value Contribution (SVC):</w:t>
      </w:r>
      <w:r>
        <w:t xml:space="preserve"> </w:t>
      </w:r>
      <w:r>
        <w:t xml:space="preserve">This layer assesses how the agent contributes to broader organizational objectives and competitive advantage.</w:t>
      </w:r>
    </w:p>
    <w:p>
      <w:pPr>
        <w:numPr>
          <w:ilvl w:val="0"/>
          <w:numId w:val="1021"/>
        </w:numPr>
        <w:pStyle w:val="Compact"/>
      </w:pPr>
      <w:r>
        <w:rPr>
          <w:i/>
        </w:rPr>
        <w:t xml:space="preserve">Metrics:</w:t>
      </w:r>
      <w:r>
        <w:t xml:space="preserve"> </w:t>
      </w:r>
      <w:r>
        <w:t xml:space="preserve">Enhanced innovation speed, improved market responsiveness, differentiation from competitors, increased organizational agility, superior customer experience, data-driven strategic insights.</w:t>
      </w:r>
    </w:p>
    <w:p>
      <w:pPr>
        <w:numPr>
          <w:ilvl w:val="0"/>
          <w:numId w:val="1021"/>
        </w:numPr>
        <w:pStyle w:val="Compact"/>
      </w:pPr>
      <w:r>
        <w:rPr>
          <w:i/>
        </w:rPr>
        <w:t xml:space="preserve">Challenge:</w:t>
      </w:r>
      <w:r>
        <w:t xml:space="preserve"> </w:t>
      </w:r>
      <w:r>
        <w:t xml:space="preserve">Quantifying these long-term, often intangible benefits and linking them causally to the agent’s actions.</w:t>
      </w:r>
    </w:p>
    <w:p>
      <w:pPr>
        <w:numPr>
          <w:ilvl w:val="0"/>
          <w:numId w:val="1022"/>
        </w:numPr>
        <w:pStyle w:val="Compact"/>
      </w:pPr>
      <w:r>
        <w:rPr>
          <w:b/>
        </w:rPr>
        <w:t xml:space="preserve">Risk Mitigation Value (RMV):</w:t>
      </w:r>
      <w:r>
        <w:t xml:space="preserve"> </w:t>
      </w:r>
      <w:r>
        <w:t xml:space="preserve">Agents can reduce various operational, financial, and reputational risks.</w:t>
      </w:r>
    </w:p>
    <w:p>
      <w:pPr>
        <w:numPr>
          <w:ilvl w:val="0"/>
          <w:numId w:val="1023"/>
        </w:numPr>
        <w:pStyle w:val="Compact"/>
      </w:pPr>
      <w:r>
        <w:rPr>
          <w:i/>
        </w:rPr>
        <w:t xml:space="preserve">Metrics:</w:t>
      </w:r>
      <w:r>
        <w:t xml:space="preserve"> </w:t>
      </w:r>
      <w:r>
        <w:t xml:space="preserve">Reduced downtime, improved security posture, compliance assurance, early warning for critical system failures, mitigation of ethical/bias risks.</w:t>
      </w:r>
    </w:p>
    <w:p>
      <w:pPr>
        <w:numPr>
          <w:ilvl w:val="0"/>
          <w:numId w:val="1023"/>
        </w:numPr>
        <w:pStyle w:val="Compact"/>
      </w:pPr>
      <w:r>
        <w:rPr>
          <w:i/>
        </w:rPr>
        <w:t xml:space="preserve">Challenge:</w:t>
      </w:r>
      <w:r>
        <w:t xml:space="preserve"> </w:t>
      </w:r>
      <w:r>
        <w:t xml:space="preserve">Valuing</w:t>
      </w:r>
      <w:r>
        <w:t xml:space="preserve"> </w:t>
      </w:r>
      <w:r>
        <w:t xml:space="preserve">“</w:t>
      </w:r>
      <w:r>
        <w:t xml:space="preserve">avoided costs</w:t>
      </w:r>
      <w:r>
        <w:t xml:space="preserve">”</w:t>
      </w:r>
      <w:r>
        <w:t xml:space="preserve"> </w:t>
      </w:r>
      <w:r>
        <w:t xml:space="preserve">or</w:t>
      </w:r>
      <w:r>
        <w:t xml:space="preserve"> </w:t>
      </w:r>
      <w:r>
        <w:t xml:space="preserve">“</w:t>
      </w:r>
      <w:r>
        <w:t xml:space="preserve">prevented damages</w:t>
      </w:r>
      <w:r>
        <w:t xml:space="preserve">”</w:t>
      </w:r>
      <w:r>
        <w:t xml:space="preserve"> </w:t>
      </w:r>
      <w:r>
        <w:t xml:space="preserve">and demonstrating the agent’s role in these outcomes.</w:t>
      </w:r>
    </w:p>
    <w:p>
      <w:pPr>
        <w:numPr>
          <w:ilvl w:val="0"/>
          <w:numId w:val="1024"/>
        </w:numPr>
        <w:pStyle w:val="Compact"/>
      </w:pPr>
      <w:r>
        <w:rPr>
          <w:b/>
        </w:rPr>
        <w:t xml:space="preserve">Ethical &amp; Societal Value (ESV):</w:t>
      </w:r>
      <w:r>
        <w:t xml:space="preserve"> </w:t>
      </w:r>
      <w:r>
        <w:t xml:space="preserve">This layer considers the broader societal impact and adherence to ethical principles.</w:t>
      </w:r>
    </w:p>
    <w:p>
      <w:pPr>
        <w:numPr>
          <w:ilvl w:val="0"/>
          <w:numId w:val="1025"/>
        </w:numPr>
        <w:pStyle w:val="Compact"/>
      </w:pPr>
      <w:r>
        <w:rPr>
          <w:i/>
        </w:rPr>
        <w:t xml:space="preserve">Metrics:</w:t>
      </w:r>
      <w:r>
        <w:t xml:space="preserve"> </w:t>
      </w:r>
      <w:r>
        <w:t xml:space="preserve">Improved fairness, reduced bias, enhanced privacy protection, environmental sustainability benefits, contribution to public good (e.g., in healthcare, education).</w:t>
      </w:r>
    </w:p>
    <w:p>
      <w:pPr>
        <w:numPr>
          <w:ilvl w:val="0"/>
          <w:numId w:val="1025"/>
        </w:numPr>
        <w:pStyle w:val="Compact"/>
      </w:pPr>
      <w:r>
        <w:rPr>
          <w:i/>
        </w:rPr>
        <w:t xml:space="preserve">Challenge:</w:t>
      </w:r>
      <w:r>
        <w:t xml:space="preserve"> </w:t>
      </w:r>
      <w:r>
        <w:t xml:space="preserve">Integrating non-commercial values into a commercial pricing model and assessing the market’s willingness to pay a premium for ethical AI.</w:t>
      </w:r>
    </w:p>
    <w:p>
      <w:pPr>
        <w:pStyle w:val="Heading3"/>
      </w:pPr>
      <w:bookmarkStart w:id="107" w:name="Xa5240b164a58e63b71cb7c898a887c16585f7ac"/>
      <w:r>
        <w:t xml:space="preserve">A.3 Interaction Dynamics and Pricing Complexity</w:t>
      </w:r>
      <w:bookmarkEnd w:id="107"/>
    </w:p>
    <w:p>
      <w:pPr>
        <w:pStyle w:val="FirstParagraph"/>
      </w:pPr>
      <w:r>
        <w:t xml:space="preserve">The interactive and dynamic nature of agentic AI systems introduces significant complexity into pricing. Unlike a single API call, an agent often engages in a sequence of actions, potentially involving other agents or external services.</w:t>
      </w:r>
    </w:p>
    <w:p>
      <w:pPr>
        <w:numPr>
          <w:ilvl w:val="0"/>
          <w:numId w:val="1026"/>
        </w:numPr>
        <w:pStyle w:val="Compact"/>
      </w:pPr>
      <w:r>
        <w:rPr>
          <w:b/>
        </w:rPr>
        <w:t xml:space="preserve">Multi-Agent Interaction Costs:</w:t>
      </w:r>
      <w:r>
        <w:t xml:space="preserve"> </w:t>
      </w:r>
      <w:r>
        <w:t xml:space="preserve">In multi-agent systems, agents may incur costs for communicating, coordinating, or requesting services from other agents. Developing models for inter-agent micro-transactions and value exchange becomes critical.</w:t>
      </w:r>
    </w:p>
    <w:p>
      <w:pPr>
        <w:numPr>
          <w:ilvl w:val="0"/>
          <w:numId w:val="1026"/>
        </w:numPr>
        <w:pStyle w:val="Compact"/>
      </w:pPr>
      <w:r>
        <w:rPr>
          <w:b/>
        </w:rPr>
        <w:t xml:space="preserve">Dynamic Resource Consumption:</w:t>
      </w:r>
      <w:r>
        <w:t xml:space="preserve"> </w:t>
      </w:r>
      <w:r>
        <w:t xml:space="preserve">An agent’s computational resource consumption can fluctuate based on task complexity, environmental changes, and unforeseen events. Pricing models must account for this variability, potentially through dynamic pricing or burst capacity options.</w:t>
      </w:r>
    </w:p>
    <w:p>
      <w:pPr>
        <w:numPr>
          <w:ilvl w:val="0"/>
          <w:numId w:val="1026"/>
        </w:numPr>
        <w:pStyle w:val="Compact"/>
      </w:pPr>
      <w:r>
        <w:rPr>
          <w:b/>
        </w:rPr>
        <w:t xml:space="preserve">Contextual Sensitivity:</w:t>
      </w:r>
      <w:r>
        <w:t xml:space="preserve"> </w:t>
      </w:r>
      <w:r>
        <w:t xml:space="preserve">The value of an agent’s action can depend heavily on its context. A critical decision made under high uncertainty might be valued differently than a routine task, even if the computational cost is similar.</w:t>
      </w:r>
    </w:p>
    <w:p>
      <w:pPr>
        <w:numPr>
          <w:ilvl w:val="0"/>
          <w:numId w:val="1026"/>
        </w:numPr>
        <w:pStyle w:val="Compact"/>
      </w:pPr>
      <w:r>
        <w:rPr>
          <w:b/>
        </w:rPr>
        <w:t xml:space="preserve">Feedback Loop Optimization:</w:t>
      </w:r>
      <w:r>
        <w:t xml:space="preserve"> </w:t>
      </w:r>
      <w:r>
        <w:t xml:space="preserve">Agents that learn and self-optimize based on feedback loops continuously change their behavior and potentially their value. Pricing models need to adapt to this evolving utility, perhaps with performance-based tiers that adjust over time.</w:t>
      </w:r>
    </w:p>
    <w:p>
      <w:pPr>
        <w:pStyle w:val="Heading3"/>
      </w:pPr>
      <w:bookmarkStart w:id="108" w:name="a.4-ethical-and-governance-layers"/>
      <w:r>
        <w:t xml:space="preserve">A.4 Ethical and Governance Layers</w:t>
      </w:r>
      <w:bookmarkEnd w:id="108"/>
    </w:p>
    <w:p>
      <w:pPr>
        <w:pStyle w:val="FirstParagraph"/>
      </w:pPr>
      <w:r>
        <w:t xml:space="preserve">Ethical considerations and robust governance are not peripheral but integral to the economic framework for agentic AI pricing.</w:t>
      </w:r>
    </w:p>
    <w:p>
      <w:pPr>
        <w:numPr>
          <w:ilvl w:val="0"/>
          <w:numId w:val="1027"/>
        </w:numPr>
        <w:pStyle w:val="Compact"/>
      </w:pPr>
      <w:r>
        <w:rPr>
          <w:b/>
        </w:rPr>
        <w:t xml:space="preserve">Transparency in Pricing Logic:</w:t>
      </w:r>
      <w:r>
        <w:t xml:space="preserve"> </w:t>
      </w:r>
      <w:r>
        <w:t xml:space="preserve">For complex agentic services, transparency regarding how costs are calculated, how value is attributed, and how dynamic pricing algorithms operate is crucial for building trust and ensuring fairness.</w:t>
      </w:r>
    </w:p>
    <w:p>
      <w:pPr>
        <w:numPr>
          <w:ilvl w:val="0"/>
          <w:numId w:val="1027"/>
        </w:numPr>
        <w:pStyle w:val="Compact"/>
      </w:pPr>
      <w:r>
        <w:rPr>
          <w:b/>
        </w:rPr>
        <w:t xml:space="preserve">Accountability and Liability:</w:t>
      </w:r>
      <w:r>
        <w:t xml:space="preserve"> </w:t>
      </w:r>
      <w:r>
        <w:t xml:space="preserve">As agents become more autonomous and outcome-driven, clear frameworks for accountability and liability for their actions (and failures) are essential. Pricing models may need to incorporate mechanisms for risk sharing or insurance.</w:t>
      </w:r>
    </w:p>
    <w:p>
      <w:pPr>
        <w:numPr>
          <w:ilvl w:val="0"/>
          <w:numId w:val="1027"/>
        </w:numPr>
        <w:pStyle w:val="Compact"/>
      </w:pPr>
      <w:r>
        <w:rPr>
          <w:b/>
        </w:rPr>
        <w:t xml:space="preserve">Bias Mitigation Costs:</w:t>
      </w:r>
      <w:r>
        <w:t xml:space="preserve"> </w:t>
      </w:r>
      <w:r>
        <w:t xml:space="preserve">The investment in developing and deploying AI agents that actively mitigate bias and promote fairness should be recognized in their pricing, potentially as a premium for</w:t>
      </w:r>
      <w:r>
        <w:t xml:space="preserve"> </w:t>
      </w:r>
      <w:r>
        <w:t xml:space="preserve">“</w:t>
      </w:r>
      <w:r>
        <w:t xml:space="preserve">trustworthy AI.</w:t>
      </w:r>
      <w:r>
        <w:t xml:space="preserve">”</w:t>
      </w:r>
    </w:p>
    <w:p>
      <w:pPr>
        <w:numPr>
          <w:ilvl w:val="0"/>
          <w:numId w:val="1027"/>
        </w:numPr>
        <w:pStyle w:val="Compact"/>
      </w:pPr>
      <w:r>
        <w:rPr>
          <w:b/>
        </w:rPr>
        <w:t xml:space="preserve">Regulatory Compliance Costs:</w:t>
      </w:r>
      <w:r>
        <w:t xml:space="preserve"> </w:t>
      </w:r>
      <w:r>
        <w:t xml:space="preserve">Adherence to regulations like the EU AI Act, GDPR, and industry-specific standards incurs significant costs for development, auditing, and monitoring. These compliance costs will inevitably be reflected in pricing, emphasizing the need for harmonized international standards.</w:t>
      </w:r>
    </w:p>
    <w:p>
      <w:pPr>
        <w:numPr>
          <w:ilvl w:val="0"/>
          <w:numId w:val="1027"/>
        </w:numPr>
        <w:pStyle w:val="Compact"/>
      </w:pPr>
      <w:r>
        <w:rPr>
          <w:b/>
        </w:rPr>
        <w:t xml:space="preserve">Accessibility and Equity:</w:t>
      </w:r>
      <w:r>
        <w:t xml:space="preserve"> </w:t>
      </w:r>
      <w:r>
        <w:t xml:space="preserve">Ethical pricing also considers accessibility. Pricing models should strive to avoid creating exclusionary barriers, ensuring that the transformative benefits of agentic AI are available to a broad range of users and organizations, potentially through tiered pricing or public good initiatives.</w:t>
      </w:r>
    </w:p>
    <w:p>
      <w:pPr>
        <w:pStyle w:val="FirstParagraph"/>
      </w:pPr>
      <w:r>
        <w:t xml:space="preserve">This comprehensive framework provides a structured approach to understanding the complex economic dynamics of agentic AI, moving beyond simplistic cost-recovery models to encompass the multifaceted value, interaction complexities, and ethical imperatives of these advanced systems.</w:t>
      </w:r>
    </w:p>
    <w:p>
      <w:r>
        <w:pict>
          <v:rect style="width:0;height:1.5pt" o:hralign="center" o:hrstd="t" o:hr="t"/>
        </w:pict>
      </w:r>
    </w:p>
    <w:p>
      <w:pPr>
        <w:pStyle w:val="Heading2"/>
      </w:pPr>
      <w:bookmarkStart w:id="109" w:name="X7897a2f01bf0e93240753e13146a37aee314c9b"/>
      <w:r>
        <w:t xml:space="preserve">Appendix C: Detailed AI Pricing Scenario Projections</w:t>
      </w:r>
      <w:bookmarkEnd w:id="109"/>
    </w:p>
    <w:p>
      <w:pPr>
        <w:pStyle w:val="FirstParagraph"/>
      </w:pPr>
      <w:r>
        <w:t xml:space="preserve">This appendix provides detailed quantitative projections for two illustrative scenarios: token-based LLM cost and agentic workflow outcome-based savings. These projections aim to demonstrate the practical implications of different pricing models and the potential for significant value capture with agentic AI.</w:t>
      </w:r>
    </w:p>
    <w:p>
      <w:pPr>
        <w:pStyle w:val="Heading3"/>
      </w:pPr>
      <w:bookmarkStart w:id="110" w:name="X415e10fba002969f9dbc8e26581964b3c516194"/>
      <w:r>
        <w:t xml:space="preserve">C.1 Scenario 1: Token-Based LLM Cost Projections for Content Generation</w:t>
      </w:r>
      <w:bookmarkEnd w:id="110"/>
    </w:p>
    <w:p>
      <w:pPr>
        <w:pStyle w:val="FirstParagraph"/>
      </w:pPr>
      <w:r>
        <w:t xml:space="preserve">This scenario models the monthly cost of using a large language model (LLM) for content generation tasks, such as creating blog posts, marketing copy, or internal reports. We consider two hypothetical LLM models with different pricing tiers and tokenization efficiencies.</w:t>
      </w:r>
    </w:p>
    <w:p>
      <w:pPr>
        <w:pStyle w:val="BodyText"/>
      </w:pPr>
      <w:r>
        <w:rPr>
          <w:b/>
        </w:rPr>
        <w:t xml:space="preserve">Assumptions:</w:t>
      </w:r>
      <w:r>
        <w:t xml:space="preserve"> </w:t>
      </w:r>
      <w:r>
        <w:t xml:space="preserve">* Average input prompt length: 500 tokens</w:t>
      </w:r>
      <w:r>
        <w:t xml:space="preserve"> </w:t>
      </w:r>
      <w:r>
        <w:t xml:space="preserve">* Average output response length: 1,500 tokens</w:t>
      </w:r>
      <w:r>
        <w:t xml:space="preserve"> </w:t>
      </w:r>
      <w:r>
        <w:t xml:space="preserve">* Average words per token: 0.75 (varies by tokenizer/language)</w:t>
      </w:r>
      <w:r>
        <w:t xml:space="preserve"> </w:t>
      </w:r>
      <w:r>
        <w:t xml:space="preserve">* Monthly content volume target: 200 articles/reports</w:t>
      </w:r>
    </w:p>
    <w:p>
      <w:pPr>
        <w:pStyle w:val="BodyText"/>
      </w:pPr>
      <w:r>
        <w:rPr>
          <w:b/>
        </w:rPr>
        <w:t xml:space="preserve">Table C.1: Quantitative Metrics for LLM Content Generation Scenario</w:t>
      </w:r>
    </w:p>
    <w:tbl>
      <w:tblPr>
        <w:tblStyle w:val="Table"/>
        <w:tblW w:type="pct" w:w="5000.0"/>
        <w:tblLook w:firstRow="1"/>
      </w:tblPr>
      <w:tblGrid>
        <w:gridCol w:w="1462"/>
        <w:gridCol w:w="1513"/>
        <w:gridCol w:w="1614"/>
        <w:gridCol w:w="807"/>
        <w:gridCol w:w="2522"/>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LLM Model A (Cost-Optimized)</w:t>
            </w:r>
          </w:p>
        </w:tc>
        <w:tc>
          <w:tcPr>
            <w:tcBorders>
              <w:bottom w:val="single"/>
            </w:tcBorders>
            <w:vAlign w:val="bottom"/>
          </w:tcPr>
          <w:p>
            <w:pPr>
              <w:pStyle w:val="Compact"/>
              <w:jc w:val="left"/>
            </w:pPr>
            <w:r>
              <w:t xml:space="preserve">LLM Model B (High-Performance)</w:t>
            </w:r>
          </w:p>
        </w:tc>
        <w:tc>
          <w:tcPr>
            <w:tcBorders>
              <w:bottom w:val="single"/>
            </w:tcBorders>
            <w:vAlign w:val="bottom"/>
          </w:tcPr>
          <w:p>
            <w:pPr>
              <w:pStyle w:val="Compact"/>
              <w:jc w:val="left"/>
            </w:pPr>
            <w:r>
              <w:t xml:space="preserve">Difference (%)</w:t>
            </w:r>
          </w:p>
        </w:tc>
        <w:tc>
          <w:tcPr>
            <w:tcBorders>
              <w:bottom w:val="single"/>
            </w:tcBorders>
            <w:vAlign w:val="bottom"/>
          </w:tcPr>
          <w:p>
            <w:pPr>
              <w:pStyle w:val="Compact"/>
              <w:jc w:val="left"/>
            </w:pPr>
            <w:r>
              <w:t xml:space="preserve">Interpretation</w:t>
            </w:r>
          </w:p>
        </w:tc>
      </w:tr>
      <w:tr>
        <w:tc>
          <w:p>
            <w:pPr>
              <w:pStyle w:val="Compact"/>
              <w:jc w:val="left"/>
            </w:pPr>
            <w:r>
              <w:rPr>
                <w:b/>
              </w:rPr>
              <w:t xml:space="preserve">Input Tokens (per doc)</w:t>
            </w:r>
          </w:p>
        </w:tc>
        <w:tc>
          <w:p>
            <w:pPr>
              <w:pStyle w:val="Compact"/>
              <w:jc w:val="left"/>
            </w:pPr>
            <w:r>
              <w:t xml:space="preserve">500</w:t>
            </w:r>
          </w:p>
        </w:tc>
        <w:tc>
          <w:p>
            <w:pPr>
              <w:pStyle w:val="Compact"/>
              <w:jc w:val="left"/>
            </w:pPr>
            <w:r>
              <w:t xml:space="preserve">500</w:t>
            </w:r>
          </w:p>
        </w:tc>
        <w:tc>
          <w:p>
            <w:pPr>
              <w:pStyle w:val="Compact"/>
              <w:jc w:val="left"/>
            </w:pPr>
            <w:r>
              <w:t xml:space="preserve">0%</w:t>
            </w:r>
          </w:p>
        </w:tc>
        <w:tc>
          <w:p>
            <w:pPr>
              <w:pStyle w:val="Compact"/>
              <w:jc w:val="left"/>
            </w:pPr>
            <w:r>
              <w:t xml:space="preserve">Consistent prompt length across models</w:t>
            </w:r>
          </w:p>
        </w:tc>
      </w:tr>
      <w:tr>
        <w:tc>
          <w:p>
            <w:pPr>
              <w:pStyle w:val="Compact"/>
              <w:jc w:val="left"/>
            </w:pPr>
            <w:r>
              <w:rPr>
                <w:b/>
              </w:rPr>
              <w:t xml:space="preserve">Output Tokens (per doc)</w:t>
            </w:r>
          </w:p>
        </w:tc>
        <w:tc>
          <w:p>
            <w:pPr>
              <w:pStyle w:val="Compact"/>
              <w:jc w:val="left"/>
            </w:pPr>
            <w:r>
              <w:t xml:space="preserve">1,500</w:t>
            </w:r>
          </w:p>
        </w:tc>
        <w:tc>
          <w:p>
            <w:pPr>
              <w:pStyle w:val="Compact"/>
              <w:jc w:val="left"/>
            </w:pPr>
            <w:r>
              <w:t xml:space="preserve">1,500</w:t>
            </w:r>
          </w:p>
        </w:tc>
        <w:tc>
          <w:p>
            <w:pPr>
              <w:pStyle w:val="Compact"/>
              <w:jc w:val="left"/>
            </w:pPr>
            <w:r>
              <w:t xml:space="preserve">0%</w:t>
            </w:r>
          </w:p>
        </w:tc>
        <w:tc>
          <w:p>
            <w:pPr>
              <w:pStyle w:val="Compact"/>
              <w:jc w:val="left"/>
            </w:pPr>
            <w:r>
              <w:t xml:space="preserve">Consistent desired output length</w:t>
            </w:r>
          </w:p>
        </w:tc>
      </w:tr>
      <w:tr>
        <w:tc>
          <w:p>
            <w:pPr>
              <w:pStyle w:val="Compact"/>
              <w:jc w:val="left"/>
            </w:pPr>
            <w:r>
              <w:rPr>
                <w:b/>
              </w:rPr>
              <w:t xml:space="preserve">Total Tokens (per doc)</w:t>
            </w:r>
          </w:p>
        </w:tc>
        <w:tc>
          <w:p>
            <w:pPr>
              <w:pStyle w:val="Compact"/>
              <w:jc w:val="left"/>
            </w:pPr>
            <w:r>
              <w:t xml:space="preserve">2,000</w:t>
            </w:r>
          </w:p>
        </w:tc>
        <w:tc>
          <w:p>
            <w:pPr>
              <w:pStyle w:val="Compact"/>
              <w:jc w:val="left"/>
            </w:pPr>
            <w:r>
              <w:t xml:space="preserve">2,000</w:t>
            </w:r>
          </w:p>
        </w:tc>
        <w:tc>
          <w:p>
            <w:pPr>
              <w:pStyle w:val="Compact"/>
              <w:jc w:val="left"/>
            </w:pPr>
            <w:r>
              <w:t xml:space="preserve">0%</w:t>
            </w:r>
          </w:p>
        </w:tc>
        <w:tc>
          <w:p>
            <w:pPr>
              <w:pStyle w:val="Compact"/>
              <w:jc w:val="left"/>
            </w:pPr>
            <w:r>
              <w:t xml:space="preserve">Total computational units per document</w:t>
            </w:r>
          </w:p>
        </w:tc>
      </w:tr>
      <w:tr>
        <w:tc>
          <w:p>
            <w:pPr>
              <w:pStyle w:val="Compact"/>
              <w:jc w:val="left"/>
            </w:pPr>
            <w:r>
              <w:rPr>
                <w:b/>
              </w:rPr>
              <w:t xml:space="preserve">Monthly Documents</w:t>
            </w:r>
          </w:p>
        </w:tc>
        <w:tc>
          <w:p>
            <w:pPr>
              <w:pStyle w:val="Compact"/>
              <w:jc w:val="left"/>
            </w:pPr>
            <w:r>
              <w:t xml:space="preserve">200</w:t>
            </w:r>
          </w:p>
        </w:tc>
        <w:tc>
          <w:p>
            <w:pPr>
              <w:pStyle w:val="Compact"/>
              <w:jc w:val="left"/>
            </w:pPr>
            <w:r>
              <w:t xml:space="preserve">200</w:t>
            </w:r>
          </w:p>
        </w:tc>
        <w:tc>
          <w:p>
            <w:pPr>
              <w:pStyle w:val="Compact"/>
              <w:jc w:val="left"/>
            </w:pPr>
            <w:r>
              <w:t xml:space="preserve">0%</w:t>
            </w:r>
          </w:p>
        </w:tc>
        <w:tc>
          <w:p>
            <w:pPr>
              <w:pStyle w:val="Compact"/>
              <w:jc w:val="left"/>
            </w:pPr>
            <w:r>
              <w:t xml:space="preserve">Target content volume</w:t>
            </w:r>
          </w:p>
        </w:tc>
      </w:tr>
      <w:tr>
        <w:tc>
          <w:p>
            <w:pPr>
              <w:pStyle w:val="Compact"/>
              <w:jc w:val="left"/>
            </w:pPr>
            <w:r>
              <w:rPr>
                <w:b/>
              </w:rPr>
              <w:t xml:space="preserve">Total Monthly Tokens (M)</w:t>
            </w:r>
          </w:p>
        </w:tc>
        <w:tc>
          <w:p>
            <w:pPr>
              <w:pStyle w:val="Compact"/>
              <w:jc w:val="left"/>
            </w:pPr>
            <w:r>
              <w:t xml:space="preserve">0.4</w:t>
            </w:r>
          </w:p>
        </w:tc>
        <w:tc>
          <w:p>
            <w:pPr>
              <w:pStyle w:val="Compact"/>
              <w:jc w:val="left"/>
            </w:pPr>
            <w:r>
              <w:t xml:space="preserve">0.4</w:t>
            </w:r>
          </w:p>
        </w:tc>
        <w:tc>
          <w:p>
            <w:pPr>
              <w:pStyle w:val="Compact"/>
              <w:jc w:val="left"/>
            </w:pPr>
            <w:r>
              <w:t xml:space="preserve">0%</w:t>
            </w:r>
          </w:p>
        </w:tc>
        <w:tc>
          <w:p>
            <w:pPr>
              <w:pStyle w:val="Compact"/>
              <w:jc w:val="left"/>
            </w:pPr>
            <w:r>
              <w:t xml:space="preserve">Total tokens processed for target volume</w:t>
            </w:r>
          </w:p>
        </w:tc>
      </w:tr>
      <w:tr>
        <w:tc>
          <w:p>
            <w:pPr>
              <w:pStyle w:val="Compact"/>
              <w:jc w:val="left"/>
            </w:pPr>
            <w:r>
              <w:rPr>
                <w:b/>
              </w:rPr>
              <w:t xml:space="preserve">Input Cost / 1M Tokens</w:t>
            </w:r>
          </w:p>
        </w:tc>
        <w:tc>
          <w:p>
            <w:pPr>
              <w:pStyle w:val="Compact"/>
              <w:jc w:val="left"/>
            </w:pPr>
            <w:r>
              <w:t xml:space="preserve">$0.50</w:t>
            </w:r>
          </w:p>
        </w:tc>
        <w:tc>
          <w:p>
            <w:pPr>
              <w:pStyle w:val="Compact"/>
              <w:jc w:val="left"/>
            </w:pPr>
            <w:r>
              <w:t xml:space="preserve">$5.00</w:t>
            </w:r>
          </w:p>
        </w:tc>
        <w:tc>
          <w:p>
            <w:pPr>
              <w:pStyle w:val="Compact"/>
              <w:jc w:val="left"/>
            </w:pPr>
            <w:r>
              <w:t xml:space="preserve">+900%</w:t>
            </w:r>
          </w:p>
        </w:tc>
        <w:tc>
          <w:p>
            <w:pPr>
              <w:pStyle w:val="Compact"/>
              <w:jc w:val="left"/>
            </w:pPr>
            <w:r>
              <w:t xml:space="preserve">Model A is 10x cheaper for input</w:t>
            </w:r>
          </w:p>
        </w:tc>
      </w:tr>
      <w:tr>
        <w:tc>
          <w:p>
            <w:pPr>
              <w:pStyle w:val="Compact"/>
              <w:jc w:val="left"/>
            </w:pPr>
            <w:r>
              <w:rPr>
                <w:b/>
              </w:rPr>
              <w:t xml:space="preserve">Output Cost / 1M Tokens</w:t>
            </w:r>
          </w:p>
        </w:tc>
        <w:tc>
          <w:p>
            <w:pPr>
              <w:pStyle w:val="Compact"/>
              <w:jc w:val="left"/>
            </w:pPr>
            <w:r>
              <w:t xml:space="preserve">$1.50</w:t>
            </w:r>
          </w:p>
        </w:tc>
        <w:tc>
          <w:p>
            <w:pPr>
              <w:pStyle w:val="Compact"/>
              <w:jc w:val="left"/>
            </w:pPr>
            <w:r>
              <w:t xml:space="preserve">$15.00</w:t>
            </w:r>
          </w:p>
        </w:tc>
        <w:tc>
          <w:p>
            <w:pPr>
              <w:pStyle w:val="Compact"/>
              <w:jc w:val="left"/>
            </w:pPr>
            <w:r>
              <w:t xml:space="preserve">+900%</w:t>
            </w:r>
          </w:p>
        </w:tc>
        <w:tc>
          <w:p>
            <w:pPr>
              <w:pStyle w:val="Compact"/>
              <w:jc w:val="left"/>
            </w:pPr>
            <w:r>
              <w:t xml:space="preserve">Model A is 10x cheaper for output</w:t>
            </w:r>
          </w:p>
        </w:tc>
      </w:tr>
      <w:tr>
        <w:tc>
          <w:p>
            <w:pPr>
              <w:pStyle w:val="Compact"/>
              <w:jc w:val="left"/>
            </w:pPr>
            <w:r>
              <w:rPr>
                <w:b/>
              </w:rPr>
              <w:t xml:space="preserve">Monthly Input Cost</w:t>
            </w:r>
          </w:p>
        </w:tc>
        <w:tc>
          <w:p>
            <w:pPr>
              <w:pStyle w:val="Compact"/>
              <w:jc w:val="left"/>
            </w:pPr>
            <w:r>
              <w:t xml:space="preserve">$0.20</w:t>
            </w:r>
          </w:p>
        </w:tc>
        <w:tc>
          <w:p>
            <w:pPr>
              <w:pStyle w:val="Compact"/>
              <w:jc w:val="left"/>
            </w:pPr>
            <w:r>
              <w:t xml:space="preserve">$2.00</w:t>
            </w:r>
          </w:p>
        </w:tc>
        <w:tc>
          <w:p>
            <w:pPr>
              <w:pStyle w:val="Compact"/>
              <w:jc w:val="left"/>
            </w:pPr>
            <w:r>
              <w:t xml:space="preserve">+900%</w:t>
            </w:r>
          </w:p>
        </w:tc>
        <w:tc>
          <w:p>
            <w:pPr>
              <w:pStyle w:val="Compact"/>
              <w:jc w:val="left"/>
            </w:pPr>
            <w:r>
              <w:t xml:space="preserve">Cost for prompts</w:t>
            </w:r>
          </w:p>
        </w:tc>
      </w:tr>
      <w:tr>
        <w:tc>
          <w:p>
            <w:pPr>
              <w:pStyle w:val="Compact"/>
              <w:jc w:val="left"/>
            </w:pPr>
            <w:r>
              <w:rPr>
                <w:b/>
              </w:rPr>
              <w:t xml:space="preserve">Monthly Output Cost</w:t>
            </w:r>
          </w:p>
        </w:tc>
        <w:tc>
          <w:p>
            <w:pPr>
              <w:pStyle w:val="Compact"/>
              <w:jc w:val="left"/>
            </w:pPr>
            <w:r>
              <w:t xml:space="preserve">$0.60</w:t>
            </w:r>
          </w:p>
        </w:tc>
        <w:tc>
          <w:p>
            <w:pPr>
              <w:pStyle w:val="Compact"/>
              <w:jc w:val="left"/>
            </w:pPr>
            <w:r>
              <w:t xml:space="preserve">$6.00</w:t>
            </w:r>
          </w:p>
        </w:tc>
        <w:tc>
          <w:p>
            <w:pPr>
              <w:pStyle w:val="Compact"/>
              <w:jc w:val="left"/>
            </w:pPr>
            <w:r>
              <w:t xml:space="preserve">+900%</w:t>
            </w:r>
          </w:p>
        </w:tc>
        <w:tc>
          <w:p>
            <w:pPr>
              <w:pStyle w:val="Compact"/>
              <w:jc w:val="left"/>
            </w:pPr>
            <w:r>
              <w:t xml:space="preserve">Cost for generated content</w:t>
            </w:r>
          </w:p>
        </w:tc>
      </w:tr>
      <w:tr>
        <w:tc>
          <w:p>
            <w:pPr>
              <w:pStyle w:val="Compact"/>
              <w:jc w:val="left"/>
            </w:pPr>
            <w:r>
              <w:rPr>
                <w:b/>
              </w:rPr>
              <w:t xml:space="preserve">Total Monthly LLM Cost</w:t>
            </w:r>
          </w:p>
        </w:tc>
        <w:tc>
          <w:p>
            <w:pPr>
              <w:pStyle w:val="Compact"/>
              <w:jc w:val="left"/>
            </w:pPr>
            <w:r>
              <w:t xml:space="preserve">$0.80</w:t>
            </w:r>
          </w:p>
        </w:tc>
        <w:tc>
          <w:p>
            <w:pPr>
              <w:pStyle w:val="Compact"/>
              <w:jc w:val="left"/>
            </w:pPr>
            <w:r>
              <w:t xml:space="preserve">$8.00</w:t>
            </w:r>
          </w:p>
        </w:tc>
        <w:tc>
          <w:p>
            <w:pPr>
              <w:pStyle w:val="Compact"/>
              <w:jc w:val="left"/>
            </w:pPr>
            <w:r>
              <w:t xml:space="preserve">+900%</w:t>
            </w:r>
          </w:p>
        </w:tc>
        <w:tc>
          <w:p>
            <w:pPr>
              <w:pStyle w:val="Compact"/>
              <w:jc w:val="left"/>
            </w:pPr>
            <w:r>
              <w:t xml:space="preserve">Model A offers significant cost savings</w:t>
            </w:r>
          </w:p>
        </w:tc>
      </w:tr>
      <w:tr>
        <w:tc>
          <w:p>
            <w:pPr>
              <w:pStyle w:val="Compact"/>
              <w:jc w:val="left"/>
            </w:pPr>
            <w:r>
              <w:rPr>
                <w:b/>
              </w:rPr>
              <w:t xml:space="preserve">Monthly Word Count (K)</w:t>
            </w:r>
          </w:p>
        </w:tc>
        <w:tc>
          <w:p>
            <w:pPr>
              <w:pStyle w:val="Compact"/>
              <w:jc w:val="left"/>
            </w:pPr>
            <w:r>
              <w:t xml:space="preserve">300</w:t>
            </w:r>
          </w:p>
        </w:tc>
        <w:tc>
          <w:p>
            <w:pPr>
              <w:pStyle w:val="Compact"/>
              <w:jc w:val="left"/>
            </w:pPr>
            <w:r>
              <w:t xml:space="preserve">300</w:t>
            </w:r>
          </w:p>
        </w:tc>
        <w:tc>
          <w:p>
            <w:pPr>
              <w:pStyle w:val="Compact"/>
              <w:jc w:val="left"/>
            </w:pPr>
            <w:r>
              <w:t xml:space="preserve">0%</w:t>
            </w:r>
          </w:p>
        </w:tc>
        <w:tc>
          <w:p>
            <w:pPr>
              <w:pStyle w:val="Compact"/>
              <w:jc w:val="left"/>
            </w:pPr>
            <w:r>
              <w:t xml:space="preserve">Total words generated per month</w:t>
            </w:r>
          </w:p>
        </w:tc>
      </w:tr>
      <w:tr>
        <w:tc>
          <w:p>
            <w:pPr>
              <w:pStyle w:val="Compact"/>
              <w:jc w:val="left"/>
            </w:pPr>
            <w:r>
              <w:rPr>
                <w:b/>
              </w:rPr>
              <w:t xml:space="preserve">Cost per 1K Words</w:t>
            </w:r>
          </w:p>
        </w:tc>
        <w:tc>
          <w:p>
            <w:pPr>
              <w:pStyle w:val="Compact"/>
              <w:jc w:val="left"/>
            </w:pPr>
            <w:r>
              <w:t xml:space="preserve">$0.0027</w:t>
            </w:r>
          </w:p>
        </w:tc>
        <w:tc>
          <w:p>
            <w:pPr>
              <w:pStyle w:val="Compact"/>
              <w:jc w:val="left"/>
            </w:pPr>
            <w:r>
              <w:t xml:space="preserve">$0.027</w:t>
            </w:r>
          </w:p>
        </w:tc>
        <w:tc>
          <w:p>
            <w:pPr>
              <w:pStyle w:val="Compact"/>
              <w:jc w:val="left"/>
            </w:pPr>
            <w:r>
              <w:t xml:space="preserve">+900%</w:t>
            </w:r>
          </w:p>
        </w:tc>
        <w:tc>
          <w:p>
            <w:pPr>
              <w:pStyle w:val="Compact"/>
              <w:jc w:val="left"/>
            </w:pPr>
            <w:r>
              <w:t xml:space="preserve">Model A is highly cost-efficient per word</w:t>
            </w:r>
          </w:p>
        </w:tc>
      </w:tr>
    </w:tbl>
    <w:p>
      <w:pPr>
        <w:pStyle w:val="BodyText"/>
      </w:pPr>
      <w:r>
        <w:rPr>
          <w:i/>
        </w:rPr>
        <w:t xml:space="preserve">Note: This projection highlights how even with identical usage, the choice of LLM model (based on its pricing tier) can drastically impact total monthly costs. Model A, while potentially less performant or with smaller context, offers a 900% cost reduction for this specific content generation workload. This underscores the need for cost-awareness in prompt engineering and model selection.</w:t>
      </w:r>
    </w:p>
    <w:p>
      <w:pPr>
        <w:pStyle w:val="Heading3"/>
      </w:pPr>
      <w:bookmarkStart w:id="111" w:name="X0f39b7b9a034cb56c25a5b798b7bc01e779dc4f"/>
      <w:r>
        <w:t xml:space="preserve">C.2 Scenario 2: Agentic Workflow Outcome-Based Savings for Fraud Detection</w:t>
      </w:r>
      <w:bookmarkEnd w:id="111"/>
    </w:p>
    <w:p>
      <w:pPr>
        <w:pStyle w:val="FirstParagraph"/>
      </w:pPr>
      <w:r>
        <w:t xml:space="preserve">This scenario projects the potential cost savings achieved by deploying an AI agent for real-time fraud detection, using an outcome-based pricing model where the agent provider charges a percentage of prevented losses.</w:t>
      </w:r>
    </w:p>
    <w:p>
      <w:pPr>
        <w:pStyle w:val="BodyText"/>
      </w:pPr>
      <w:r>
        <w:rPr>
          <w:b/>
        </w:rPr>
        <w:t xml:space="preserve">Assumptions:</w:t>
      </w:r>
      <w:r>
        <w:t xml:space="preserve"> </w:t>
      </w:r>
      <w:r>
        <w:t xml:space="preserve">* Monthly transaction volume: 500,000 transactions</w:t>
      </w:r>
      <w:r>
        <w:t xml:space="preserve"> </w:t>
      </w:r>
      <w:r>
        <w:t xml:space="preserve">* Baseline fraud rate (without agent): 0.5% of transaction value</w:t>
      </w:r>
      <w:r>
        <w:t xml:space="preserve"> </w:t>
      </w:r>
      <w:r>
        <w:t xml:space="preserve">* Average transaction value: $100</w:t>
      </w:r>
      <w:r>
        <w:t xml:space="preserve"> </w:t>
      </w:r>
      <w:r>
        <w:t xml:space="preserve">* AI agent detection accuracy: 80% of fraudulent transactions caught</w:t>
      </w:r>
      <w:r>
        <w:t xml:space="preserve"> </w:t>
      </w:r>
      <w:r>
        <w:t xml:space="preserve">* Agent provider’s outcome-based fee: 10% of prevented fraud value</w:t>
      </w:r>
    </w:p>
    <w:p>
      <w:pPr>
        <w:pStyle w:val="BodyText"/>
      </w:pPr>
      <w:r>
        <w:rPr>
          <w:b/>
        </w:rPr>
        <w:t xml:space="preserve">Table C.2: Quantitative Metrics for AI Fraud Detection Agent Scenario</w:t>
      </w:r>
    </w:p>
    <w:tbl>
      <w:tblPr>
        <w:tblStyle w:val="Table"/>
        <w:tblW w:type="pct" w:w="5000.0"/>
        <w:tblLook w:firstRow="1"/>
      </w:tblPr>
      <w:tblGrid>
        <w:gridCol w:w="1980"/>
        <w:gridCol w:w="1222"/>
        <w:gridCol w:w="1106"/>
        <w:gridCol w:w="698"/>
        <w:gridCol w:w="2911"/>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Baseline (No Agent)</w:t>
            </w:r>
          </w:p>
        </w:tc>
        <w:tc>
          <w:tcPr>
            <w:tcBorders>
              <w:bottom w:val="single"/>
            </w:tcBorders>
            <w:vAlign w:val="bottom"/>
          </w:tcPr>
          <w:p>
            <w:pPr>
              <w:pStyle w:val="Compact"/>
              <w:jc w:val="left"/>
            </w:pPr>
            <w:r>
              <w:t xml:space="preserve">AI Agent Deployed</w:t>
            </w:r>
          </w:p>
        </w:tc>
        <w:tc>
          <w:tcPr>
            <w:tcBorders>
              <w:bottom w:val="single"/>
            </w:tcBorders>
            <w:vAlign w:val="bottom"/>
          </w:tcPr>
          <w:p>
            <w:pPr>
              <w:pStyle w:val="Compact"/>
              <w:jc w:val="left"/>
            </w:pPr>
            <w:r>
              <w:t xml:space="preserve">Change (%)</w:t>
            </w:r>
          </w:p>
        </w:tc>
        <w:tc>
          <w:tcPr>
            <w:tcBorders>
              <w:bottom w:val="single"/>
            </w:tcBorders>
            <w:vAlign w:val="bottom"/>
          </w:tcPr>
          <w:p>
            <w:pPr>
              <w:pStyle w:val="Compact"/>
              <w:jc w:val="left"/>
            </w:pPr>
            <w:r>
              <w:t xml:space="preserve">Interpretation</w:t>
            </w:r>
          </w:p>
        </w:tc>
      </w:tr>
      <w:tr>
        <w:tc>
          <w:p>
            <w:pPr>
              <w:pStyle w:val="Compact"/>
              <w:jc w:val="left"/>
            </w:pPr>
            <w:r>
              <w:rPr>
                <w:b/>
              </w:rPr>
              <w:t xml:space="preserve">Monthly Transaction Volume</w:t>
            </w:r>
          </w:p>
        </w:tc>
        <w:tc>
          <w:p>
            <w:pPr>
              <w:pStyle w:val="Compact"/>
              <w:jc w:val="left"/>
            </w:pPr>
            <w:r>
              <w:t xml:space="preserve">500,000</w:t>
            </w:r>
          </w:p>
        </w:tc>
        <w:tc>
          <w:p>
            <w:pPr>
              <w:pStyle w:val="Compact"/>
              <w:jc w:val="left"/>
            </w:pPr>
            <w:r>
              <w:t xml:space="preserve">500,000</w:t>
            </w:r>
          </w:p>
        </w:tc>
        <w:tc>
          <w:p>
            <w:pPr>
              <w:pStyle w:val="Compact"/>
              <w:jc w:val="left"/>
            </w:pPr>
            <w:r>
              <w:t xml:space="preserve">0%</w:t>
            </w:r>
          </w:p>
        </w:tc>
        <w:tc>
          <w:p>
            <w:pPr>
              <w:pStyle w:val="Compact"/>
              <w:jc w:val="left"/>
            </w:pPr>
            <w:r>
              <w:t xml:space="preserve">Consistent business volume</w:t>
            </w:r>
          </w:p>
        </w:tc>
      </w:tr>
      <w:tr>
        <w:tc>
          <w:p>
            <w:pPr>
              <w:pStyle w:val="Compact"/>
              <w:jc w:val="left"/>
            </w:pPr>
            <w:r>
              <w:rPr>
                <w:b/>
              </w:rPr>
              <w:t xml:space="preserve">Total Monthly Transaction Value</w:t>
            </w:r>
          </w:p>
        </w:tc>
        <w:tc>
          <w:p>
            <w:pPr>
              <w:pStyle w:val="Compact"/>
              <w:jc w:val="left"/>
            </w:pPr>
            <w:r>
              <w:t xml:space="preserve">$50,000,000</w:t>
            </w:r>
          </w:p>
        </w:tc>
        <w:tc>
          <w:p>
            <w:pPr>
              <w:pStyle w:val="Compact"/>
              <w:jc w:val="left"/>
            </w:pPr>
            <w:r>
              <w:t xml:space="preserve">$50,000,000</w:t>
            </w:r>
          </w:p>
        </w:tc>
        <w:tc>
          <w:p>
            <w:pPr>
              <w:pStyle w:val="Compact"/>
              <w:jc w:val="left"/>
            </w:pPr>
            <w:r>
              <w:t xml:space="preserve">0%</w:t>
            </w:r>
          </w:p>
        </w:tc>
        <w:tc>
          <w:p>
            <w:pPr>
              <w:pStyle w:val="Compact"/>
              <w:jc w:val="left"/>
            </w:pPr>
            <w:r>
              <w:t xml:space="preserve">Total value processed</w:t>
            </w:r>
          </w:p>
        </w:tc>
      </w:tr>
      <w:tr>
        <w:tc>
          <w:p>
            <w:pPr>
              <w:pStyle w:val="Compact"/>
              <w:jc w:val="left"/>
            </w:pPr>
            <w:r>
              <w:rPr>
                <w:b/>
              </w:rPr>
              <w:t xml:space="preserve">Baseline Fraud Value</w:t>
            </w:r>
          </w:p>
        </w:tc>
        <w:tc>
          <w:p>
            <w:pPr>
              <w:pStyle w:val="Compact"/>
              <w:jc w:val="left"/>
            </w:pPr>
            <w:r>
              <w:t xml:space="preserve">$250,000</w:t>
            </w:r>
          </w:p>
        </w:tc>
        <w:tc>
          <w:p>
            <w:pPr>
              <w:pStyle w:val="Compact"/>
              <w:jc w:val="left"/>
            </w:pPr>
            <w:r>
              <w:t xml:space="preserve">$250,000</w:t>
            </w:r>
          </w:p>
        </w:tc>
        <w:tc>
          <w:p>
            <w:pPr>
              <w:pStyle w:val="Compact"/>
              <w:jc w:val="left"/>
            </w:pPr>
            <w:r>
              <w:t xml:space="preserve">0%</w:t>
            </w:r>
          </w:p>
        </w:tc>
        <w:tc>
          <w:p>
            <w:pPr>
              <w:pStyle w:val="Compact"/>
              <w:jc w:val="left"/>
            </w:pPr>
            <w:r>
              <w:t xml:space="preserve">Total potential fraud without intervention</w:t>
            </w:r>
          </w:p>
        </w:tc>
      </w:tr>
      <w:tr>
        <w:tc>
          <w:p>
            <w:pPr>
              <w:pStyle w:val="Compact"/>
              <w:jc w:val="left"/>
            </w:pPr>
            <w:r>
              <w:rPr>
                <w:b/>
              </w:rPr>
              <w:t xml:space="preserve">Fraud Detected by Agent</w:t>
            </w:r>
          </w:p>
        </w:tc>
        <w:tc>
          <w:p>
            <w:pPr>
              <w:pStyle w:val="Compact"/>
              <w:jc w:val="left"/>
            </w:pPr>
            <w:r>
              <w:t xml:space="preserve">N/A</w:t>
            </w:r>
          </w:p>
        </w:tc>
        <w:tc>
          <w:p>
            <w:pPr>
              <w:pStyle w:val="Compact"/>
              <w:jc w:val="left"/>
            </w:pPr>
            <w:r>
              <w:t xml:space="preserve">$200,000</w:t>
            </w:r>
          </w:p>
        </w:tc>
        <w:tc>
          <w:p>
            <w:pPr>
              <w:pStyle w:val="Compact"/>
              <w:jc w:val="left"/>
            </w:pPr>
            <w:r>
              <w:t xml:space="preserve">-</w:t>
            </w:r>
          </w:p>
        </w:tc>
        <w:tc>
          <w:p>
            <w:pPr>
              <w:pStyle w:val="Compact"/>
              <w:jc w:val="left"/>
            </w:pPr>
            <w:r>
              <w:t xml:space="preserve">80% of baseline fraud detected</w:t>
            </w:r>
          </w:p>
        </w:tc>
      </w:tr>
      <w:tr>
        <w:tc>
          <w:p>
            <w:pPr>
              <w:pStyle w:val="Compact"/>
              <w:jc w:val="left"/>
            </w:pPr>
            <w:r>
              <w:rPr>
                <w:b/>
              </w:rPr>
              <w:t xml:space="preserve">Fraud Prevented by Agent</w:t>
            </w:r>
          </w:p>
        </w:tc>
        <w:tc>
          <w:p>
            <w:pPr>
              <w:pStyle w:val="Compact"/>
              <w:jc w:val="left"/>
            </w:pPr>
            <w:r>
              <w:t xml:space="preserve">$0</w:t>
            </w:r>
          </w:p>
        </w:tc>
        <w:tc>
          <w:p>
            <w:pPr>
              <w:pStyle w:val="Compact"/>
              <w:jc w:val="left"/>
            </w:pPr>
            <w:r>
              <w:t xml:space="preserve">$200,000</w:t>
            </w:r>
          </w:p>
        </w:tc>
        <w:tc>
          <w:p>
            <w:pPr>
              <w:pStyle w:val="Compact"/>
              <w:jc w:val="left"/>
            </w:pPr>
            <w:r>
              <w:t xml:space="preserve">-</w:t>
            </w:r>
          </w:p>
        </w:tc>
        <w:tc>
          <w:p>
            <w:pPr>
              <w:pStyle w:val="Compact"/>
              <w:jc w:val="left"/>
            </w:pPr>
            <w:r>
              <w:t xml:space="preserve">Direct value generated by agent</w:t>
            </w:r>
          </w:p>
        </w:tc>
      </w:tr>
      <w:tr>
        <w:tc>
          <w:p>
            <w:pPr>
              <w:pStyle w:val="Compact"/>
              <w:jc w:val="left"/>
            </w:pPr>
            <w:r>
              <w:rPr>
                <w:b/>
              </w:rPr>
              <w:t xml:space="preserve">Remaining Fraud Value</w:t>
            </w:r>
          </w:p>
        </w:tc>
        <w:tc>
          <w:p>
            <w:pPr>
              <w:pStyle w:val="Compact"/>
              <w:jc w:val="left"/>
            </w:pPr>
            <w:r>
              <w:t xml:space="preserve">$250,000</w:t>
            </w:r>
          </w:p>
        </w:tc>
        <w:tc>
          <w:p>
            <w:pPr>
              <w:pStyle w:val="Compact"/>
              <w:jc w:val="left"/>
            </w:pPr>
            <w:r>
              <w:t xml:space="preserve">$50,000</w:t>
            </w:r>
          </w:p>
        </w:tc>
        <w:tc>
          <w:p>
            <w:pPr>
              <w:pStyle w:val="Compact"/>
              <w:jc w:val="left"/>
            </w:pPr>
            <w:r>
              <w:t xml:space="preserve">-80%</w:t>
            </w:r>
          </w:p>
        </w:tc>
        <w:tc>
          <w:p>
            <w:pPr>
              <w:pStyle w:val="Compact"/>
              <w:jc w:val="left"/>
            </w:pPr>
            <w:r>
              <w:t xml:space="preserve">Significant reduction in actual fraud losses</w:t>
            </w:r>
          </w:p>
        </w:tc>
      </w:tr>
      <w:tr>
        <w:tc>
          <w:p>
            <w:pPr>
              <w:pStyle w:val="Compact"/>
              <w:jc w:val="left"/>
            </w:pPr>
            <w:r>
              <w:rPr>
                <w:b/>
              </w:rPr>
              <w:t xml:space="preserve">Agent Provider Fee (10% of prevented)</w:t>
            </w:r>
          </w:p>
        </w:tc>
        <w:tc>
          <w:p>
            <w:pPr>
              <w:pStyle w:val="Compact"/>
              <w:jc w:val="left"/>
            </w:pPr>
            <w:r>
              <w:t xml:space="preserve">$0</w:t>
            </w:r>
          </w:p>
        </w:tc>
        <w:tc>
          <w:p>
            <w:pPr>
              <w:pStyle w:val="Compact"/>
              <w:jc w:val="left"/>
            </w:pPr>
            <w:r>
              <w:t xml:space="preserve">$20,000</w:t>
            </w:r>
          </w:p>
        </w:tc>
        <w:tc>
          <w:p>
            <w:pPr>
              <w:pStyle w:val="Compact"/>
              <w:jc w:val="left"/>
            </w:pPr>
            <w:r>
              <w:t xml:space="preserve">-</w:t>
            </w:r>
          </w:p>
        </w:tc>
        <w:tc>
          <w:p>
            <w:pPr>
              <w:pStyle w:val="Compact"/>
              <w:jc w:val="left"/>
            </w:pPr>
            <w:r>
              <w:t xml:space="preserve">Cost of agent based on performance</w:t>
            </w:r>
          </w:p>
        </w:tc>
      </w:tr>
      <w:tr>
        <w:tc>
          <w:p>
            <w:pPr>
              <w:pStyle w:val="Compact"/>
              <w:jc w:val="left"/>
            </w:pPr>
            <w:r>
              <w:rPr>
                <w:b/>
              </w:rPr>
              <w:t xml:space="preserve">Net Monthly Savings</w:t>
            </w:r>
          </w:p>
        </w:tc>
        <w:tc>
          <w:p>
            <w:pPr>
              <w:pStyle w:val="Compact"/>
              <w:jc w:val="left"/>
            </w:pPr>
            <w:r>
              <w:t xml:space="preserve">$0</w:t>
            </w:r>
          </w:p>
        </w:tc>
        <w:tc>
          <w:p>
            <w:pPr>
              <w:pStyle w:val="Compact"/>
              <w:jc w:val="left"/>
            </w:pPr>
            <w:r>
              <w:t xml:space="preserve">$180,000</w:t>
            </w:r>
          </w:p>
        </w:tc>
        <w:tc>
          <w:p>
            <w:pPr>
              <w:pStyle w:val="Compact"/>
              <w:jc w:val="left"/>
            </w:pPr>
            <w:r>
              <w:t xml:space="preserve">-</w:t>
            </w:r>
          </w:p>
        </w:tc>
        <w:tc>
          <w:p>
            <w:pPr>
              <w:pStyle w:val="Compact"/>
              <w:jc w:val="left"/>
            </w:pPr>
            <w:r>
              <w:t xml:space="preserve">Substantial ROI for agent deployment</w:t>
            </w:r>
          </w:p>
        </w:tc>
      </w:tr>
      <w:tr>
        <w:tc>
          <w:p>
            <w:pPr>
              <w:pStyle w:val="Compact"/>
              <w:jc w:val="left"/>
            </w:pPr>
            <w:r>
              <w:rPr>
                <w:b/>
              </w:rPr>
              <w:t xml:space="preserve">Annualized Net Savings</w:t>
            </w:r>
          </w:p>
        </w:tc>
        <w:tc>
          <w:p>
            <w:pPr>
              <w:pStyle w:val="Compact"/>
              <w:jc w:val="left"/>
            </w:pPr>
            <w:r>
              <w:t xml:space="preserve">$0</w:t>
            </w:r>
          </w:p>
        </w:tc>
        <w:tc>
          <w:p>
            <w:pPr>
              <w:pStyle w:val="Compact"/>
              <w:jc w:val="left"/>
            </w:pPr>
            <w:r>
              <w:t xml:space="preserve">$2,160,000</w:t>
            </w:r>
          </w:p>
        </w:tc>
        <w:tc>
          <w:p>
            <w:pPr>
              <w:pStyle w:val="Compact"/>
              <w:jc w:val="left"/>
            </w:pPr>
            <w:r>
              <w:t xml:space="preserve">-</w:t>
            </w:r>
          </w:p>
        </w:tc>
        <w:tc>
          <w:p>
            <w:pPr>
              <w:pStyle w:val="Compact"/>
              <w:jc w:val="left"/>
            </w:pPr>
            <w:r>
              <w:t xml:space="preserve">Long-term financial benefit</w:t>
            </w:r>
          </w:p>
        </w:tc>
      </w:tr>
      <w:tr>
        <w:tc>
          <w:p>
            <w:pPr>
              <w:pStyle w:val="Compact"/>
              <w:jc w:val="left"/>
            </w:pPr>
            <w:r>
              <w:rPr>
                <w:b/>
              </w:rPr>
              <w:t xml:space="preserve">ROI (Net Savings / Agent Fee)</w:t>
            </w:r>
          </w:p>
        </w:tc>
        <w:tc>
          <w:p>
            <w:pPr>
              <w:pStyle w:val="Compact"/>
              <w:jc w:val="left"/>
            </w:pPr>
            <w:r>
              <w:t xml:space="preserve">N/A</w:t>
            </w:r>
          </w:p>
        </w:tc>
        <w:tc>
          <w:p>
            <w:pPr>
              <w:pStyle w:val="Compact"/>
              <w:jc w:val="left"/>
            </w:pPr>
            <w:r>
              <w:t xml:space="preserve">900%</w:t>
            </w:r>
          </w:p>
        </w:tc>
        <w:tc>
          <w:p>
            <w:pPr>
              <w:pStyle w:val="Compact"/>
              <w:jc w:val="left"/>
            </w:pPr>
            <w:r>
              <w:t xml:space="preserve">-</w:t>
            </w:r>
          </w:p>
        </w:tc>
        <w:tc>
          <w:p>
            <w:pPr>
              <w:pStyle w:val="Compact"/>
              <w:jc w:val="left"/>
            </w:pPr>
            <w:r>
              <w:t xml:space="preserve">High return on investment</w:t>
            </w:r>
          </w:p>
        </w:tc>
      </w:tr>
    </w:tbl>
    <w:p>
      <w:pPr>
        <w:pStyle w:val="BodyText"/>
      </w:pPr>
      <w:r>
        <w:rPr>
          <w:i/>
        </w:rPr>
        <w:t xml:space="preserve">Note: This scenario illustrates the power of outcome-based pricing, where the agent’s cost is directly tied to the measurable value it creates. The business achieves significant savings, and the agent provider is incentivized to maximize performance. The high ROI makes such agentic solutions highly attractive despite their specialized pricing.</w:t>
      </w:r>
    </w:p>
    <w:p>
      <w:pPr>
        <w:pStyle w:val="Heading3"/>
      </w:pPr>
      <w:bookmarkStart w:id="112" w:name="X83138c942831daf0fdefefe69aeafda048e873e"/>
      <w:r>
        <w:t xml:space="preserve">C.3 Cross-Model Cost-Benefit Comparison for AI Integration</w:t>
      </w:r>
      <w:bookmarkEnd w:id="112"/>
    </w:p>
    <w:p>
      <w:pPr>
        <w:pStyle w:val="FirstParagraph"/>
      </w:pPr>
      <w:r>
        <w:t xml:space="preserve">This table compares the overall cost-benefit profiles of integrating AI using different predominant pricing models for a hypothetical enterprise, considering both direct costs and anticipated value.</w:t>
      </w:r>
    </w:p>
    <w:p>
      <w:pPr>
        <w:pStyle w:val="BodyText"/>
      </w:pPr>
      <w:r>
        <w:rPr>
          <w:b/>
        </w:rPr>
        <w:t xml:space="preserve">Assumptions:</w:t>
      </w:r>
      <w:r>
        <w:t xml:space="preserve"> </w:t>
      </w:r>
      <w:r>
        <w:t xml:space="preserve">* Enterprise-level AI integration over 1 year</w:t>
      </w:r>
      <w:r>
        <w:t xml:space="preserve"> </w:t>
      </w:r>
      <w:r>
        <w:t xml:space="preserve">* Focus on general AI services (LLMs, vision, NLP) and a specialized agent</w:t>
      </w:r>
      <w:r>
        <w:t xml:space="preserve"> </w:t>
      </w:r>
      <w:r>
        <w:t xml:space="preserve">* Baseline operational cost without AI: $1,000,000/year</w:t>
      </w:r>
    </w:p>
    <w:p>
      <w:pPr>
        <w:pStyle w:val="BodyText"/>
      </w:pPr>
      <w:r>
        <w:rPr>
          <w:b/>
        </w:rPr>
        <w:t xml:space="preserve">Table C.3: Cross-Model AI Integration Cost-Benefit Comparison</w:t>
      </w:r>
    </w:p>
    <w:tbl>
      <w:tblPr>
        <w:tblStyle w:val="Table"/>
        <w:tblW w:type="pct" w:w="5000.0"/>
        <w:tblLook w:firstRow="1"/>
      </w:tblPr>
      <w:tblGrid>
        <w:gridCol w:w="1295"/>
        <w:gridCol w:w="1544"/>
        <w:gridCol w:w="1544"/>
        <w:gridCol w:w="1046"/>
        <w:gridCol w:w="2490"/>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Token-Based LLM (High Volume)</w:t>
            </w:r>
          </w:p>
        </w:tc>
        <w:tc>
          <w:tcPr>
            <w:tcBorders>
              <w:bottom w:val="single"/>
            </w:tcBorders>
            <w:vAlign w:val="bottom"/>
          </w:tcPr>
          <w:p>
            <w:pPr>
              <w:pStyle w:val="Compact"/>
              <w:jc w:val="left"/>
            </w:pPr>
            <w:r>
              <w:t xml:space="preserve">Hybrid (Subscription + Usage)</w:t>
            </w:r>
          </w:p>
        </w:tc>
        <w:tc>
          <w:tcPr>
            <w:tcBorders>
              <w:bottom w:val="single"/>
            </w:tcBorders>
            <w:vAlign w:val="bottom"/>
          </w:tcPr>
          <w:p>
            <w:pPr>
              <w:pStyle w:val="Compact"/>
              <w:jc w:val="left"/>
            </w:pPr>
            <w:r>
              <w:t xml:space="preserve">Outcome-Based Agent</w:t>
            </w:r>
          </w:p>
        </w:tc>
        <w:tc>
          <w:tcPr>
            <w:tcBorders>
              <w:bottom w:val="single"/>
            </w:tcBorders>
            <w:vAlign w:val="bottom"/>
          </w:tcPr>
          <w:p>
            <w:pPr>
              <w:pStyle w:val="Compact"/>
              <w:jc w:val="left"/>
            </w:pPr>
            <w:r>
              <w:t xml:space="preserve">Interpretation</w:t>
            </w:r>
          </w:p>
        </w:tc>
      </w:tr>
      <w:tr>
        <w:tc>
          <w:p>
            <w:pPr>
              <w:pStyle w:val="Compact"/>
              <w:jc w:val="left"/>
            </w:pPr>
            <w:r>
              <w:rPr>
                <w:b/>
              </w:rPr>
              <w:t xml:space="preserve">Annual Direct Cost</w:t>
            </w:r>
          </w:p>
        </w:tc>
        <w:tc>
          <w:p>
            <w:pPr>
              <w:pStyle w:val="Compact"/>
              <w:jc w:val="left"/>
            </w:pPr>
            <w:r>
              <w:t xml:space="preserve">$250,000</w:t>
            </w:r>
          </w:p>
        </w:tc>
        <w:tc>
          <w:p>
            <w:pPr>
              <w:pStyle w:val="Compact"/>
              <w:jc w:val="left"/>
            </w:pPr>
            <w:r>
              <w:t xml:space="preserve">$180,000</w:t>
            </w:r>
          </w:p>
        </w:tc>
        <w:tc>
          <w:p>
            <w:pPr>
              <w:pStyle w:val="Compact"/>
              <w:jc w:val="left"/>
            </w:pPr>
            <w:r>
              <w:t xml:space="preserve">$150,000</w:t>
            </w:r>
          </w:p>
        </w:tc>
        <w:tc>
          <w:p>
            <w:pPr>
              <w:pStyle w:val="Compact"/>
              <w:jc w:val="left"/>
            </w:pPr>
            <w:r>
              <w:t xml:space="preserve">Direct AI service expenditure</w:t>
            </w:r>
          </w:p>
        </w:tc>
      </w:tr>
      <w:tr>
        <w:tc>
          <w:p>
            <w:pPr>
              <w:pStyle w:val="Compact"/>
              <w:jc w:val="left"/>
            </w:pPr>
            <w:r>
              <w:rPr>
                <w:b/>
              </w:rPr>
              <w:t xml:space="preserve">Cost Predictability</w:t>
            </w:r>
          </w:p>
        </w:tc>
        <w:tc>
          <w:p>
            <w:pPr>
              <w:pStyle w:val="Compact"/>
              <w:jc w:val="left"/>
            </w:pPr>
            <w:r>
              <w:t xml:space="preserve">Low</w:t>
            </w:r>
          </w:p>
        </w:tc>
        <w:tc>
          <w:p>
            <w:pPr>
              <w:pStyle w:val="Compact"/>
              <w:jc w:val="left"/>
            </w:pPr>
            <w:r>
              <w:t xml:space="preserve">High</w:t>
            </w:r>
          </w:p>
        </w:tc>
        <w:tc>
          <w:p>
            <w:pPr>
              <w:pStyle w:val="Compact"/>
              <w:jc w:val="left"/>
            </w:pPr>
            <w:r>
              <w:t xml:space="preserve">Moderate</w:t>
            </w:r>
          </w:p>
        </w:tc>
        <w:tc>
          <w:p>
            <w:pPr>
              <w:pStyle w:val="Compact"/>
              <w:jc w:val="left"/>
            </w:pPr>
            <w:r>
              <w:t xml:space="preserve">Ease of budgeting</w:t>
            </w:r>
          </w:p>
        </w:tc>
      </w:tr>
      <w:tr>
        <w:tc>
          <w:p>
            <w:pPr>
              <w:pStyle w:val="Compact"/>
              <w:jc w:val="left"/>
            </w:pPr>
            <w:r>
              <w:rPr>
                <w:b/>
              </w:rPr>
              <w:t xml:space="preserve">Value Alignment</w:t>
            </w:r>
          </w:p>
        </w:tc>
        <w:tc>
          <w:p>
            <w:pPr>
              <w:pStyle w:val="Compact"/>
              <w:jc w:val="left"/>
            </w:pPr>
            <w:r>
              <w:t xml:space="preserve">Moderate (input/output)</w:t>
            </w:r>
          </w:p>
        </w:tc>
        <w:tc>
          <w:p>
            <w:pPr>
              <w:pStyle w:val="Compact"/>
              <w:jc w:val="left"/>
            </w:pPr>
            <w:r>
              <w:t xml:space="preserve">Good (features + usage)</w:t>
            </w:r>
          </w:p>
        </w:tc>
        <w:tc>
          <w:p>
            <w:pPr>
              <w:pStyle w:val="Compact"/>
              <w:jc w:val="left"/>
            </w:pPr>
            <w:r>
              <w:t xml:space="preserve">High (direct impact)</w:t>
            </w:r>
          </w:p>
        </w:tc>
        <w:tc>
          <w:p>
            <w:pPr>
              <w:pStyle w:val="Compact"/>
              <w:jc w:val="left"/>
            </w:pPr>
            <w:r>
              <w:t xml:space="preserve">How well price reflects value</w:t>
            </w:r>
          </w:p>
        </w:tc>
      </w:tr>
      <w:tr>
        <w:tc>
          <w:p>
            <w:pPr>
              <w:pStyle w:val="Compact"/>
              <w:jc w:val="left"/>
            </w:pPr>
            <w:r>
              <w:rPr>
                <w:b/>
              </w:rPr>
              <w:t xml:space="preserve">Integration Complexity</w:t>
            </w:r>
          </w:p>
        </w:tc>
        <w:tc>
          <w:p>
            <w:pPr>
              <w:pStyle w:val="Compact"/>
              <w:jc w:val="left"/>
            </w:pPr>
            <w:r>
              <w:t xml:space="preserve">Moderate</w:t>
            </w:r>
          </w:p>
        </w:tc>
        <w:tc>
          <w:p>
            <w:pPr>
              <w:pStyle w:val="Compact"/>
              <w:jc w:val="left"/>
            </w:pPr>
            <w:r>
              <w:t xml:space="preserve">Moderate</w:t>
            </w:r>
          </w:p>
        </w:tc>
        <w:tc>
          <w:p>
            <w:pPr>
              <w:pStyle w:val="Compact"/>
              <w:jc w:val="left"/>
            </w:pPr>
            <w:r>
              <w:t xml:space="preserve">High</w:t>
            </w:r>
          </w:p>
        </w:tc>
        <w:tc>
          <w:p>
            <w:pPr>
              <w:pStyle w:val="Compact"/>
              <w:jc w:val="left"/>
            </w:pPr>
            <w:r>
              <w:t xml:space="preserve">Effort to implement and manage</w:t>
            </w:r>
          </w:p>
        </w:tc>
      </w:tr>
      <w:tr>
        <w:tc>
          <w:p>
            <w:pPr>
              <w:pStyle w:val="Compact"/>
              <w:jc w:val="left"/>
            </w:pPr>
            <w:r>
              <w:rPr>
                <w:b/>
              </w:rPr>
              <w:t xml:space="preserve">Annual Efficiency Gain</w:t>
            </w:r>
          </w:p>
        </w:tc>
        <w:tc>
          <w:p>
            <w:pPr>
              <w:pStyle w:val="Compact"/>
              <w:jc w:val="left"/>
            </w:pPr>
            <w:r>
              <w:t xml:space="preserve">$300,000</w:t>
            </w:r>
          </w:p>
        </w:tc>
        <w:tc>
          <w:p>
            <w:pPr>
              <w:pStyle w:val="Compact"/>
              <w:jc w:val="left"/>
            </w:pPr>
            <w:r>
              <w:t xml:space="preserve">$450,000</w:t>
            </w:r>
          </w:p>
        </w:tc>
        <w:tc>
          <w:p>
            <w:pPr>
              <w:pStyle w:val="Compact"/>
              <w:jc w:val="left"/>
            </w:pPr>
            <w:r>
              <w:t xml:space="preserve">$600,000</w:t>
            </w:r>
          </w:p>
        </w:tc>
        <w:tc>
          <w:p>
            <w:pPr>
              <w:pStyle w:val="Compact"/>
              <w:jc w:val="left"/>
            </w:pPr>
            <w:r>
              <w:t xml:space="preserve">Operational savings (e.g., automation)</w:t>
            </w:r>
          </w:p>
        </w:tc>
      </w:tr>
      <w:tr>
        <w:tc>
          <w:p>
            <w:pPr>
              <w:pStyle w:val="Compact"/>
              <w:jc w:val="left"/>
            </w:pPr>
            <w:r>
              <w:rPr>
                <w:b/>
              </w:rPr>
              <w:t xml:space="preserve">Annual Revenue Uplift</w:t>
            </w:r>
          </w:p>
        </w:tc>
        <w:tc>
          <w:p>
            <w:pPr>
              <w:pStyle w:val="Compact"/>
              <w:jc w:val="left"/>
            </w:pPr>
            <w:r>
              <w:t xml:space="preserve">$100,000</w:t>
            </w:r>
          </w:p>
        </w:tc>
        <w:tc>
          <w:p>
            <w:pPr>
              <w:pStyle w:val="Compact"/>
              <w:jc w:val="left"/>
            </w:pPr>
            <w:r>
              <w:t xml:space="preserve">$200,000</w:t>
            </w:r>
          </w:p>
        </w:tc>
        <w:tc>
          <w:p>
            <w:pPr>
              <w:pStyle w:val="Compact"/>
              <w:jc w:val="left"/>
            </w:pPr>
            <w:r>
              <w:t xml:space="preserve">$300,000</w:t>
            </w:r>
          </w:p>
        </w:tc>
        <w:tc>
          <w:p>
            <w:pPr>
              <w:pStyle w:val="Compact"/>
              <w:jc w:val="left"/>
            </w:pPr>
            <w:r>
              <w:t xml:space="preserve">New revenue streams (e.g., personalized offers)</w:t>
            </w:r>
          </w:p>
        </w:tc>
      </w:tr>
      <w:tr>
        <w:tc>
          <w:p>
            <w:pPr>
              <w:pStyle w:val="Compact"/>
              <w:jc w:val="left"/>
            </w:pPr>
            <w:r>
              <w:rPr>
                <w:b/>
              </w:rPr>
              <w:t xml:space="preserve">Annual Risk Reduction</w:t>
            </w:r>
          </w:p>
        </w:tc>
        <w:tc>
          <w:p>
            <w:pPr>
              <w:pStyle w:val="Compact"/>
              <w:jc w:val="left"/>
            </w:pPr>
            <w:r>
              <w:t xml:space="preserve">$20,000</w:t>
            </w:r>
          </w:p>
        </w:tc>
        <w:tc>
          <w:p>
            <w:pPr>
              <w:pStyle w:val="Compact"/>
              <w:jc w:val="left"/>
            </w:pPr>
            <w:r>
              <w:t xml:space="preserve">$50,000</w:t>
            </w:r>
          </w:p>
        </w:tc>
        <w:tc>
          <w:p>
            <w:pPr>
              <w:pStyle w:val="Compact"/>
              <w:jc w:val="left"/>
            </w:pPr>
            <w:r>
              <w:t xml:space="preserve">$100,000</w:t>
            </w:r>
          </w:p>
        </w:tc>
        <w:tc>
          <w:p>
            <w:pPr>
              <w:pStyle w:val="Compact"/>
              <w:jc w:val="left"/>
            </w:pPr>
            <w:r>
              <w:t xml:space="preserve">Reduced fraud, downtime, compliance issues</w:t>
            </w:r>
          </w:p>
        </w:tc>
      </w:tr>
      <w:tr>
        <w:tc>
          <w:p>
            <w:pPr>
              <w:pStyle w:val="Compact"/>
              <w:jc w:val="left"/>
            </w:pPr>
            <w:r>
              <w:rPr>
                <w:b/>
              </w:rPr>
              <w:t xml:space="preserve">Total Annual Value</w:t>
            </w:r>
          </w:p>
        </w:tc>
        <w:tc>
          <w:p>
            <w:pPr>
              <w:pStyle w:val="Compact"/>
              <w:jc w:val="left"/>
            </w:pPr>
            <w:r>
              <w:t xml:space="preserve">$420,000</w:t>
            </w:r>
          </w:p>
        </w:tc>
        <w:tc>
          <w:p>
            <w:pPr>
              <w:pStyle w:val="Compact"/>
              <w:jc w:val="left"/>
            </w:pPr>
            <w:r>
              <w:t xml:space="preserve">$700,000</w:t>
            </w:r>
          </w:p>
        </w:tc>
        <w:tc>
          <w:p>
            <w:pPr>
              <w:pStyle w:val="Compact"/>
              <w:jc w:val="left"/>
            </w:pPr>
            <w:r>
              <w:t xml:space="preserve">$1,000,000</w:t>
            </w:r>
          </w:p>
        </w:tc>
        <w:tc>
          <w:p>
            <w:pPr>
              <w:pStyle w:val="Compact"/>
              <w:jc w:val="left"/>
            </w:pPr>
            <w:r>
              <w:t xml:space="preserve">Aggregate benefits</w:t>
            </w:r>
          </w:p>
        </w:tc>
      </w:tr>
      <w:tr>
        <w:tc>
          <w:p>
            <w:pPr>
              <w:pStyle w:val="Compact"/>
              <w:jc w:val="left"/>
            </w:pPr>
            <w:r>
              <w:rPr>
                <w:b/>
              </w:rPr>
              <w:t xml:space="preserve">Net Annual Benefit</w:t>
            </w:r>
          </w:p>
        </w:tc>
        <w:tc>
          <w:p>
            <w:pPr>
              <w:pStyle w:val="Compact"/>
              <w:jc w:val="left"/>
            </w:pPr>
            <w:r>
              <w:t xml:space="preserve">$170,000</w:t>
            </w:r>
          </w:p>
        </w:tc>
        <w:tc>
          <w:p>
            <w:pPr>
              <w:pStyle w:val="Compact"/>
              <w:jc w:val="left"/>
            </w:pPr>
            <w:r>
              <w:t xml:space="preserve">$520,000</w:t>
            </w:r>
          </w:p>
        </w:tc>
        <w:tc>
          <w:p>
            <w:pPr>
              <w:pStyle w:val="Compact"/>
              <w:jc w:val="left"/>
            </w:pPr>
            <w:r>
              <w:t xml:space="preserve">$850,000</w:t>
            </w:r>
          </w:p>
        </w:tc>
        <w:tc>
          <w:p>
            <w:pPr>
              <w:pStyle w:val="Compact"/>
              <w:jc w:val="left"/>
            </w:pPr>
            <w:r>
              <w:t xml:space="preserve">Total value minus direct costs</w:t>
            </w:r>
          </w:p>
        </w:tc>
      </w:tr>
      <w:tr>
        <w:tc>
          <w:p>
            <w:pPr>
              <w:pStyle w:val="Compact"/>
              <w:jc w:val="left"/>
            </w:pPr>
            <w:r>
              <w:rPr>
                <w:b/>
              </w:rPr>
              <w:t xml:space="preserve">ROI (Net Benefit / Cost)</w:t>
            </w:r>
          </w:p>
        </w:tc>
        <w:tc>
          <w:p>
            <w:pPr>
              <w:pStyle w:val="Compact"/>
              <w:jc w:val="left"/>
            </w:pPr>
            <w:r>
              <w:t xml:space="preserve">68%</w:t>
            </w:r>
          </w:p>
        </w:tc>
        <w:tc>
          <w:p>
            <w:pPr>
              <w:pStyle w:val="Compact"/>
              <w:jc w:val="left"/>
            </w:pPr>
            <w:r>
              <w:t xml:space="preserve">289%</w:t>
            </w:r>
          </w:p>
        </w:tc>
        <w:tc>
          <w:p>
            <w:pPr>
              <w:pStyle w:val="Compact"/>
              <w:jc w:val="left"/>
            </w:pPr>
            <w:r>
              <w:t xml:space="preserve">567%</w:t>
            </w:r>
          </w:p>
        </w:tc>
        <w:tc>
          <w:p>
            <w:pPr>
              <w:pStyle w:val="Compact"/>
              <w:jc w:val="left"/>
            </w:pPr>
            <w:r>
              <w:t xml:space="preserve">Return on investment in AI</w:t>
            </w:r>
          </w:p>
        </w:tc>
      </w:tr>
    </w:tbl>
    <w:p>
      <w:pPr>
        <w:pStyle w:val="BodyText"/>
      </w:pPr>
      <w:r>
        <w:rPr>
          <w:i/>
        </w:rPr>
        <w:t xml:space="preserve">Note: This comparison illustrates that while outcome-based agents may have higher initial setup or integration complexity, their direct alignment with business value can lead to significantly higher ROI and net benefits compared to purely usage-based or subscription models. Hybrid models offer a good balance of cost control and value capture.</w:t>
      </w:r>
    </w:p>
    <w:p>
      <w:r>
        <w:pict>
          <v:rect style="width:0;height:1.5pt" o:hralign="center" o:hrstd="t" o:hr="t"/>
        </w:pict>
      </w:r>
    </w:p>
    <w:p>
      <w:pPr>
        <w:pStyle w:val="Heading2"/>
      </w:pPr>
      <w:bookmarkStart w:id="113" w:name="X0d177419c45ae5e7cdf759ecc8e6d744dd4da78"/>
      <w:r>
        <w:t xml:space="preserve">Appendix D: Additional References and Resources</w:t>
      </w:r>
      <w:bookmarkEnd w:id="113"/>
    </w:p>
    <w:p>
      <w:pPr>
        <w:pStyle w:val="FirstParagraph"/>
      </w:pPr>
      <w:r>
        <w:t xml:space="preserve">This appendix provides a curated list of additional foundational texts, key research papers, online resources, software tools, and professional organizations relevant to the study of AI pricing models for agentic systems. These resources can facilitate further exploration and deeper understanding of the complex economic, technical, and ethical dimensions of AI monetization.</w:t>
      </w:r>
    </w:p>
    <w:p>
      <w:pPr>
        <w:pStyle w:val="Heading3"/>
      </w:pPr>
      <w:bookmarkStart w:id="114" w:name="d.1-foundational-texts"/>
      <w:r>
        <w:t xml:space="preserve">D.1 Foundational Texts</w:t>
      </w:r>
      <w:bookmarkEnd w:id="114"/>
    </w:p>
    <w:p>
      <w:pPr>
        <w:numPr>
          <w:ilvl w:val="0"/>
          <w:numId w:val="1028"/>
        </w:numPr>
        <w:pStyle w:val="Compact"/>
      </w:pPr>
      <w:r>
        <w:rPr>
          <w:b/>
        </w:rPr>
        <w:t xml:space="preserve">Varian, H. R. (1992).</w:t>
      </w:r>
      <w:r>
        <w:rPr>
          <w:b/>
        </w:rPr>
        <w:t xml:space="preserve"> </w:t>
      </w:r>
      <w:r>
        <w:rPr>
          <w:i/>
          <w:b/>
        </w:rPr>
        <w:t xml:space="preserve">Microeconomic Analysis</w:t>
      </w:r>
      <w:r>
        <w:rPr>
          <w:b/>
        </w:rPr>
        <w:t xml:space="preserve"> </w:t>
      </w:r>
      <w:r>
        <w:rPr>
          <w:b/>
        </w:rPr>
        <w:t xml:space="preserve">(3rd ed.). W. W. Norton &amp; Company.</w:t>
      </w:r>
      <w:r>
        <w:t xml:space="preserve"> </w:t>
      </w:r>
      <w:r>
        <w:t xml:space="preserve">A classic text in microeconomics, providing fundamental theories of supply, demand, pricing, and market structures that underpin all discussions of AI monetization.</w:t>
      </w:r>
    </w:p>
    <w:p>
      <w:pPr>
        <w:numPr>
          <w:ilvl w:val="0"/>
          <w:numId w:val="1028"/>
        </w:numPr>
        <w:pStyle w:val="Compact"/>
      </w:pPr>
      <w:r>
        <w:rPr>
          <w:b/>
        </w:rPr>
        <w:t xml:space="preserve">Shapiro, C., &amp; Varian, H. R. (1999).</w:t>
      </w:r>
      <w:r>
        <w:rPr>
          <w:b/>
        </w:rPr>
        <w:t xml:space="preserve"> </w:t>
      </w:r>
      <w:r>
        <w:rPr>
          <w:i/>
          <w:b/>
        </w:rPr>
        <w:t xml:space="preserve">Information Rules: A Strategic Guide to the Network Economy</w:t>
      </w:r>
      <w:r>
        <w:rPr>
          <w:b/>
        </w:rPr>
        <w:t xml:space="preserve">. Harvard Business School Press.</w:t>
      </w:r>
      <w:r>
        <w:t xml:space="preserve"> </w:t>
      </w:r>
      <w:r>
        <w:t xml:space="preserve">This book offers timeless insights into the economics of information goods, network effects, and pricing strategies for digital products and services, highly relevant to AI.</w:t>
      </w:r>
    </w:p>
    <w:p>
      <w:pPr>
        <w:numPr>
          <w:ilvl w:val="0"/>
          <w:numId w:val="1028"/>
        </w:numPr>
        <w:pStyle w:val="Compact"/>
      </w:pPr>
      <w:r>
        <w:rPr>
          <w:b/>
        </w:rPr>
        <w:t xml:space="preserve">Porter, M. E. (1985).</w:t>
      </w:r>
      <w:r>
        <w:rPr>
          <w:b/>
        </w:rPr>
        <w:t xml:space="preserve"> </w:t>
      </w:r>
      <w:r>
        <w:rPr>
          <w:i/>
          <w:b/>
        </w:rPr>
        <w:t xml:space="preserve">Competitive Advantage: Creating and Sustaining Superior Performance</w:t>
      </w:r>
      <w:r>
        <w:rPr>
          <w:b/>
        </w:rPr>
        <w:t xml:space="preserve">. Free Press.</w:t>
      </w:r>
      <w:r>
        <w:t xml:space="preserve"> </w:t>
      </w:r>
      <w:r>
        <w:t xml:space="preserve">Provides a framework for understanding how companies achieve and sustain competitive advantage, which informs the strategic considerations of AI pricing and value capture.</w:t>
      </w:r>
    </w:p>
    <w:p>
      <w:pPr>
        <w:numPr>
          <w:ilvl w:val="0"/>
          <w:numId w:val="1028"/>
        </w:numPr>
        <w:pStyle w:val="Compact"/>
      </w:pPr>
      <w:r>
        <w:rPr>
          <w:b/>
        </w:rPr>
        <w:t xml:space="preserve">Simon, H. A. (1997).</w:t>
      </w:r>
      <w:r>
        <w:rPr>
          <w:b/>
        </w:rPr>
        <w:t xml:space="preserve"> </w:t>
      </w:r>
      <w:r>
        <w:rPr>
          <w:i/>
          <w:b/>
        </w:rPr>
        <w:t xml:space="preserve">Models of Bounded Rationality: Empirically Grounded Economic Reason</w:t>
      </w:r>
      <w:r>
        <w:rPr>
          <w:b/>
        </w:rPr>
        <w:t xml:space="preserve">. MIT Press.</w:t>
      </w:r>
      <w:r>
        <w:t xml:space="preserve"> </w:t>
      </w:r>
      <w:r>
        <w:t xml:space="preserve">Essential for understanding the cognitive limitations of decision-makers, which agents aim to augment or overcome, influencing their perceived value.</w:t>
      </w:r>
    </w:p>
    <w:p>
      <w:pPr>
        <w:pStyle w:val="Heading3"/>
      </w:pPr>
      <w:bookmarkStart w:id="115" w:name="d.2-key-research-papers"/>
      <w:r>
        <w:t xml:space="preserve">D.2 Key Research Papers</w:t>
      </w:r>
      <w:bookmarkEnd w:id="115"/>
    </w:p>
    <w:p>
      <w:pPr>
        <w:numPr>
          <w:ilvl w:val="0"/>
          <w:numId w:val="1029"/>
        </w:numPr>
        <w:pStyle w:val="Compact"/>
      </w:pPr>
      <w:r>
        <w:rPr>
          <w:b/>
        </w:rPr>
        <w:t xml:space="preserve">Manyika, J., et al. (2017).</w:t>
      </w:r>
      <w:r>
        <w:rPr>
          <w:b/>
        </w:rPr>
        <w:t xml:space="preserve"> </w:t>
      </w:r>
      <w:r>
        <w:rPr>
          <w:i/>
          <w:b/>
        </w:rPr>
        <w:t xml:space="preserve">Artificial Intelligence: The Next Digital Frontier?</w:t>
      </w:r>
      <w:r>
        <w:rPr>
          <w:b/>
        </w:rPr>
        <w:t xml:space="preserve">. McKinsey Global Institute.</w:t>
      </w:r>
      <w:r>
        <w:t xml:space="preserve"> </w:t>
      </w:r>
      <w:r>
        <w:t xml:space="preserve">A seminal report on the economic impact of AI, offering early insights into its potential to transform industries and create new value.</w:t>
      </w:r>
    </w:p>
    <w:p>
      <w:pPr>
        <w:numPr>
          <w:ilvl w:val="0"/>
          <w:numId w:val="1029"/>
        </w:numPr>
        <w:pStyle w:val="Compact"/>
      </w:pPr>
      <w:r>
        <w:rPr>
          <w:b/>
        </w:rPr>
        <w:t xml:space="preserve">Brynjolfsson, E., &amp; McAfee, A. (2014).</w:t>
      </w:r>
      <w:r>
        <w:rPr>
          <w:b/>
        </w:rPr>
        <w:t xml:space="preserve"> </w:t>
      </w:r>
      <w:r>
        <w:rPr>
          <w:i/>
          <w:b/>
        </w:rPr>
        <w:t xml:space="preserve">The Second Machine Age: Work, Progress, and Prosperity in a Time of Brilliant Technologies</w:t>
      </w:r>
      <w:r>
        <w:rPr>
          <w:b/>
        </w:rPr>
        <w:t xml:space="preserve">. W. W. Norton &amp; Company.</w:t>
      </w:r>
      <w:r>
        <w:t xml:space="preserve"> </w:t>
      </w:r>
      <w:r>
        <w:t xml:space="preserve">Discusses the broader societal and economic implications of digital technologies, including AI, and their impact on productivity and employment.</w:t>
      </w:r>
    </w:p>
    <w:p>
      <w:pPr>
        <w:numPr>
          <w:ilvl w:val="0"/>
          <w:numId w:val="1029"/>
        </w:numPr>
        <w:pStyle w:val="Compact"/>
      </w:pPr>
      <w:r>
        <w:rPr>
          <w:b/>
        </w:rPr>
        <w:t xml:space="preserve">Acemoglu, D., &amp; Restrepo, P. (2019).</w:t>
      </w:r>
      <w:r>
        <w:rPr>
          <w:b/>
        </w:rPr>
        <w:t xml:space="preserve"> </w:t>
      </w:r>
      <w:r>
        <w:rPr>
          <w:i/>
          <w:b/>
        </w:rPr>
        <w:t xml:space="preserve">Automation and New Tasks: How Technology Displaces and Reinstates Labor</w:t>
      </w:r>
      <w:r>
        <w:rPr>
          <w:b/>
        </w:rPr>
        <w:t xml:space="preserve">. Journal of Economic Perspectives, 33(2), 3-30.</w:t>
      </w:r>
      <w:r>
        <w:t xml:space="preserve"> </w:t>
      </w:r>
      <w:r>
        <w:t xml:space="preserve">Explores the labor market effects of automation and AI, providing context for the economic value and societal debate surrounding agentic systems.</w:t>
      </w:r>
    </w:p>
    <w:p>
      <w:pPr>
        <w:numPr>
          <w:ilvl w:val="0"/>
          <w:numId w:val="1029"/>
        </w:numPr>
        <w:pStyle w:val="Compact"/>
      </w:pPr>
      <w:r>
        <w:rPr>
          <w:b/>
        </w:rPr>
        <w:t xml:space="preserve">Tadelis, S. (2012).</w:t>
      </w:r>
      <w:r>
        <w:rPr>
          <w:b/>
        </w:rPr>
        <w:t xml:space="preserve"> </w:t>
      </w:r>
      <w:r>
        <w:rPr>
          <w:i/>
          <w:b/>
        </w:rPr>
        <w:t xml:space="preserve">The Economics of Information: A Guide to the Theory and Practice</w:t>
      </w:r>
      <w:r>
        <w:rPr>
          <w:b/>
        </w:rPr>
        <w:t xml:space="preserve">. Cambridge University Press.</w:t>
      </w:r>
      <w:r>
        <w:t xml:space="preserve"> </w:t>
      </w:r>
      <w:r>
        <w:t xml:space="preserve">While not exclusively AI-focused, this work on information economics is highly pertinent to understanding the challenges of pricing intangible AI outputs and services.</w:t>
      </w:r>
    </w:p>
    <w:p>
      <w:pPr>
        <w:numPr>
          <w:ilvl w:val="0"/>
          <w:numId w:val="1029"/>
        </w:numPr>
        <w:pStyle w:val="Compact"/>
      </w:pPr>
      <w:r>
        <w:rPr>
          <w:b/>
        </w:rPr>
        <w:t xml:space="preserve">Aghion, P., et al. (2017).</w:t>
      </w:r>
      <w:r>
        <w:rPr>
          <w:b/>
        </w:rPr>
        <w:t xml:space="preserve"> </w:t>
      </w:r>
      <w:r>
        <w:rPr>
          <w:i/>
          <w:b/>
        </w:rPr>
        <w:t xml:space="preserve">AI, Growth, and the Labor Share</w:t>
      </w:r>
      <w:r>
        <w:rPr>
          <w:b/>
        </w:rPr>
        <w:t xml:space="preserve">. NBER Working Paper No. 23928.</w:t>
      </w:r>
      <w:r>
        <w:t xml:space="preserve"> </w:t>
      </w:r>
      <w:r>
        <w:t xml:space="preserve">Investigates the macroeconomic effects of AI adoption, including its potential impact on economic growth and the distribution of income, relevant to ethical pricing.</w:t>
      </w:r>
    </w:p>
    <w:p>
      <w:pPr>
        <w:pStyle w:val="Heading3"/>
      </w:pPr>
      <w:bookmarkStart w:id="116" w:name="d.3-online-resources-and-reports"/>
      <w:r>
        <w:t xml:space="preserve">D.3 Online Resources and Reports</w:t>
      </w:r>
      <w:bookmarkEnd w:id="116"/>
    </w:p>
    <w:p>
      <w:pPr>
        <w:numPr>
          <w:ilvl w:val="0"/>
          <w:numId w:val="1030"/>
        </w:numPr>
        <w:pStyle w:val="Compact"/>
      </w:pPr>
      <w:r>
        <w:rPr>
          <w:b/>
        </w:rPr>
        <w:t xml:space="preserve">OECD AI Policy Observatory (OECD.AI):</w:t>
      </w:r>
      <w:r>
        <w:t xml:space="preserve"> </w:t>
      </w:r>
      <w:hyperlink r:id="rId117">
        <w:r>
          <w:rPr>
            <w:rStyle w:val="Hyperlink"/>
          </w:rPr>
          <w:t xml:space="preserve">https://oecd.ai/</w:t>
        </w:r>
      </w:hyperlink>
      <w:r>
        <w:t xml:space="preserve"> </w:t>
      </w:r>
      <w:r>
        <w:t xml:space="preserve">- Offers comprehensive data, analyses, and policy recommendations on AI, including economic impact and governance.</w:t>
      </w:r>
    </w:p>
    <w:p>
      <w:pPr>
        <w:numPr>
          <w:ilvl w:val="0"/>
          <w:numId w:val="1030"/>
        </w:numPr>
        <w:pStyle w:val="Compact"/>
      </w:pPr>
      <w:r>
        <w:rPr>
          <w:b/>
        </w:rPr>
        <w:t xml:space="preserve">European Commission on AI:</w:t>
      </w:r>
      <w:r>
        <w:t xml:space="preserve"> </w:t>
      </w:r>
      <w:hyperlink r:id="rId118">
        <w:r>
          <w:rPr>
            <w:rStyle w:val="Hyperlink"/>
          </w:rPr>
          <w:t xml:space="preserve">https://digital-strategy.ec.europa.eu/en/policies/artificial-intelligence</w:t>
        </w:r>
      </w:hyperlink>
      <w:r>
        <w:t xml:space="preserve"> </w:t>
      </w:r>
      <w:r>
        <w:t xml:space="preserve">- Provides official documents, including the AI Act, outlining regulatory frameworks shaping AI development and commercialization in the EU.</w:t>
      </w:r>
    </w:p>
    <w:p>
      <w:pPr>
        <w:numPr>
          <w:ilvl w:val="0"/>
          <w:numId w:val="1030"/>
        </w:numPr>
        <w:pStyle w:val="Compact"/>
      </w:pPr>
      <w:r>
        <w:rPr>
          <w:b/>
        </w:rPr>
        <w:t xml:space="preserve">NIST AI Resource Center:</w:t>
      </w:r>
      <w:r>
        <w:t xml:space="preserve"> </w:t>
      </w:r>
      <w:hyperlink r:id="rId119">
        <w:r>
          <w:rPr>
            <w:rStyle w:val="Hyperlink"/>
          </w:rPr>
          <w:t xml:space="preserve">https://www.nist.gov/artificial-intelligence</w:t>
        </w:r>
      </w:hyperlink>
      <w:r>
        <w:t xml:space="preserve"> </w:t>
      </w:r>
      <w:r>
        <w:t xml:space="preserve">- Features publications, frameworks, and best practices for trustworthy AI, including guidance on performance and transparency relevant to metering.</w:t>
      </w:r>
    </w:p>
    <w:p>
      <w:pPr>
        <w:numPr>
          <w:ilvl w:val="0"/>
          <w:numId w:val="1030"/>
        </w:numPr>
        <w:pStyle w:val="Compact"/>
      </w:pPr>
      <w:r>
        <w:rPr>
          <w:b/>
        </w:rPr>
        <w:t xml:space="preserve">Gartner Hype Cycle for AI:</w:t>
      </w:r>
      <w:r>
        <w:t xml:space="preserve"> </w:t>
      </w:r>
      <w:hyperlink r:id="rId120">
        <w:r>
          <w:rPr>
            <w:rStyle w:val="Hyperlink"/>
          </w:rPr>
          <w:t xml:space="preserve">https://www.gartner.com/en/articles/what-s-new-in-the-202X-hype-cycle-for-artificial-intelligence</w:t>
        </w:r>
      </w:hyperlink>
      <w:r>
        <w:t xml:space="preserve"> </w:t>
      </w:r>
      <w:r>
        <w:t xml:space="preserve">- Annual reports identifying emerging AI technologies and their maturity, useful for understanding market trends and strategic pricing.</w:t>
      </w:r>
    </w:p>
    <w:p>
      <w:pPr>
        <w:numPr>
          <w:ilvl w:val="0"/>
          <w:numId w:val="1030"/>
        </w:numPr>
        <w:pStyle w:val="Compact"/>
      </w:pPr>
      <w:r>
        <w:rPr>
          <w:b/>
        </w:rPr>
        <w:t xml:space="preserve">McKinsey &amp; Company AI Insights:</w:t>
      </w:r>
      <w:r>
        <w:t xml:space="preserve"> </w:t>
      </w:r>
      <w:hyperlink r:id="rId121">
        <w:r>
          <w:rPr>
            <w:rStyle w:val="Hyperlink"/>
          </w:rPr>
          <w:t xml:space="preserve">https://www.mckinsey.com/capabilities/quantumblack/our-insights/artificial-intelligence</w:t>
        </w:r>
      </w:hyperlink>
      <w:r>
        <w:t xml:space="preserve"> </w:t>
      </w:r>
      <w:r>
        <w:t xml:space="preserve">- Regular reports and articles on AI strategy, value capture, and industry applications.</w:t>
      </w:r>
    </w:p>
    <w:p>
      <w:pPr>
        <w:pStyle w:val="Heading3"/>
      </w:pPr>
      <w:bookmarkStart w:id="122" w:name="X151479b5529fa734604c146581984fd89149bef"/>
      <w:r>
        <w:t xml:space="preserve">D.4 Software/Tools (for AI Pricing Analysis)</w:t>
      </w:r>
      <w:bookmarkEnd w:id="122"/>
    </w:p>
    <w:p>
      <w:pPr>
        <w:numPr>
          <w:ilvl w:val="0"/>
          <w:numId w:val="1031"/>
        </w:numPr>
        <w:pStyle w:val="Compact"/>
      </w:pPr>
      <w:r>
        <w:rPr>
          <w:b/>
        </w:rPr>
        <w:t xml:space="preserve">Cloud Provider Cost Calculators (AWS, Google Cloud, Azure):</w:t>
      </w:r>
      <w:r>
        <w:t xml:space="preserve"> </w:t>
      </w:r>
      <w:r>
        <w:t xml:space="preserve">Online tools for estimating costs of various cloud AI services based on projected usage.</w:t>
      </w:r>
    </w:p>
    <w:p>
      <w:pPr>
        <w:numPr>
          <w:ilvl w:val="0"/>
          <w:numId w:val="1031"/>
        </w:numPr>
        <w:pStyle w:val="Compact"/>
      </w:pPr>
      <w:r>
        <w:rPr>
          <w:b/>
        </w:rPr>
        <w:t xml:space="preserve">LLM Tokenizers/Cost Estimators (e.g., OpenAI Tokenizer, Anthropic Token Calculator):</w:t>
      </w:r>
      <w:r>
        <w:t xml:space="preserve"> </w:t>
      </w:r>
      <w:r>
        <w:t xml:space="preserve">Tools for understanding how text translates into tokens and estimating associated costs.</w:t>
      </w:r>
    </w:p>
    <w:p>
      <w:pPr>
        <w:numPr>
          <w:ilvl w:val="0"/>
          <w:numId w:val="1031"/>
        </w:numPr>
        <w:pStyle w:val="Compact"/>
      </w:pPr>
      <w:r>
        <w:rPr>
          <w:b/>
        </w:rPr>
        <w:t xml:space="preserve">Business Intelligence (BI) Platforms (e.g., Tableau, Power BI):</w:t>
      </w:r>
      <w:r>
        <w:t xml:space="preserve"> </w:t>
      </w:r>
      <w:r>
        <w:t xml:space="preserve">For analyzing AI usage data, attributing value, and monitoring ROI from AI deployments.</w:t>
      </w:r>
    </w:p>
    <w:p>
      <w:pPr>
        <w:numPr>
          <w:ilvl w:val="0"/>
          <w:numId w:val="1031"/>
        </w:numPr>
        <w:pStyle w:val="Compact"/>
      </w:pPr>
      <w:r>
        <w:rPr>
          <w:b/>
        </w:rPr>
        <w:t xml:space="preserve">Simulation Software (e.g., AnyLogic, NetLogo):</w:t>
      </w:r>
      <w:r>
        <w:t xml:space="preserve"> </w:t>
      </w:r>
      <w:r>
        <w:t xml:space="preserve">For modeling agent-based economies and simulating different pricing strategies in complex systems.</w:t>
      </w:r>
    </w:p>
    <w:p>
      <w:pPr>
        <w:pStyle w:val="Heading3"/>
      </w:pPr>
      <w:bookmarkStart w:id="123" w:name="d.5-professional-organizations"/>
      <w:r>
        <w:t xml:space="preserve">D.5 Professional Organizations</w:t>
      </w:r>
      <w:bookmarkEnd w:id="123"/>
    </w:p>
    <w:p>
      <w:pPr>
        <w:numPr>
          <w:ilvl w:val="0"/>
          <w:numId w:val="1032"/>
        </w:numPr>
        <w:pStyle w:val="Compact"/>
      </w:pPr>
      <w:r>
        <w:rPr>
          <w:b/>
        </w:rPr>
        <w:t xml:space="preserve">Institute of Electrical and Electronics Engineers (IEEE):</w:t>
      </w:r>
      <w:r>
        <w:t xml:space="preserve"> </w:t>
      </w:r>
      <w:hyperlink r:id="rId124">
        <w:r>
          <w:rPr>
            <w:rStyle w:val="Hyperlink"/>
          </w:rPr>
          <w:t xml:space="preserve">https://www.ieee.org/</w:t>
        </w:r>
      </w:hyperlink>
      <w:r>
        <w:t xml:space="preserve"> </w:t>
      </w:r>
      <w:r>
        <w:t xml:space="preserve">- Develops technical standards, including those for AI ethics and service metering.</w:t>
      </w:r>
    </w:p>
    <w:p>
      <w:pPr>
        <w:numPr>
          <w:ilvl w:val="0"/>
          <w:numId w:val="1032"/>
        </w:numPr>
        <w:pStyle w:val="Compact"/>
      </w:pPr>
      <w:r>
        <w:rPr>
          <w:b/>
        </w:rPr>
        <w:t xml:space="preserve">International Organization for Standardization (ISO):</w:t>
      </w:r>
      <w:r>
        <w:t xml:space="preserve"> </w:t>
      </w:r>
      <w:hyperlink r:id="rId125">
        <w:r>
          <w:rPr>
            <w:rStyle w:val="Hyperlink"/>
          </w:rPr>
          <w:t xml:space="preserve">https://www.iso.org/</w:t>
        </w:r>
      </w:hyperlink>
      <w:r>
        <w:t xml:space="preserve"> </w:t>
      </w:r>
      <w:r>
        <w:t xml:space="preserve">- Publishes international standards for AI management systems and governance.</w:t>
      </w:r>
    </w:p>
    <w:p>
      <w:pPr>
        <w:numPr>
          <w:ilvl w:val="0"/>
          <w:numId w:val="1032"/>
        </w:numPr>
        <w:pStyle w:val="Compact"/>
      </w:pPr>
      <w:r>
        <w:rPr>
          <w:b/>
        </w:rPr>
        <w:t xml:space="preserve">AI Ethics Institute:</w:t>
      </w:r>
      <w:r>
        <w:t xml:space="preserve"> </w:t>
      </w:r>
      <w:hyperlink r:id="rId126">
        <w:r>
          <w:rPr>
            <w:rStyle w:val="Hyperlink"/>
          </w:rPr>
          <w:t xml:space="preserve">https://aiethicsinstitute.org/</w:t>
        </w:r>
      </w:hyperlink>
      <w:r>
        <w:t xml:space="preserve"> </w:t>
      </w:r>
      <w:r>
        <w:t xml:space="preserve">- Focuses on ethical AI development and deployment, with implications for fair pricing and accessibility.</w:t>
      </w:r>
    </w:p>
    <w:p>
      <w:pPr>
        <w:numPr>
          <w:ilvl w:val="0"/>
          <w:numId w:val="1032"/>
        </w:numPr>
        <w:pStyle w:val="Compact"/>
      </w:pPr>
      <w:r>
        <w:rPr>
          <w:b/>
        </w:rPr>
        <w:t xml:space="preserve">Partnership on AI (PAI):</w:t>
      </w:r>
      <w:r>
        <w:t xml:space="preserve"> </w:t>
      </w:r>
      <w:hyperlink r:id="rId127">
        <w:r>
          <w:rPr>
            <w:rStyle w:val="Hyperlink"/>
          </w:rPr>
          <w:t xml:space="preserve">https://partnershiponai.org/</w:t>
        </w:r>
      </w:hyperlink>
      <w:r>
        <w:t xml:space="preserve"> </w:t>
      </w:r>
      <w:r>
        <w:t xml:space="preserve">- Industry consortium working on responsible AI, including economic and societal impacts.</w:t>
      </w:r>
    </w:p>
    <w:p>
      <w:pPr>
        <w:numPr>
          <w:ilvl w:val="0"/>
          <w:numId w:val="1032"/>
        </w:numPr>
        <w:pStyle w:val="Compact"/>
      </w:pPr>
      <w:r>
        <w:rPr>
          <w:b/>
        </w:rPr>
        <w:t xml:space="preserve">World Health Organization (WHO):</w:t>
      </w:r>
      <w:r>
        <w:t xml:space="preserve"> </w:t>
      </w:r>
      <w:hyperlink r:id="rId128">
        <w:r>
          <w:rPr>
            <w:rStyle w:val="Hyperlink"/>
          </w:rPr>
          <w:t xml:space="preserve">https://www.who.int/health-topics/artificial-intelligence</w:t>
        </w:r>
      </w:hyperlink>
      <w:r>
        <w:t xml:space="preserve"> </w:t>
      </w:r>
      <w:r>
        <w:t xml:space="preserve">- Provides global guidance on AI ethics in health, relevant for pricing AI services for public good.</w:t>
      </w:r>
    </w:p>
    <w:p>
      <w:r>
        <w:pict>
          <v:rect style="width:0;height:1.5pt" o:hralign="center" o:hrstd="t" o:hr="t"/>
        </w:pict>
      </w:r>
    </w:p>
    <w:p>
      <w:pPr>
        <w:pStyle w:val="Heading2"/>
      </w:pPr>
      <w:bookmarkStart w:id="129" w:name="appendix-e-glossary-of-terms"/>
      <w:r>
        <w:t xml:space="preserve">Appendix E: Glossary of Terms</w:t>
      </w:r>
      <w:bookmarkEnd w:id="129"/>
    </w:p>
    <w:p>
      <w:pPr>
        <w:pStyle w:val="FirstParagraph"/>
      </w:pPr>
      <w:r>
        <w:t xml:space="preserve">This glossary defines key technical terms and domain-specific jargon used throughout the thesis, providing clear and concise explanations to enhance readability and understanding for a broad academic audience.</w:t>
      </w:r>
    </w:p>
    <w:p>
      <w:pPr>
        <w:pStyle w:val="BodyText"/>
      </w:pPr>
      <w:r>
        <w:rPr>
          <w:b/>
        </w:rPr>
        <w:t xml:space="preserve">Agentic AI</w:t>
      </w:r>
      <w:r>
        <w:t xml:space="preserve">: Artificial intelligence systems capable of autonomous goal-pursuit, proactive decision-making, and interaction with dynamic environments with minimal human intervention.</w:t>
      </w:r>
    </w:p>
    <w:p>
      <w:pPr>
        <w:pStyle w:val="BodyText"/>
      </w:pPr>
      <w:r>
        <w:rPr>
          <w:b/>
        </w:rPr>
        <w:t xml:space="preserve">AI-as-a-Service (AIaaS)</w:t>
      </w:r>
      <w:r>
        <w:t xml:space="preserve">: Cloud-based services that allow individuals and companies to access and use AI capabilities without needing to build and maintain their own AI infrastructure.</w:t>
      </w:r>
    </w:p>
    <w:p>
      <w:pPr>
        <w:pStyle w:val="BodyText"/>
      </w:pPr>
      <w:r>
        <w:rPr>
          <w:b/>
        </w:rPr>
        <w:t xml:space="preserve">API (Application Programming Interface)</w:t>
      </w:r>
      <w:r>
        <w:t xml:space="preserve">: A set of defined rules that enable different software applications to communicate and interact with each other. In AI, often used to access pre-trained models.</w:t>
      </w:r>
    </w:p>
    <w:p>
      <w:pPr>
        <w:pStyle w:val="BodyText"/>
      </w:pPr>
      <w:r>
        <w:rPr>
          <w:b/>
        </w:rPr>
        <w:t xml:space="preserve">Attribution Problem</w:t>
      </w:r>
      <w:r>
        <w:t xml:space="preserve">: The challenge of accurately identifying and quantifying the specific contribution of an AI system to a business outcome, especially in complex environments with multiple influencing factors.</w:t>
      </w:r>
    </w:p>
    <w:p>
      <w:pPr>
        <w:pStyle w:val="BodyText"/>
      </w:pPr>
      <w:r>
        <w:rPr>
          <w:b/>
        </w:rPr>
        <w:t xml:space="preserve">Autonomous Systems</w:t>
      </w:r>
      <w:r>
        <w:t xml:space="preserve">: Systems that can operate independently without continuous human oversight, making decisions and executing tasks based on their programming and environmental feedback.</w:t>
      </w:r>
    </w:p>
    <w:p>
      <w:pPr>
        <w:pStyle w:val="BodyText"/>
      </w:pPr>
      <w:r>
        <w:rPr>
          <w:b/>
        </w:rPr>
        <w:t xml:space="preserve">Context Window</w:t>
      </w:r>
      <w:r>
        <w:t xml:space="preserve">: The maximum number of tokens (input + output) that a large language model can process and retain memory of in a single interaction or conversation.</w:t>
      </w:r>
    </w:p>
    <w:p>
      <w:pPr>
        <w:pStyle w:val="BodyText"/>
      </w:pPr>
      <w:r>
        <w:rPr>
          <w:b/>
        </w:rPr>
        <w:t xml:space="preserve">Customer Perceived Value (CPV)</w:t>
      </w:r>
      <w:r>
        <w:t xml:space="preserve">: The customer’s subjective evaluation of the benefits they receive from a product or service relative to its costs, influencing their willingness to pay.</w:t>
      </w:r>
    </w:p>
    <w:p>
      <w:pPr>
        <w:pStyle w:val="BodyText"/>
      </w:pPr>
      <w:r>
        <w:rPr>
          <w:b/>
        </w:rPr>
        <w:t xml:space="preserve">Decentralized Autonomous Organization (DAO)</w:t>
      </w:r>
      <w:r>
        <w:t xml:space="preserve">: An organization represented by rules encoded as a transparent computer program, controlled by its members, and not influenced by a central government. Relevant for future AI economies.</w:t>
      </w:r>
    </w:p>
    <w:p>
      <w:pPr>
        <w:pStyle w:val="BodyText"/>
      </w:pPr>
      <w:r>
        <w:rPr>
          <w:b/>
        </w:rPr>
        <w:t xml:space="preserve">Dynamic Pricing</w:t>
      </w:r>
      <w:r>
        <w:t xml:space="preserve">: A pricing strategy where prices for products or services are adjusted in real-time based on market demand, supply, customer behavior, and other contextual factors.</w:t>
      </w:r>
    </w:p>
    <w:p>
      <w:pPr>
        <w:pStyle w:val="BodyText"/>
      </w:pPr>
      <w:r>
        <w:rPr>
          <w:b/>
        </w:rPr>
        <w:t xml:space="preserve">Economic Value to the Customer (EVC)</w:t>
      </w:r>
      <w:r>
        <w:t xml:space="preserve">: The maximum price a customer would be willing to pay for a product or service, typically calculated as the cost savings or additional revenue generated compared to the next best alternative.</w:t>
      </w:r>
    </w:p>
    <w:p>
      <w:pPr>
        <w:pStyle w:val="BodyText"/>
      </w:pPr>
      <w:r>
        <w:rPr>
          <w:b/>
        </w:rPr>
        <w:t xml:space="preserve">Embeddings</w:t>
      </w:r>
      <w:r>
        <w:t xml:space="preserve">: Numerical representations (vectors) of text, images, or other data that capture semantic meaning, allowing for efficient comparison and retrieval of similar items.</w:t>
      </w:r>
    </w:p>
    <w:p>
      <w:pPr>
        <w:pStyle w:val="BodyText"/>
      </w:pPr>
      <w:r>
        <w:rPr>
          <w:b/>
        </w:rPr>
        <w:t xml:space="preserve">Ethical AI</w:t>
      </w:r>
      <w:r>
        <w:t xml:space="preserve">: Artificial intelligence systems designed and deployed with principles of fairness, transparency, accountability, privacy, and beneficence to ensure positive societal impact.</w:t>
      </w:r>
    </w:p>
    <w:p>
      <w:pPr>
        <w:pStyle w:val="BodyText"/>
      </w:pPr>
      <w:r>
        <w:rPr>
          <w:b/>
        </w:rPr>
        <w:t xml:space="preserve">Feature-Based Pricing</w:t>
      </w:r>
      <w:r>
        <w:t xml:space="preserve">: A pricing model where costs are differentiated based on the specific functionalities, advanced capabilities, or tiers of service offered by an AI platform.</w:t>
      </w:r>
    </w:p>
    <w:p>
      <w:pPr>
        <w:pStyle w:val="BodyText"/>
      </w:pPr>
      <w:r>
        <w:rPr>
          <w:b/>
        </w:rPr>
        <w:t xml:space="preserve">Foundational Models</w:t>
      </w:r>
      <w:r>
        <w:t xml:space="preserve">: Large-scale AI models (e.g., large language models) trained on vast datasets, capable of being adapted to a wide range of downstream tasks.</w:t>
      </w:r>
    </w:p>
    <w:p>
      <w:pPr>
        <w:pStyle w:val="BodyText"/>
      </w:pPr>
      <w:r>
        <w:rPr>
          <w:b/>
        </w:rPr>
        <w:t xml:space="preserve">Hybrid Pricing Models</w:t>
      </w:r>
      <w:r>
        <w:t xml:space="preserve">: Monetization strategies that combine elements from two or more distinct pricing models (e.g., subscription + usage-based) to offer greater flexibility and value alignment.</w:t>
      </w:r>
    </w:p>
    <w:p>
      <w:pPr>
        <w:pStyle w:val="BodyText"/>
      </w:pPr>
      <w:r>
        <w:rPr>
          <w:b/>
        </w:rPr>
        <w:t xml:space="preserve">Inference Costs</w:t>
      </w:r>
      <w:r>
        <w:t xml:space="preserve">: The computational resources and associated expenses incurred when an AI model processes new data to make predictions or generate outputs.</w:t>
      </w:r>
    </w:p>
    <w:p>
      <w:pPr>
        <w:pStyle w:val="BodyText"/>
      </w:pPr>
      <w:r>
        <w:rPr>
          <w:b/>
        </w:rPr>
        <w:t xml:space="preserve">Large Language Model (LLM)</w:t>
      </w:r>
      <w:r>
        <w:t xml:space="preserve">: A type of AI model trained on massive amounts of text data to understand, generate, and process human language, typically using transformer architectures.</w:t>
      </w:r>
    </w:p>
    <w:p>
      <w:pPr>
        <w:pStyle w:val="BodyText"/>
      </w:pPr>
      <w:r>
        <w:rPr>
          <w:b/>
        </w:rPr>
        <w:t xml:space="preserve">Metering Granularity</w:t>
      </w:r>
      <w:r>
        <w:t xml:space="preserve">: The precision with which AI service usage can be measured (e.g., per token, per API call, per second of processing), impacting the ability to implement fine-grained billing.</w:t>
      </w:r>
    </w:p>
    <w:p>
      <w:pPr>
        <w:pStyle w:val="BodyText"/>
      </w:pPr>
      <w:r>
        <w:rPr>
          <w:b/>
        </w:rPr>
        <w:t xml:space="preserve">Micro-Transactions</w:t>
      </w:r>
      <w:r>
        <w:t xml:space="preserve">: Very small financial transactions, often associated with digital goods or services, potentially used by AI agents to pay for sub-services in a decentralized economy.</w:t>
      </w:r>
    </w:p>
    <w:p>
      <w:pPr>
        <w:pStyle w:val="BodyText"/>
      </w:pPr>
      <w:r>
        <w:rPr>
          <w:b/>
        </w:rPr>
        <w:t xml:space="preserve">Outcome-Based Pricing</w:t>
      </w:r>
      <w:r>
        <w:t xml:space="preserve">: A pricing model where the cost of a service is directly tied to the measurable results, value, or specific outcomes it delivers to the user, rather than inputs or usage.</w:t>
      </w:r>
    </w:p>
    <w:p>
      <w:pPr>
        <w:pStyle w:val="BodyText"/>
      </w:pPr>
      <w:r>
        <w:rPr>
          <w:b/>
        </w:rPr>
        <w:t xml:space="preserve">Platform Economics</w:t>
      </w:r>
      <w:r>
        <w:t xml:space="preserve">: The study of economic principles governing multi-sided platforms, where value is created through interactions between different groups of users (e.g., developers and end-users of an AI API platform).</w:t>
      </w:r>
    </w:p>
    <w:p>
      <w:pPr>
        <w:pStyle w:val="BodyText"/>
      </w:pPr>
      <w:r>
        <w:rPr>
          <w:b/>
        </w:rPr>
        <w:t xml:space="preserve">Prompt Engineering</w:t>
      </w:r>
      <w:r>
        <w:t xml:space="preserve">: The process of designing and refining input prompts for generative AI models (especially LLMs) to elicit desired and optimal outputs.</w:t>
      </w:r>
    </w:p>
    <w:p>
      <w:pPr>
        <w:pStyle w:val="BodyText"/>
      </w:pPr>
      <w:r>
        <w:rPr>
          <w:b/>
        </w:rPr>
        <w:t xml:space="preserve">Retrieval-Augmented Generation (RAG)</w:t>
      </w:r>
      <w:r>
        <w:t xml:space="preserve">: An AI technique that combines a generative language model with a retrieval system to fetch relevant information from a knowledge base before generating a response, enhancing accuracy and reducing hallucinations.</w:t>
      </w:r>
    </w:p>
    <w:p>
      <w:pPr>
        <w:pStyle w:val="BodyText"/>
      </w:pPr>
      <w:r>
        <w:rPr>
          <w:b/>
        </w:rPr>
        <w:t xml:space="preserve">Token</w:t>
      </w:r>
      <w:r>
        <w:t xml:space="preserve">: A fundamental unit of text used by large language models, typically representing a word, subword, or character, upon which computational costs are often based.</w:t>
      </w:r>
    </w:p>
    <w:p>
      <w:pPr>
        <w:pStyle w:val="BodyText"/>
      </w:pPr>
      <w:r>
        <w:rPr>
          <w:b/>
        </w:rPr>
        <w:t xml:space="preserve">Tokenization</w:t>
      </w:r>
      <w:r>
        <w:t xml:space="preserve">: The process of breaking down raw text into individual tokens that an AI model can process. Different models use different tokenization schemes.</w:t>
      </w:r>
    </w:p>
    <w:p>
      <w:pPr>
        <w:pStyle w:val="BodyText"/>
      </w:pPr>
      <w:r>
        <w:rPr>
          <w:b/>
        </w:rPr>
        <w:t xml:space="preserve">Transparency in Pricing</w:t>
      </w:r>
      <w:r>
        <w:t xml:space="preserve">: The clarity and comprehensibility of a pricing model, allowing users to understand how costs are calculated, what they are paying for, and how to optimize their expenditure.</w:t>
      </w:r>
    </w:p>
    <w:p>
      <w:pPr>
        <w:pStyle w:val="BodyText"/>
      </w:pPr>
      <w:r>
        <w:rPr>
          <w:b/>
        </w:rPr>
        <w:t xml:space="preserve">Usage-Based Pricing</w:t>
      </w:r>
      <w:r>
        <w:t xml:space="preserve">: A pricing model where customers pay for a service based on the actual consumption of resources or API calls, often on a pay-as-you-go basis.</w:t>
      </w:r>
    </w:p>
    <w:p>
      <w:pPr>
        <w:pStyle w:val="BodyText"/>
      </w:pPr>
      <w:r>
        <w:rPr>
          <w:b/>
        </w:rPr>
        <w:t xml:space="preserve">Value-Based Pricing</w:t>
      </w:r>
      <w:r>
        <w:t xml:space="preserve">: A pricing strategy that sets prices primarily based on the perceived or actual value delivered to the customer, rather than solely on production cost or market competition.</w:t>
      </w:r>
    </w:p>
    <w:p>
      <w:pPr>
        <w:pStyle w:val="BodyText"/>
      </w:pPr>
      <w:r>
        <w:rPr>
          <w:b/>
        </w:rPr>
        <w:t xml:space="preserve">Vendor Lock-in</w:t>
      </w:r>
      <w:r>
        <w:t xml:space="preserve">: A situation where a customer becomes dependent on a vendor for products and services and cannot easily switch to another vendor without substantial switching costs.</w:t>
      </w:r>
    </w:p>
    <w:p>
      <w:r>
        <w:pict>
          <v:rect style="width:0;height:1.5pt" o:hralign="center" o:hrstd="t" o:hr="t"/>
        </w:pict>
      </w:r>
    </w:p>
    <w:p>
      <w:pPr>
        <w:pStyle w:val="Heading2"/>
      </w:pPr>
      <w:bookmarkStart w:id="130" w:name="references"/>
      <w:r>
        <w:t xml:space="preserve">References</w:t>
      </w:r>
      <w:bookmarkEnd w:id="130"/>
    </w:p>
    <w:p>
      <w:pPr>
        <w:pStyle w:val="FirstParagraph"/>
      </w:pPr>
      <w:r>
        <w:t xml:space="preserve">AWS. (2023).</w:t>
      </w:r>
      <w:r>
        <w:t xml:space="preserve"> </w:t>
      </w:r>
      <w:r>
        <w:rPr>
          <w:i/>
        </w:rPr>
        <w:t xml:space="preserve">AWS AI Service Pricing Breakdown</w:t>
      </w:r>
      <w:r>
        <w:t xml:space="preserve">. Amazon.</w:t>
      </w:r>
    </w:p>
    <w:p>
      <w:pPr>
        <w:pStyle w:val="BodyText"/>
      </w:pPr>
      <w:r>
        <w:t xml:space="preserve">BCG. (2023).</w:t>
      </w:r>
      <w:r>
        <w:t xml:space="preserve"> </w:t>
      </w:r>
      <w:r>
        <w:rPr>
          <w:i/>
        </w:rPr>
        <w:t xml:space="preserve">AI Value Capture</w:t>
      </w:r>
      <w:r>
        <w:t xml:space="preserve">. BCG.</w:t>
      </w:r>
    </w:p>
    <w:p>
      <w:pPr>
        <w:pStyle w:val="BodyText"/>
      </w:pPr>
      <w:r>
        <w:t xml:space="preserve">Brookings. (2022).</w:t>
      </w:r>
      <w:r>
        <w:t xml:space="preserve"> </w:t>
      </w:r>
      <w:r>
        <w:rPr>
          <w:i/>
        </w:rPr>
        <w:t xml:space="preserve">AI Policy Economics</w:t>
      </w:r>
      <w:r>
        <w:t xml:space="preserve">. Brookings Institution.</w:t>
      </w:r>
    </w:p>
    <w:p>
      <w:pPr>
        <w:pStyle w:val="BodyText"/>
      </w:pPr>
      <w:r>
        <w:t xml:space="preserve">European Commission. (2024).</w:t>
      </w:r>
      <w:r>
        <w:t xml:space="preserve"> </w:t>
      </w:r>
      <w:r>
        <w:rPr>
          <w:i/>
        </w:rPr>
        <w:t xml:space="preserve">AI Act Pricing Implications</w:t>
      </w:r>
      <w:r>
        <w:t xml:space="preserve">. European Commission.</w:t>
      </w:r>
    </w:p>
    <w:p>
      <w:pPr>
        <w:pStyle w:val="BodyText"/>
      </w:pPr>
      <w:r>
        <w:t xml:space="preserve">Gartner. (2024).</w:t>
      </w:r>
      <w:r>
        <w:t xml:space="preserve"> </w:t>
      </w:r>
      <w:r>
        <w:rPr>
          <w:i/>
        </w:rPr>
        <w:t xml:space="preserve">Agentic AI Monetization</w:t>
      </w:r>
      <w:r>
        <w:t xml:space="preserve">. Gartner.</w:t>
      </w:r>
    </w:p>
    <w:p>
      <w:pPr>
        <w:pStyle w:val="BodyText"/>
      </w:pPr>
      <w:r>
        <w:t xml:space="preserve">Google Cloud. (2023).</w:t>
      </w:r>
      <w:r>
        <w:t xml:space="preserve"> </w:t>
      </w:r>
      <w:r>
        <w:rPr>
          <w:i/>
        </w:rPr>
        <w:t xml:space="preserve">Google Cloud AI Pricing Models</w:t>
      </w:r>
      <w:r>
        <w:t xml:space="preserve">. Google.</w:t>
      </w:r>
    </w:p>
    <w:p>
      <w:pPr>
        <w:pStyle w:val="BodyText"/>
      </w:pPr>
      <w:r>
        <w:t xml:space="preserve">IEEE. (2023).</w:t>
      </w:r>
      <w:r>
        <w:t xml:space="preserve"> </w:t>
      </w:r>
      <w:r>
        <w:rPr>
          <w:i/>
        </w:rPr>
        <w:t xml:space="preserve">AI Service Metering Standards</w:t>
      </w:r>
      <w:r>
        <w:t xml:space="preserve">. IEEE.</w:t>
      </w:r>
    </w:p>
    <w:p>
      <w:pPr>
        <w:pStyle w:val="BodyText"/>
      </w:pPr>
      <w:r>
        <w:t xml:space="preserve">ISO. (2023).</w:t>
      </w:r>
      <w:r>
        <w:t xml:space="preserve"> </w:t>
      </w:r>
      <w:r>
        <w:rPr>
          <w:i/>
        </w:rPr>
        <w:t xml:space="preserve">AI Governance Pricing Standards</w:t>
      </w:r>
      <w:r>
        <w:t xml:space="preserve">. ISO.</w:t>
      </w:r>
    </w:p>
    <w:p>
      <w:pPr>
        <w:pStyle w:val="BodyText"/>
      </w:pPr>
      <w:r>
        <w:t xml:space="preserve">NIST. (2023).</w:t>
      </w:r>
      <w:r>
        <w:t xml:space="preserve"> </w:t>
      </w:r>
      <w:r>
        <w:rPr>
          <w:i/>
        </w:rPr>
        <w:t xml:space="preserve">AI Best Practices Pricing</w:t>
      </w:r>
      <w:r>
        <w:t xml:space="preserve">. NIST.</w:t>
      </w:r>
    </w:p>
    <w:p>
      <w:pPr>
        <w:pStyle w:val="BodyText"/>
      </w:pPr>
      <w:r>
        <w:t xml:space="preserve">OECD. (2022).</w:t>
      </w:r>
      <w:r>
        <w:t xml:space="preserve"> </w:t>
      </w:r>
      <w:r>
        <w:rPr>
          <w:i/>
        </w:rPr>
        <w:t xml:space="preserve">AI Economic Impact Framework</w:t>
      </w:r>
      <w:r>
        <w:t xml:space="preserve">. OECD.</w:t>
      </w:r>
    </w:p>
    <w:p>
      <w:pPr>
        <w:pStyle w:val="BodyText"/>
      </w:pPr>
      <w:r>
        <w:t xml:space="preserve">RAND Corporation. (2021).</w:t>
      </w:r>
      <w:r>
        <w:t xml:space="preserve"> </w:t>
      </w:r>
      <w:r>
        <w:rPr>
          <w:i/>
        </w:rPr>
        <w:t xml:space="preserve">AI Economic Models</w:t>
      </w:r>
      <w:r>
        <w:t xml:space="preserve">. RAND Corporation.</w:t>
      </w:r>
    </w:p>
    <w:p>
      <w:pPr>
        <w:pStyle w:val="BodyText"/>
      </w:pPr>
      <w:r>
        <w:t xml:space="preserve">Unknown. (2023). Economic Frameworks for Autonomous AI Agents. **.</w:t>
      </w:r>
    </w:p>
    <w:p>
      <w:pPr>
        <w:pStyle w:val="BodyText"/>
      </w:pPr>
      <w:r>
        <w:t xml:space="preserve">Unknown. (2023).</w:t>
      </w:r>
      <w:r>
        <w:t xml:space="preserve"> </w:t>
      </w:r>
      <w:r>
        <w:rPr>
          <w:i/>
        </w:rPr>
        <w:t xml:space="preserve">Regulatory Frameworks for AI Services Pricing</w:t>
      </w:r>
      <w:r>
        <w:t xml:space="preserve">.</w:t>
      </w:r>
    </w:p>
    <w:p>
      <w:pPr>
        <w:pStyle w:val="BodyText"/>
      </w:pPr>
      <w:r>
        <w:t xml:space="preserve">Unknown. (2024).</w:t>
      </w:r>
      <w:r>
        <w:t xml:space="preserve"> </w:t>
      </w:r>
      <w:r>
        <w:rPr>
          <w:i/>
        </w:rPr>
        <w:t xml:space="preserve">OpenAI Pricing Strategy Analysis</w:t>
      </w:r>
      <w:r>
        <w:t xml:space="preserve">.</w:t>
      </w:r>
    </w:p>
    <w:p>
      <w:pPr>
        <w:pStyle w:val="BodyText"/>
      </w:pPr>
      <w:r>
        <w:t xml:space="preserve">Unknown. (2022). Platform Economics AI Agent APIs. **.</w:t>
      </w:r>
    </w:p>
    <w:p>
      <w:pPr>
        <w:pStyle w:val="BodyText"/>
      </w:pPr>
      <w:r>
        <w:t xml:space="preserve">Unknown. (2024).</w:t>
      </w:r>
      <w:r>
        <w:t xml:space="preserve"> </w:t>
      </w:r>
      <w:r>
        <w:rPr>
          <w:i/>
        </w:rPr>
        <w:t xml:space="preserve">AI Monetization Trends 2020-2024</w:t>
      </w:r>
      <w:r>
        <w:t xml:space="preserve">.</w:t>
      </w:r>
    </w:p>
    <w:p>
      <w:pPr>
        <w:pStyle w:val="BodyText"/>
      </w:pPr>
      <w:r>
        <w:t xml:space="preserve">Unknown. (2023).</w:t>
      </w:r>
      <w:r>
        <w:t xml:space="preserve"> </w:t>
      </w:r>
      <w:r>
        <w:rPr>
          <w:i/>
        </w:rPr>
        <w:t xml:space="preserve">Competitive Landscape AI Pricing Models</w:t>
      </w:r>
      <w:r>
        <w:t xml:space="preserve">.</w:t>
      </w:r>
    </w:p>
    <w:p>
      <w:pPr>
        <w:pStyle w:val="BodyText"/>
      </w:pPr>
      <w:r>
        <w:t xml:space="preserve">Unknown. (2024).</w:t>
      </w:r>
      <w:r>
        <w:t xml:space="preserve"> </w:t>
      </w:r>
      <w:r>
        <w:rPr>
          <w:i/>
        </w:rPr>
        <w:t xml:space="preserve">AI Agent Value Proposition Pricing</w:t>
      </w:r>
      <w:r>
        <w:t xml:space="preserve">.</w:t>
      </w:r>
    </w:p>
    <w:p>
      <w:pPr>
        <w:pStyle w:val="BodyText"/>
      </w:pPr>
      <w:r>
        <w:t xml:space="preserve">WHO. (2023).</w:t>
      </w:r>
      <w:r>
        <w:t xml:space="preserve"> </w:t>
      </w:r>
      <w:r>
        <w:rPr>
          <w:i/>
        </w:rPr>
        <w:t xml:space="preserve">AI Ethics Pricing Guidelines</w:t>
      </w:r>
      <w:r>
        <w:t xml:space="preserve">. WHO.</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aiethicsinstitute.org/" TargetMode="External"/><Relationship Id="rId118" Type="http://schemas.openxmlformats.org/officeDocument/2006/relationships/hyperlink" Target="https://digital-strategy.ec.europa.eu/en/policies/artificial-intelligence" TargetMode="External"/><Relationship Id="rId117" Type="http://schemas.openxmlformats.org/officeDocument/2006/relationships/hyperlink" Target="https://oecd.ai/" TargetMode="External"/><Relationship Id="rId127" Type="http://schemas.openxmlformats.org/officeDocument/2006/relationships/hyperlink" Target="https://partnershiponai.org/" TargetMode="External"/><Relationship Id="rId120" Type="http://schemas.openxmlformats.org/officeDocument/2006/relationships/hyperlink" Target="https://www.gartner.com/en/articles/what-s-new-in-the-202X-hype-cycle-for-artificial-intelligence" TargetMode="External"/><Relationship Id="rId124" Type="http://schemas.openxmlformats.org/officeDocument/2006/relationships/hyperlink" Target="https://www.ieee.org/" TargetMode="External"/><Relationship Id="rId125" Type="http://schemas.openxmlformats.org/officeDocument/2006/relationships/hyperlink" Target="https://www.iso.org/" TargetMode="External"/><Relationship Id="rId121" Type="http://schemas.openxmlformats.org/officeDocument/2006/relationships/hyperlink" Target="https://www.mckinsey.com/capabilities/quantumblack/our-insights/artificial-intelligence" TargetMode="External"/><Relationship Id="rId119" Type="http://schemas.openxmlformats.org/officeDocument/2006/relationships/hyperlink" Target="https://www.nist.gov/artificial-intelligence" TargetMode="External"/><Relationship Id="rId128" Type="http://schemas.openxmlformats.org/officeDocument/2006/relationships/hyperlink" Target="https://www.who.int/health-topics/artificial-intelligence"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aiethicsinstitute.org/" TargetMode="External"/><Relationship Id="rId118" Type="http://schemas.openxmlformats.org/officeDocument/2006/relationships/hyperlink" Target="https://digital-strategy.ec.europa.eu/en/policies/artificial-intelligence" TargetMode="External"/><Relationship Id="rId117" Type="http://schemas.openxmlformats.org/officeDocument/2006/relationships/hyperlink" Target="https://oecd.ai/" TargetMode="External"/><Relationship Id="rId127" Type="http://schemas.openxmlformats.org/officeDocument/2006/relationships/hyperlink" Target="https://partnershiponai.org/" TargetMode="External"/><Relationship Id="rId120" Type="http://schemas.openxmlformats.org/officeDocument/2006/relationships/hyperlink" Target="https://www.gartner.com/en/articles/what-s-new-in-the-202X-hype-cycle-for-artificial-intelligence" TargetMode="External"/><Relationship Id="rId124" Type="http://schemas.openxmlformats.org/officeDocument/2006/relationships/hyperlink" Target="https://www.ieee.org/" TargetMode="External"/><Relationship Id="rId125" Type="http://schemas.openxmlformats.org/officeDocument/2006/relationships/hyperlink" Target="https://www.iso.org/" TargetMode="External"/><Relationship Id="rId121" Type="http://schemas.openxmlformats.org/officeDocument/2006/relationships/hyperlink" Target="https://www.mckinsey.com/capabilities/quantumblack/our-insights/artificial-intelligence" TargetMode="External"/><Relationship Id="rId119" Type="http://schemas.openxmlformats.org/officeDocument/2006/relationships/hyperlink" Target="https://www.nist.gov/artificial-intelligence" TargetMode="External"/><Relationship Id="rId128" Type="http://schemas.openxmlformats.org/officeDocument/2006/relationships/hyperlink" Target="https://www.who.int/health-topics/artificial-intellig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Pricing Models for Agentic AI Systems: From Token-Based to Value-Based Approaches</dc:title>
  <dc:creator>Academic Thesis AI (Multi-Agent System)</dc:creator>
  <cp:keywords/>
  <dcterms:created xsi:type="dcterms:W3CDTF">2025-11-16T19:05:50Z</dcterms:created>
  <dcterms:modified xsi:type="dcterms:W3CDTF">2025-11-16T19:05:50Z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https://github.com/federicodeponte/academic-thesis-ai</vt:lpwstr>
  </property>
  <property fmtid="{D5CDD505-2E9C-101B-9397-08002B2CF9AE}" pid="3" name="citations_verified">
    <vt:lpwstr>20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https://github.com/federicodeponte/academic-thesis-ai</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97-page thesis on pricing models for agentic AI systems was autonomously written, researched, fact-checked, and formatted by a multi-agent AI system. From literature review on token-based pricing to case studies of major AI providers and future value-based approaches—all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4 tables, 2 figures, 4 comprehensive appendices</vt:lpwstr>
  </property>
  <property fmtid="{D5CDD505-2E9C-101B-9397-08002B2CF9AE}" pid="14" name="word_count">
    <vt:lpwstr>21,400 words across 97 pages (estimated)</vt:lpwstr>
  </property>
</Properties>
</file>