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Pricing</w:t>
      </w:r>
      <w:r>
        <w:t xml:space="preserve"> </w:t>
      </w:r>
      <w:r>
        <w:t xml:space="preserve">Models</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From</w:t>
      </w:r>
      <w:r>
        <w:t xml:space="preserve"> </w:t>
      </w:r>
      <w:r>
        <w:t xml:space="preserve">Token-Based</w:t>
      </w:r>
      <w:r>
        <w:t xml:space="preserve"> </w:t>
      </w:r>
      <w:r>
        <w:t xml:space="preserve">to</w:t>
      </w:r>
      <w:r>
        <w:t xml:space="preserve"> </w:t>
      </w:r>
      <w:r>
        <w:t xml:space="preserve">Value-Based</w:t>
      </w:r>
      <w:r>
        <w:t xml:space="preserve"> </w:t>
      </w:r>
      <w:r>
        <w:t xml:space="preserve">Approaches</w:t>
      </w:r>
    </w:p>
    <w:p>
      <w:pPr>
        <w:pStyle w:val="Subtitle"/>
      </w:pPr>
      <w:r>
        <w:t xml:space="preserve">AI-Generated</w:t>
      </w:r>
      <w:r>
        <w:t xml:space="preserve"> </w:t>
      </w:r>
      <w:r>
        <w:t xml:space="preserve">Academic</w:t>
      </w:r>
      <w:r>
        <w:t xml:space="preserve"> </w:t>
      </w:r>
      <w:r>
        <w:t xml:space="preserve">Thesis</w:t>
      </w:r>
      <w:r>
        <w:t xml:space="preserve"> </w:t>
      </w:r>
      <w:r>
        <w:t xml:space="preserve">Showcase</w:t>
      </w:r>
    </w:p>
    <w:p>
      <w:pPr>
        <w:pStyle w:val="Author"/>
      </w:pPr>
      <w:r>
        <w:t xml:space="preserve">Academic</w:t>
      </w:r>
      <w:r>
        <w:t xml:space="preserve"> </w:t>
      </w:r>
      <w:r>
        <w:t xml:space="preserve">Thesis</w:t>
      </w:r>
      <w:r>
        <w:t xml:space="preserve"> </w:t>
      </w:r>
      <w:r>
        <w:t xml:space="preserve">AI</w:t>
      </w:r>
      <w:r>
        <w:t xml:space="preserve"> </w:t>
      </w:r>
      <w:r>
        <w:t xml:space="preserve">(Multi-Agent</w:t>
      </w:r>
      <w:r>
        <w:t xml:space="preserve"> </w:t>
      </w:r>
      <w:r>
        <w:t xml:space="preserve">System)</w:t>
      </w:r>
    </w:p>
    <w:p>
      <w:pPr>
        <w:pStyle w:val="Date"/>
      </w:pPr>
      <w:r>
        <w:t xml:space="preserve">January</w:t>
      </w:r>
      <w:r>
        <w:t xml:space="preserve"> </w:t>
      </w:r>
      <w:r>
        <w:t xml:space="preserve">2025</w:t>
      </w:r>
    </w:p>
    <w:p>
      <w:pPr>
        <w:pStyle w:val="Abstract"/>
      </w:pPr>
      <w:r>
        <w:t xml:space="preserve">The</w:t>
      </w:r>
      <w:r>
        <w:t xml:space="preserve"> </w:t>
      </w:r>
      <w:r>
        <w:t xml:space="preserve">emergence</w:t>
      </w:r>
      <w:r>
        <w:t xml:space="preserve"> </w:t>
      </w:r>
      <w:r>
        <w:t xml:space="preserve">of</w:t>
      </w:r>
      <w:r>
        <w:t xml:space="preserve"> </w:t>
      </w:r>
      <w:r>
        <w:t xml:space="preserve">agentic</w:t>
      </w:r>
      <w:r>
        <w:t xml:space="preserve"> </w:t>
      </w:r>
      <w:r>
        <w:t xml:space="preserve">artificial</w:t>
      </w:r>
      <w:r>
        <w:t xml:space="preserve"> </w:t>
      </w:r>
      <w:r>
        <w:t xml:space="preserve">intelligence</w:t>
      </w:r>
      <w:r>
        <w:t xml:space="preserve"> </w:t>
      </w:r>
      <w:r>
        <w:t xml:space="preserve">systems</w:t>
      </w:r>
      <w:r>
        <w:t xml:space="preserve"> </w:t>
      </w:r>
      <w:r>
        <w:t xml:space="preserve">represents</w:t>
      </w:r>
      <w:r>
        <w:t xml:space="preserve"> </w:t>
      </w:r>
      <w:r>
        <w:t xml:space="preserve">a</w:t>
      </w:r>
      <w:r>
        <w:t xml:space="preserve"> </w:t>
      </w:r>
      <w:r>
        <w:t xml:space="preserve">fundamental</w:t>
      </w:r>
      <w:r>
        <w:t xml:space="preserve"> </w:t>
      </w:r>
      <w:r>
        <w:t xml:space="preserve">shift</w:t>
      </w:r>
      <w:r>
        <w:t xml:space="preserve"> </w:t>
      </w:r>
      <w:r>
        <w:t xml:space="preserve">in</w:t>
      </w:r>
      <w:r>
        <w:t xml:space="preserve"> </w:t>
      </w:r>
      <w:r>
        <w:t xml:space="preserve">how</w:t>
      </w:r>
      <w:r>
        <w:t xml:space="preserve"> </w:t>
      </w:r>
      <w:r>
        <w:t xml:space="preserve">businesses</w:t>
      </w:r>
      <w:r>
        <w:t xml:space="preserve"> </w:t>
      </w:r>
      <w:r>
        <w:t xml:space="preserve">leverage</w:t>
      </w:r>
      <w:r>
        <w:t xml:space="preserve"> </w:t>
      </w:r>
      <w:r>
        <w:t xml:space="preserve">technology,</w:t>
      </w:r>
      <w:r>
        <w:t xml:space="preserve"> </w:t>
      </w:r>
      <w:r>
        <w:t xml:space="preserve">yet</w:t>
      </w:r>
      <w:r>
        <w:t xml:space="preserve"> </w:t>
      </w:r>
      <w:r>
        <w:t xml:space="preserve">current</w:t>
      </w:r>
      <w:r>
        <w:t xml:space="preserve"> </w:t>
      </w:r>
      <w:r>
        <w:t xml:space="preserve">pricing</w:t>
      </w:r>
      <w:r>
        <w:t xml:space="preserve"> </w:t>
      </w:r>
      <w:r>
        <w:t xml:space="preserve">models</w:t>
      </w:r>
      <w:r>
        <w:t xml:space="preserve"> </w:t>
      </w:r>
      <w:r>
        <w:t xml:space="preserve">predominantly</w:t>
      </w:r>
      <w:r>
        <w:t xml:space="preserve"> </w:t>
      </w:r>
      <w:r>
        <w:t xml:space="preserve">rely</w:t>
      </w:r>
      <w:r>
        <w:t xml:space="preserve"> </w:t>
      </w:r>
      <w:r>
        <w:t xml:space="preserve">on</w:t>
      </w:r>
      <w:r>
        <w:t xml:space="preserve"> </w:t>
      </w:r>
      <w:r>
        <w:t xml:space="preserve">computational</w:t>
      </w:r>
      <w:r>
        <w:t xml:space="preserve"> </w:t>
      </w:r>
      <w:r>
        <w:t xml:space="preserve">metrics</w:t>
      </w:r>
      <w:r>
        <w:t xml:space="preserve"> </w:t>
      </w:r>
      <w:r>
        <w:t xml:space="preserve">such</w:t>
      </w:r>
      <w:r>
        <w:t xml:space="preserve"> </w:t>
      </w:r>
      <w:r>
        <w:t xml:space="preserve">as</w:t>
      </w:r>
      <w:r>
        <w:t xml:space="preserve"> </w:t>
      </w:r>
      <w:r>
        <w:t xml:space="preserve">token</w:t>
      </w:r>
      <w:r>
        <w:t xml:space="preserve"> </w:t>
      </w:r>
      <w:r>
        <w:t xml:space="preserve">consumption,</w:t>
      </w:r>
      <w:r>
        <w:t xml:space="preserve"> </w:t>
      </w:r>
      <w:r>
        <w:t xml:space="preserve">failing</w:t>
      </w:r>
      <w:r>
        <w:t xml:space="preserve"> </w:t>
      </w:r>
      <w:r>
        <w:t xml:space="preserve">to</w:t>
      </w:r>
      <w:r>
        <w:t xml:space="preserve"> </w:t>
      </w:r>
      <w:r>
        <w:t xml:space="preserve">capture</w:t>
      </w:r>
      <w:r>
        <w:t xml:space="preserve"> </w:t>
      </w:r>
      <w:r>
        <w:t xml:space="preserve">the</w:t>
      </w:r>
      <w:r>
        <w:t xml:space="preserve"> </w:t>
      </w:r>
      <w:r>
        <w:t xml:space="preserve">multifaceted</w:t>
      </w:r>
      <w:r>
        <w:t xml:space="preserve"> </w:t>
      </w:r>
      <w:r>
        <w:t xml:space="preserve">value</w:t>
      </w:r>
      <w:r>
        <w:t xml:space="preserve"> </w:t>
      </w:r>
      <w:r>
        <w:t xml:space="preserve">these</w:t>
      </w:r>
      <w:r>
        <w:t xml:space="preserve"> </w:t>
      </w:r>
      <w:r>
        <w:t xml:space="preserve">systems</w:t>
      </w:r>
      <w:r>
        <w:t xml:space="preserve"> </w:t>
      </w:r>
      <w:r>
        <w:t xml:space="preserve">generate.</w:t>
      </w:r>
      <w:r>
        <w:t xml:space="preserve"> </w:t>
      </w:r>
      <w:r>
        <w:t xml:space="preserve">This</w:t>
      </w:r>
      <w:r>
        <w:t xml:space="preserve"> </w:t>
      </w:r>
      <w:r>
        <w:t xml:space="preserve">research</w:t>
      </w:r>
      <w:r>
        <w:t xml:space="preserve"> </w:t>
      </w:r>
      <w:r>
        <w:t xml:space="preserve">proposes</w:t>
      </w:r>
      <w:r>
        <w:t xml:space="preserve"> </w:t>
      </w:r>
      <w:r>
        <w:t xml:space="preserve">and</w:t>
      </w:r>
      <w:r>
        <w:t xml:space="preserve"> </w:t>
      </w:r>
      <w:r>
        <w:t xml:space="preserve">evaluates</w:t>
      </w:r>
      <w:r>
        <w:t xml:space="preserve"> </w:t>
      </w:r>
      <w:r>
        <w:t xml:space="preserve">a</w:t>
      </w:r>
      <w:r>
        <w:t xml:space="preserve"> </w:t>
      </w:r>
      <w:r>
        <w:t xml:space="preserve">novel</w:t>
      </w:r>
      <w:r>
        <w:t xml:space="preserve"> </w:t>
      </w:r>
      <w:r>
        <w:t xml:space="preserve">value-based</w:t>
      </w:r>
      <w:r>
        <w:t xml:space="preserve"> </w:t>
      </w:r>
      <w:r>
        <w:t xml:space="preserve">pricing</w:t>
      </w:r>
      <w:r>
        <w:t xml:space="preserve"> </w:t>
      </w:r>
      <w:r>
        <w:t xml:space="preserve">framework</w:t>
      </w:r>
      <w:r>
        <w:t xml:space="preserve"> </w:t>
      </w:r>
      <w:r>
        <w:t xml:space="preserve">specifically</w:t>
      </w:r>
      <w:r>
        <w:t xml:space="preserve"> </w:t>
      </w:r>
      <w:r>
        <w:t xml:space="preserve">designed</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drawing</w:t>
      </w:r>
      <w:r>
        <w:t xml:space="preserve"> </w:t>
      </w:r>
      <w:r>
        <w:t xml:space="preserve">upon</w:t>
      </w:r>
      <w:r>
        <w:t xml:space="preserve"> </w:t>
      </w:r>
      <w:r>
        <w:t xml:space="preserve">established</w:t>
      </w:r>
      <w:r>
        <w:t xml:space="preserve"> </w:t>
      </w:r>
      <w:r>
        <w:t xml:space="preserve">economic</w:t>
      </w:r>
      <w:r>
        <w:t xml:space="preserve"> </w:t>
      </w:r>
      <w:r>
        <w:t xml:space="preserve">theories</w:t>
      </w:r>
      <w:r>
        <w:t xml:space="preserve"> </w:t>
      </w:r>
      <w:r>
        <w:t xml:space="preserve">including</w:t>
      </w:r>
      <w:r>
        <w:t xml:space="preserve"> </w:t>
      </w:r>
      <w:r>
        <w:t xml:space="preserve">value</w:t>
      </w:r>
      <w:r>
        <w:t xml:space="preserve"> </w:t>
      </w:r>
      <w:r>
        <w:t xml:space="preserve">pricing,</w:t>
      </w:r>
      <w:r>
        <w:t xml:space="preserve"> </w:t>
      </w:r>
      <w:r>
        <w:t xml:space="preserve">behavioral</w:t>
      </w:r>
      <w:r>
        <w:t xml:space="preserve"> </w:t>
      </w:r>
      <w:r>
        <w:t xml:space="preserve">economics,</w:t>
      </w:r>
      <w:r>
        <w:t xml:space="preserve"> </w:t>
      </w:r>
      <w:r>
        <w:t xml:space="preserve">and</w:t>
      </w:r>
      <w:r>
        <w:t xml:space="preserve"> </w:t>
      </w:r>
      <w:r>
        <w:t xml:space="preserve">information</w:t>
      </w:r>
      <w:r>
        <w:t xml:space="preserve"> </w:t>
      </w:r>
      <w:r>
        <w:t xml:space="preserve">economics.</w:t>
      </w:r>
      <w:r>
        <w:t xml:space="preserve"> </w:t>
      </w:r>
      <w:r>
        <w:t xml:space="preserve">Through</w:t>
      </w:r>
      <w:r>
        <w:t xml:space="preserve"> </w:t>
      </w:r>
      <w:r>
        <w:t xml:space="preserve">comparative</w:t>
      </w:r>
      <w:r>
        <w:t xml:space="preserve"> </w:t>
      </w:r>
      <w:r>
        <w:t xml:space="preserve">analysis</w:t>
      </w:r>
      <w:r>
        <w:t xml:space="preserve"> </w:t>
      </w:r>
      <w:r>
        <w:t xml:space="preserve">of</w:t>
      </w:r>
      <w:r>
        <w:t xml:space="preserve"> </w:t>
      </w:r>
      <w:r>
        <w:t xml:space="preserve">existing</w:t>
      </w:r>
      <w:r>
        <w:t xml:space="preserve"> </w:t>
      </w:r>
      <w:r>
        <w:t xml:space="preserve">pricing</w:t>
      </w:r>
      <w:r>
        <w:t xml:space="preserve"> </w:t>
      </w:r>
      <w:r>
        <w:t xml:space="preserve">models</w:t>
      </w:r>
      <w:r>
        <w:t xml:space="preserve"> </w:t>
      </w:r>
      <w:r>
        <w:t xml:space="preserve">and</w:t>
      </w:r>
      <w:r>
        <w:t xml:space="preserve"> </w:t>
      </w:r>
      <w:r>
        <w:t xml:space="preserve">examination</w:t>
      </w:r>
      <w:r>
        <w:t xml:space="preserve"> </w:t>
      </w:r>
      <w:r>
        <w:t xml:space="preserve">of</w:t>
      </w:r>
      <w:r>
        <w:t xml:space="preserve"> </w:t>
      </w:r>
      <w:r>
        <w:t xml:space="preserve">three</w:t>
      </w:r>
      <w:r>
        <w:t xml:space="preserve"> </w:t>
      </w:r>
      <w:r>
        <w:t xml:space="preserve">industry</w:t>
      </w:r>
      <w:r>
        <w:t xml:space="preserve"> </w:t>
      </w:r>
      <w:r>
        <w:t xml:space="preserve">case</w:t>
      </w:r>
      <w:r>
        <w:t xml:space="preserve"> </w:t>
      </w:r>
      <w:r>
        <w:t xml:space="preserve">studies</w:t>
      </w:r>
      <w:r>
        <w:t xml:space="preserve"> </w:t>
      </w:r>
      <w:r>
        <w:t xml:space="preserve">spanning</w:t>
      </w:r>
      <w:r>
        <w:t xml:space="preserve"> </w:t>
      </w:r>
      <w:r>
        <w:t xml:space="preserve">healthcare</w:t>
      </w:r>
      <w:r>
        <w:t xml:space="preserve"> </w:t>
      </w:r>
      <w:r>
        <w:t xml:space="preserve">diagnostics,</w:t>
      </w:r>
      <w:r>
        <w:t xml:space="preserve"> </w:t>
      </w:r>
      <w:r>
        <w:t xml:space="preserve">financial</w:t>
      </w:r>
      <w:r>
        <w:t xml:space="preserve"> </w:t>
      </w:r>
      <w:r>
        <w:t xml:space="preserve">trading,</w:t>
      </w:r>
      <w:r>
        <w:t xml:space="preserve"> </w:t>
      </w:r>
      <w:r>
        <w:t xml:space="preserve">and</w:t>
      </w:r>
      <w:r>
        <w:t xml:space="preserve"> </w:t>
      </w:r>
      <w:r>
        <w:t xml:space="preserve">legal</w:t>
      </w:r>
      <w:r>
        <w:t xml:space="preserve"> </w:t>
      </w:r>
      <w:r>
        <w:t xml:space="preserve">research,</w:t>
      </w:r>
      <w:r>
        <w:t xml:space="preserve"> </w:t>
      </w:r>
      <w:r>
        <w:t xml:space="preserve">we</w:t>
      </w:r>
      <w:r>
        <w:t xml:space="preserve"> </w:t>
      </w:r>
      <w:r>
        <w:t xml:space="preserve">demonstrate</w:t>
      </w:r>
      <w:r>
        <w:t xml:space="preserve"> </w:t>
      </w:r>
      <w:r>
        <w:t xml:space="preserve">that</w:t>
      </w:r>
      <w:r>
        <w:t xml:space="preserve"> </w:t>
      </w:r>
      <w:r>
        <w:t xml:space="preserve">token-based</w:t>
      </w:r>
      <w:r>
        <w:t xml:space="preserve"> </w:t>
      </w:r>
      <w:r>
        <w:t xml:space="preserve">pricing</w:t>
      </w:r>
      <w:r>
        <w:t xml:space="preserve"> </w:t>
      </w:r>
      <w:r>
        <w:t xml:space="preserve">creates</w:t>
      </w:r>
      <w:r>
        <w:t xml:space="preserve"> </w:t>
      </w:r>
      <w:r>
        <w:t xml:space="preserve">significant</w:t>
      </w:r>
      <w:r>
        <w:t xml:space="preserve"> </w:t>
      </w:r>
      <w:r>
        <w:t xml:space="preserve">market</w:t>
      </w:r>
      <w:r>
        <w:t xml:space="preserve"> </w:t>
      </w:r>
      <w:r>
        <w:t xml:space="preserve">inefficiencies</w:t>
      </w:r>
      <w:r>
        <w:t xml:space="preserve"> </w:t>
      </w:r>
      <w:r>
        <w:t xml:space="preserve">by</w:t>
      </w:r>
      <w:r>
        <w:t xml:space="preserve"> </w:t>
      </w:r>
      <w:r>
        <w:t xml:space="preserve">decoupling</w:t>
      </w:r>
      <w:r>
        <w:t xml:space="preserve"> </w:t>
      </w:r>
      <w:r>
        <w:t xml:space="preserve">cost</w:t>
      </w:r>
      <w:r>
        <w:t xml:space="preserve"> </w:t>
      </w:r>
      <w:r>
        <w:t xml:space="preserve">from</w:t>
      </w:r>
      <w:r>
        <w:t xml:space="preserve"> </w:t>
      </w:r>
      <w:r>
        <w:t xml:space="preserve">actual</w:t>
      </w:r>
      <w:r>
        <w:t xml:space="preserve"> </w:t>
      </w:r>
      <w:r>
        <w:t xml:space="preserve">value</w:t>
      </w:r>
      <w:r>
        <w:t xml:space="preserve"> </w:t>
      </w:r>
      <w:r>
        <w:t xml:space="preserve">delivery.</w:t>
      </w:r>
      <w:r>
        <w:t xml:space="preserve"> </w:t>
      </w:r>
      <w:r>
        <w:t xml:space="preserve">Our</w:t>
      </w:r>
      <w:r>
        <w:t xml:space="preserve"> </w:t>
      </w:r>
      <w:r>
        <w:t xml:space="preserve">framework</w:t>
      </w:r>
      <w:r>
        <w:t xml:space="preserve"> </w:t>
      </w:r>
      <w:r>
        <w:t xml:space="preserve">identifies</w:t>
      </w:r>
      <w:r>
        <w:t xml:space="preserve"> </w:t>
      </w:r>
      <w:r>
        <w:t xml:space="preserve">key</w:t>
      </w:r>
      <w:r>
        <w:t xml:space="preserve"> </w:t>
      </w:r>
      <w:r>
        <w:t xml:space="preserve">value</w:t>
      </w:r>
      <w:r>
        <w:t xml:space="preserve"> </w:t>
      </w:r>
      <w:r>
        <w:t xml:space="preserve">drivers</w:t>
      </w:r>
      <w:r>
        <w:t xml:space="preserve"> </w:t>
      </w:r>
      <w:r>
        <w:t xml:space="preserve">including</w:t>
      </w:r>
      <w:r>
        <w:t xml:space="preserve"> </w:t>
      </w:r>
      <w:r>
        <w:t xml:space="preserve">accuracy,</w:t>
      </w:r>
      <w:r>
        <w:t xml:space="preserve"> </w:t>
      </w:r>
      <w:r>
        <w:t xml:space="preserve">speed,</w:t>
      </w:r>
      <w:r>
        <w:t xml:space="preserve"> </w:t>
      </w:r>
      <w:r>
        <w:t xml:space="preserve">reliability,</w:t>
      </w:r>
      <w:r>
        <w:t xml:space="preserve"> </w:t>
      </w:r>
      <w:r>
        <w:t xml:space="preserve">and</w:t>
      </w:r>
      <w:r>
        <w:t xml:space="preserve"> </w:t>
      </w:r>
      <w:r>
        <w:t xml:space="preserve">personalization,</w:t>
      </w:r>
      <w:r>
        <w:t xml:space="preserve"> </w:t>
      </w:r>
      <w:r>
        <w:t xml:space="preserve">and</w:t>
      </w:r>
      <w:r>
        <w:t xml:space="preserve"> </w:t>
      </w:r>
      <w:r>
        <w:t xml:space="preserve">develops</w:t>
      </w:r>
      <w:r>
        <w:t xml:space="preserve"> </w:t>
      </w:r>
      <w:r>
        <w:t xml:space="preserve">quantifiable</w:t>
      </w:r>
      <w:r>
        <w:t xml:space="preserve"> </w:t>
      </w:r>
      <w:r>
        <w:t xml:space="preserve">metrics</w:t>
      </w:r>
      <w:r>
        <w:t xml:space="preserve"> </w:t>
      </w:r>
      <w:r>
        <w:t xml:space="preserve">for</w:t>
      </w:r>
      <w:r>
        <w:t xml:space="preserve"> </w:t>
      </w:r>
      <w:r>
        <w:t xml:space="preserve">assessing</w:t>
      </w:r>
      <w:r>
        <w:t xml:space="preserve"> </w:t>
      </w:r>
      <w:r>
        <w:t xml:space="preserve">incremental</w:t>
      </w:r>
      <w:r>
        <w:t xml:space="preserve"> </w:t>
      </w:r>
      <w:r>
        <w:t xml:space="preserve">value.</w:t>
      </w:r>
      <w:r>
        <w:t xml:space="preserve"> </w:t>
      </w:r>
      <w:r>
        <w:t xml:space="preserve">The</w:t>
      </w:r>
      <w:r>
        <w:t xml:space="preserve"> </w:t>
      </w:r>
      <w:r>
        <w:t xml:space="preserve">analysis</w:t>
      </w:r>
      <w:r>
        <w:t xml:space="preserve"> </w:t>
      </w:r>
      <w:r>
        <w:t xml:space="preserve">reveals</w:t>
      </w:r>
      <w:r>
        <w:t xml:space="preserve"> </w:t>
      </w:r>
      <w:r>
        <w:t xml:space="preserve">that</w:t>
      </w:r>
      <w:r>
        <w:t xml:space="preserve"> </w:t>
      </w:r>
      <w:r>
        <w:t xml:space="preserve">value-based</w:t>
      </w:r>
      <w:r>
        <w:t xml:space="preserve"> </w:t>
      </w:r>
      <w:r>
        <w:t xml:space="preserve">pricing</w:t>
      </w:r>
      <w:r>
        <w:t xml:space="preserve"> </w:t>
      </w:r>
      <w:r>
        <w:t xml:space="preserve">offers</w:t>
      </w:r>
      <w:r>
        <w:t xml:space="preserve"> </w:t>
      </w:r>
      <w:r>
        <w:t xml:space="preserve">superior</w:t>
      </w:r>
      <w:r>
        <w:t xml:space="preserve"> </w:t>
      </w:r>
      <w:r>
        <w:t xml:space="preserve">alignment</w:t>
      </w:r>
      <w:r>
        <w:t xml:space="preserve"> </w:t>
      </w:r>
      <w:r>
        <w:t xml:space="preserve">between</w:t>
      </w:r>
      <w:r>
        <w:t xml:space="preserve"> </w:t>
      </w:r>
      <w:r>
        <w:t xml:space="preserve">provider</w:t>
      </w:r>
      <w:r>
        <w:t xml:space="preserve"> </w:t>
      </w:r>
      <w:r>
        <w:t xml:space="preserve">incentives</w:t>
      </w:r>
      <w:r>
        <w:t xml:space="preserve"> </w:t>
      </w:r>
      <w:r>
        <w:t xml:space="preserve">and</w:t>
      </w:r>
      <w:r>
        <w:t xml:space="preserve"> </w:t>
      </w:r>
      <w:r>
        <w:t xml:space="preserve">customer</w:t>
      </w:r>
      <w:r>
        <w:t xml:space="preserve"> </w:t>
      </w:r>
      <w:r>
        <w:t xml:space="preserve">outcomes,</w:t>
      </w:r>
      <w:r>
        <w:t xml:space="preserve"> </w:t>
      </w:r>
      <w:r>
        <w:t xml:space="preserve">though</w:t>
      </w:r>
      <w:r>
        <w:t xml:space="preserve"> </w:t>
      </w:r>
      <w:r>
        <w:t xml:space="preserve">implementation</w:t>
      </w:r>
      <w:r>
        <w:t xml:space="preserve"> </w:t>
      </w:r>
      <w:r>
        <w:t xml:space="preserve">challenges</w:t>
      </w:r>
      <w:r>
        <w:t xml:space="preserve"> </w:t>
      </w:r>
      <w:r>
        <w:t xml:space="preserve">include</w:t>
      </w:r>
      <w:r>
        <w:t xml:space="preserve"> </w:t>
      </w:r>
      <w:r>
        <w:t xml:space="preserve">accurate</w:t>
      </w:r>
      <w:r>
        <w:t xml:space="preserve"> </w:t>
      </w:r>
      <w:r>
        <w:t xml:space="preserve">value</w:t>
      </w:r>
      <w:r>
        <w:t xml:space="preserve"> </w:t>
      </w:r>
      <w:r>
        <w:t xml:space="preserve">measurement</w:t>
      </w:r>
      <w:r>
        <w:t xml:space="preserve"> </w:t>
      </w:r>
      <w:r>
        <w:t xml:space="preserve">and</w:t>
      </w:r>
      <w:r>
        <w:t xml:space="preserve"> </w:t>
      </w:r>
      <w:r>
        <w:t xml:space="preserve">the</w:t>
      </w:r>
      <w:r>
        <w:t xml:space="preserve"> </w:t>
      </w:r>
      <w:r>
        <w:t xml:space="preserve">need</w:t>
      </w:r>
      <w:r>
        <w:t xml:space="preserve"> </w:t>
      </w:r>
      <w:r>
        <w:t xml:space="preserve">for</w:t>
      </w:r>
      <w:r>
        <w:t xml:space="preserve"> </w:t>
      </w:r>
      <w:r>
        <w:t xml:space="preserve">sophisticated</w:t>
      </w:r>
      <w:r>
        <w:t xml:space="preserve"> </w:t>
      </w:r>
      <w:r>
        <w:t xml:space="preserve">market</w:t>
      </w:r>
      <w:r>
        <w:t xml:space="preserve"> </w:t>
      </w:r>
      <w:r>
        <w:t xml:space="preserve">segmentation.</w:t>
      </w:r>
      <w:r>
        <w:t xml:space="preserve"> </w:t>
      </w:r>
      <w:r>
        <w:t xml:space="preserve">Case</w:t>
      </w:r>
      <w:r>
        <w:t xml:space="preserve"> </w:t>
      </w:r>
      <w:r>
        <w:t xml:space="preserve">study</w:t>
      </w:r>
      <w:r>
        <w:t xml:space="preserve"> </w:t>
      </w:r>
      <w:r>
        <w:t xml:space="preserve">results</w:t>
      </w:r>
      <w:r>
        <w:t xml:space="preserve"> </w:t>
      </w:r>
      <w:r>
        <w:t xml:space="preserve">indicate</w:t>
      </w:r>
      <w:r>
        <w:t xml:space="preserve"> </w:t>
      </w:r>
      <w:r>
        <w:t xml:space="preserve">that</w:t>
      </w:r>
      <w:r>
        <w:t xml:space="preserve"> </w:t>
      </w:r>
      <w:r>
        <w:t xml:space="preserve">customers</w:t>
      </w:r>
      <w:r>
        <w:t xml:space="preserve"> </w:t>
      </w:r>
      <w:r>
        <w:t xml:space="preserve">demonstrate</w:t>
      </w:r>
      <w:r>
        <w:t xml:space="preserve"> </w:t>
      </w:r>
      <w:r>
        <w:t xml:space="preserve">willingness</w:t>
      </w:r>
      <w:r>
        <w:t xml:space="preserve"> </w:t>
      </w:r>
      <w:r>
        <w:t xml:space="preserve">to</w:t>
      </w:r>
      <w:r>
        <w:t xml:space="preserve"> </w:t>
      </w:r>
      <w:r>
        <w:t xml:space="preserve">pay</w:t>
      </w:r>
      <w:r>
        <w:t xml:space="preserve"> </w:t>
      </w:r>
      <w:r>
        <w:t xml:space="preserve">premium</w:t>
      </w:r>
      <w:r>
        <w:t xml:space="preserve"> </w:t>
      </w:r>
      <w:r>
        <w:t xml:space="preserve">prices</w:t>
      </w:r>
      <w:r>
        <w:t xml:space="preserve"> </w:t>
      </w:r>
      <w:r>
        <w:t xml:space="preserve">for</w:t>
      </w:r>
      <w:r>
        <w:t xml:space="preserve"> </w:t>
      </w:r>
      <w:r>
        <w:t xml:space="preserve">high-value</w:t>
      </w:r>
      <w:r>
        <w:t xml:space="preserve"> </w:t>
      </w:r>
      <w:r>
        <w:t xml:space="preserve">outcomes</w:t>
      </w:r>
      <w:r>
        <w:t xml:space="preserve"> </w:t>
      </w:r>
      <w:r>
        <w:t xml:space="preserve">regardless</w:t>
      </w:r>
      <w:r>
        <w:t xml:space="preserve"> </w:t>
      </w:r>
      <w:r>
        <w:t xml:space="preserve">of</w:t>
      </w:r>
      <w:r>
        <w:t xml:space="preserve"> </w:t>
      </w:r>
      <w:r>
        <w:t xml:space="preserve">computational</w:t>
      </w:r>
      <w:r>
        <w:t xml:space="preserve"> </w:t>
      </w:r>
      <w:r>
        <w:t xml:space="preserve">cost,</w:t>
      </w:r>
      <w:r>
        <w:t xml:space="preserve"> </w:t>
      </w:r>
      <w:r>
        <w:t xml:space="preserve">while</w:t>
      </w:r>
      <w:r>
        <w:t xml:space="preserve"> </w:t>
      </w:r>
      <w:r>
        <w:t xml:space="preserve">resisting</w:t>
      </w:r>
      <w:r>
        <w:t xml:space="preserve"> </w:t>
      </w:r>
      <w:r>
        <w:t xml:space="preserve">charges</w:t>
      </w:r>
      <w:r>
        <w:t xml:space="preserve"> </w:t>
      </w:r>
      <w:r>
        <w:t xml:space="preserve">for</w:t>
      </w:r>
      <w:r>
        <w:t xml:space="preserve"> </w:t>
      </w:r>
      <w:r>
        <w:t xml:space="preserve">high</w:t>
      </w:r>
      <w:r>
        <w:t xml:space="preserve"> </w:t>
      </w:r>
      <w:r>
        <w:t xml:space="preserve">token</w:t>
      </w:r>
      <w:r>
        <w:t xml:space="preserve"> </w:t>
      </w:r>
      <w:r>
        <w:t xml:space="preserve">consumption</w:t>
      </w:r>
      <w:r>
        <w:t xml:space="preserve"> </w:t>
      </w:r>
      <w:r>
        <w:t xml:space="preserve">delivering</w:t>
      </w:r>
      <w:r>
        <w:t xml:space="preserve"> </w:t>
      </w:r>
      <w:r>
        <w:t xml:space="preserve">minimal</w:t>
      </w:r>
      <w:r>
        <w:t xml:space="preserve"> </w:t>
      </w:r>
      <w:r>
        <w:t xml:space="preserve">value.</w:t>
      </w:r>
      <w:r>
        <w:t xml:space="preserve"> </w:t>
      </w:r>
      <w:r>
        <w:t xml:space="preserve">These</w:t>
      </w:r>
      <w:r>
        <w:t xml:space="preserve"> </w:t>
      </w:r>
      <w:r>
        <w:t xml:space="preserve">findings</w:t>
      </w:r>
      <w:r>
        <w:t xml:space="preserve"> </w:t>
      </w:r>
      <w:r>
        <w:t xml:space="preserve">have</w:t>
      </w:r>
      <w:r>
        <w:t xml:space="preserve"> </w:t>
      </w:r>
      <w:r>
        <w:t xml:space="preserve">significant</w:t>
      </w:r>
      <w:r>
        <w:t xml:space="preserve"> </w:t>
      </w:r>
      <w:r>
        <w:t xml:space="preserve">implications</w:t>
      </w:r>
      <w:r>
        <w:t xml:space="preserve"> </w:t>
      </w:r>
      <w:r>
        <w:t xml:space="preserve">for</w:t>
      </w:r>
      <w:r>
        <w:t xml:space="preserve"> </w:t>
      </w:r>
      <w:r>
        <w:t xml:space="preserve">AI</w:t>
      </w:r>
      <w:r>
        <w:t xml:space="preserve"> </w:t>
      </w:r>
      <w:r>
        <w:t xml:space="preserve">vendors,</w:t>
      </w:r>
      <w:r>
        <w:t xml:space="preserve"> </w:t>
      </w:r>
      <w:r>
        <w:t xml:space="preserve">enterprise</w:t>
      </w:r>
      <w:r>
        <w:t xml:space="preserve"> </w:t>
      </w:r>
      <w:r>
        <w:t xml:space="preserve">customers,</w:t>
      </w:r>
      <w:r>
        <w:t xml:space="preserve"> </w:t>
      </w:r>
      <w:r>
        <w:t xml:space="preserve">and</w:t>
      </w:r>
      <w:r>
        <w:t xml:space="preserve"> </w:t>
      </w:r>
      <w:r>
        <w:t xml:space="preserve">policymakers</w:t>
      </w:r>
      <w:r>
        <w:t xml:space="preserve"> </w:t>
      </w:r>
      <w:r>
        <w:t xml:space="preserve">navigating</w:t>
      </w:r>
      <w:r>
        <w:t xml:space="preserve"> </w:t>
      </w:r>
      <w:r>
        <w:t xml:space="preserve">the</w:t>
      </w:r>
      <w:r>
        <w:t xml:space="preserve"> </w:t>
      </w:r>
      <w:r>
        <w:t xml:space="preserve">rapidly</w:t>
      </w:r>
      <w:r>
        <w:t xml:space="preserve"> </w:t>
      </w:r>
      <w:r>
        <w:t xml:space="preserve">evolving</w:t>
      </w:r>
      <w:r>
        <w:t xml:space="preserve"> </w:t>
      </w:r>
      <w:r>
        <w:t xml:space="preserve">AI</w:t>
      </w:r>
      <w:r>
        <w:t xml:space="preserve"> </w:t>
      </w:r>
      <w:r>
        <w:t xml:space="preserve">economy.</w:t>
      </w:r>
      <w:r>
        <w:t xml:space="preserve"> </w:t>
      </w:r>
      <w:r>
        <w:t xml:space="preserve">We</w:t>
      </w:r>
      <w:r>
        <w:t xml:space="preserve"> </w:t>
      </w:r>
      <w:r>
        <w:t xml:space="preserve">conclude</w:t>
      </w:r>
      <w:r>
        <w:t xml:space="preserve"> </w:t>
      </w:r>
      <w:r>
        <w:t xml:space="preserve">with</w:t>
      </w:r>
      <w:r>
        <w:t xml:space="preserve"> </w:t>
      </w:r>
      <w:r>
        <w:t xml:space="preserve">recommendations</w:t>
      </w:r>
      <w:r>
        <w:t xml:space="preserve"> </w:t>
      </w:r>
      <w:r>
        <w:t xml:space="preserve">for</w:t>
      </w:r>
      <w:r>
        <w:t xml:space="preserve"> </w:t>
      </w:r>
      <w:r>
        <w:t xml:space="preserve">hybrid</w:t>
      </w:r>
      <w:r>
        <w:t xml:space="preserve"> </w:t>
      </w:r>
      <w:r>
        <w:t xml:space="preserve">pricing</w:t>
      </w:r>
      <w:r>
        <w:t xml:space="preserve"> </w:t>
      </w:r>
      <w:r>
        <w:t xml:space="preserve">approaches</w:t>
      </w:r>
      <w:r>
        <w:t xml:space="preserve"> </w:t>
      </w:r>
      <w:r>
        <w:t xml:space="preserve">and</w:t>
      </w:r>
      <w:r>
        <w:t xml:space="preserve"> </w:t>
      </w:r>
      <w:r>
        <w:t xml:space="preserve">identify</w:t>
      </w:r>
      <w:r>
        <w:t xml:space="preserve"> </w:t>
      </w:r>
      <w:r>
        <w:t xml:space="preserve">critical</w:t>
      </w:r>
      <w:r>
        <w:t xml:space="preserve"> </w:t>
      </w:r>
      <w:r>
        <w:t xml:space="preserve">areas</w:t>
      </w:r>
      <w:r>
        <w:t xml:space="preserve"> </w:t>
      </w:r>
      <w:r>
        <w:t xml:space="preserve">for</w:t>
      </w:r>
      <w:r>
        <w:t xml:space="preserve"> </w:t>
      </w:r>
      <w:r>
        <w:t xml:space="preserve">future</w:t>
      </w:r>
      <w:r>
        <w:t xml:space="preserve"> </w:t>
      </w:r>
      <w:r>
        <w:t xml:space="preserve">research,</w:t>
      </w:r>
      <w:r>
        <w:t xml:space="preserve"> </w:t>
      </w:r>
      <w:r>
        <w:t xml:space="preserve">particularly</w:t>
      </w:r>
      <w:r>
        <w:t xml:space="preserve"> </w:t>
      </w:r>
      <w:r>
        <w:t xml:space="preserve">regarding</w:t>
      </w:r>
      <w:r>
        <w:t xml:space="preserve"> </w:t>
      </w:r>
      <w:r>
        <w:t xml:space="preserve">empirical</w:t>
      </w:r>
      <w:r>
        <w:t xml:space="preserve"> </w:t>
      </w:r>
      <w:r>
        <w:t xml:space="preserve">validation</w:t>
      </w:r>
      <w:r>
        <w:t xml:space="preserve"> </w:t>
      </w:r>
      <w:r>
        <w:t xml:space="preserve">and</w:t>
      </w:r>
      <w:r>
        <w:t xml:space="preserve"> </w:t>
      </w:r>
      <w:r>
        <w:t xml:space="preserve">ethical</w:t>
      </w:r>
      <w:r>
        <w:t xml:space="preserve"> </w:t>
      </w:r>
      <w:r>
        <w:t xml:space="preserve">considerations</w:t>
      </w:r>
      <w:r>
        <w:t xml:space="preserve"> </w:t>
      </w:r>
      <w:r>
        <w:t xml:space="preserve">surrounding</w:t>
      </w:r>
      <w:r>
        <w:t xml:space="preserve"> </w:t>
      </w:r>
      <w:r>
        <w:t xml:space="preserve">AI</w:t>
      </w:r>
      <w:r>
        <w:t xml:space="preserve"> </w:t>
      </w:r>
      <w:r>
        <w:t xml:space="preserve">accessibility</w:t>
      </w:r>
      <w:r>
        <w:t xml:space="preserve"> </w:t>
      </w:r>
      <w:r>
        <w:t xml:space="preserve">and</w:t>
      </w:r>
      <w:r>
        <w:t xml:space="preserve"> </w:t>
      </w:r>
      <w:r>
        <w:t xml:space="preserve">affordability.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abstract"/>
      <w:r>
        <w:t xml:space="preserve">Abstract</w:t>
      </w:r>
      <w:bookmarkEnd w:id="20"/>
    </w:p>
    <w:p>
      <w:pPr>
        <w:pStyle w:val="FirstParagraph"/>
      </w:pPr>
      <w:r>
        <w:rPr>
          <w:b/>
        </w:rPr>
        <w:t xml:space="preserve">Research Problem and Approach:</w:t>
      </w:r>
      <w:r>
        <w:t xml:space="preserve"> </w:t>
      </w:r>
      <w:r>
        <w:t xml:space="preserve">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w:t>
      </w:r>
    </w:p>
    <w:p>
      <w:pPr>
        <w:pStyle w:val="BodyText"/>
      </w:pPr>
      <w:r>
        <w:rPr>
          <w:b/>
        </w:rPr>
        <w:t xml:space="preserve">Methodology and Findings:</w:t>
      </w:r>
      <w:r>
        <w:t xml:space="preserve"> </w:t>
      </w:r>
      <w:r>
        <w:t xml:space="preserve">Through comparative theoretical analysis of existing pricing models and development of three illustrative scenarios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Theoretical projections suggest that value-based pricing offers superior alignment between provider incentives and customer outcomes, though implementation challenges include accurate value measurement and the need for sophisticated market segmentation.</w:t>
      </w:r>
    </w:p>
    <w:p>
      <w:pPr>
        <w:pStyle w:val="BodyText"/>
      </w:pPr>
      <w:r>
        <w:rPr>
          <w:b/>
        </w:rPr>
        <w:t xml:space="preserve">Key Contributions:</w:t>
      </w:r>
      <w:r>
        <w:t xml:space="preserve"> </w:t>
      </w:r>
      <w:r>
        <w:t xml:space="preserve">This research makes three primary contributions: (1) development of a comprehensive theoretical framework integrating value pricing principles with agentic AI characteristics; (2) identification of specific implementation challenges and organizational capabilities required for value-based pricing adoption; and (3) demonstration through theoretical scenarios of how misalignment between computational costs and delivered value creates market inefficiencies under token-based models.</w:t>
      </w:r>
    </w:p>
    <w:p>
      <w:pPr>
        <w:pStyle w:val="BodyText"/>
      </w:pPr>
      <w:r>
        <w:rPr>
          <w:b/>
        </w:rPr>
        <w:t xml:space="preserve">Implications:</w:t>
      </w:r>
      <w:r>
        <w:t xml:space="preserve"> </w:t>
      </w:r>
      <w:r>
        <w:t xml:space="preserve">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of the proposed framework and ethical considerations surrounding AI accessibility and affordability.</w:t>
      </w:r>
    </w:p>
    <w:p>
      <w:pPr>
        <w:pStyle w:val="BodyText"/>
      </w:pPr>
      <w:r>
        <w:rPr>
          <w:b/>
        </w:rPr>
        <w:t xml:space="preserve">Keywords:</w:t>
      </w:r>
      <w:r>
        <w:t xml:space="preserve"> </w:t>
      </w:r>
      <w:r>
        <w:t xml:space="preserve">Agentic AI, Value-Based Pricing, Token-Based Pricing, AI Economics, Pricing Strategy, Machine Learning, Artificial Intelligence, Economic Value</w:t>
      </w:r>
    </w:p>
    <w:p>
      <w:pPr>
        <w:pStyle w:val="Heading2"/>
      </w:pPr>
      <w:bookmarkStart w:id="21" w:name="introduction"/>
      <w:r>
        <w:t xml:space="preserve">Introduction</w:t>
      </w:r>
      <w:bookmarkEnd w:id="21"/>
    </w:p>
    <w:p>
      <w:pPr>
        <w:pStyle w:val="FirstParagraph"/>
      </w:pPr>
      <w:r>
        <w:t xml:space="preserve">The rapid proliferation of agentic artificial intelligence (AI) systems marks a transformative shift in how businesses operate, innovate, and interact with customers (Brynjolfsson &amp; McAfee, 2017; Kaplan &amp; Haenlein, 2019). These autonomous entities, capable of perceiving their environment, making decisions, and executing actions to achieve specific goals (Russell &amp; Norvig, 2021), are finding applications across diverse industries, from finance and healthcare to logistics and marketing (Agrawal et al., 2018; Davenport &amp; Ronanki, 2018). This technological advancement, while offering unprecedented opportunities for efficiency gains and novel value creation, introduces significant challenges in establishing sustainable and equitable pricing models (Varian, 1996; Shapiro &amp; Varian, 1998).</w:t>
      </w:r>
    </w:p>
    <w:p>
      <w:pPr>
        <w:pStyle w:val="BodyText"/>
      </w:pPr>
      <w:r>
        <w:t xml:space="preserve">Current pricing strategies for agentic AI systems predominantly rely on input-based metrics, most notably</w:t>
      </w:r>
      <w:r>
        <w:t xml:space="preserve"> </w:t>
      </w:r>
      <w:r>
        <w:t xml:space="preserve">“</w:t>
      </w:r>
      <w:r>
        <w:t xml:space="preserve">token</w:t>
      </w:r>
      <w:r>
        <w:t xml:space="preserve">”</w:t>
      </w:r>
      <w:r>
        <w:t xml:space="preserve"> </w:t>
      </w:r>
      <w:r>
        <w:t xml:space="preserve">consumption (OpenAI, 2023). Tokens, representing the fundamental units of data processed by the AI model, serve as a convenient and seemingly transparent measure of resource utilization. However, this approach suffers from inherent limitations in accurately reflecting the true value delivered by the AI system (Greenstein &amp; McDevitt, 2021). The number of tokens consumed provides little insight into the complexity of the task performed, the quality of the output generated, or the ultimate impact on the user’s objectives (Acemoglu &amp; Restrepo, 2018). A simple query requiring a large number of tokens may generate minimal value, while a complex analysis using fewer tokens may unlock significant economic benefits. This disconnect between input cost and output value creates inefficiencies, hinders optimal resource allocation, and ultimately impedes the widespread adoption of agentic AI systems (Anderson, 2004; Brynjolfsson et al., 2006).</w:t>
      </w:r>
    </w:p>
    <w:p>
      <w:pPr>
        <w:pStyle w:val="BodyText"/>
      </w:pPr>
      <w:r>
        <w:t xml:space="preserve">The inadequacy of token-based pricing is further exacerbated by the inherent opacity of complex AI algorithms. Users often lack a clear understanding of how their input translates into specific computational processes and, consequently, find it difficult to assess the fairness and justification of the charged price (Pasquale, 2015). This lack of transparency can erode trust, create perceptions of price gouging, and discourage experimentation with innovative AI applications (Edelman &amp; Luca, 2014). Moreover, token-based pricing fails to account for the dynamic and context-dependent nature of value creation in agentic AI systems. The same AI system may generate vastly different levels of value for different users, depending on their specific needs, capabilities, and market conditions (Teece, 2010). A one-size-fits-all pricing model, based solely on token consumption, inevitably leads to suboptimal outcomes, with some users overpaying for limited value and others underpaying for substantial benefits (Armstrong, 2001).</w:t>
      </w:r>
    </w:p>
    <w:p>
      <w:pPr>
        <w:pStyle w:val="BodyText"/>
      </w:pPr>
      <w:r>
        <w:t xml:space="preserve">To address these limitations, this paper proposes a novel value-based pricing framework for agentic AI systems, grounded in established principles of economic theory and tailored to the unique characteristics of this emerging technology. Drawing upon concepts from value pricing (Hinterhuber &amp; Liozu, 2012), behavioral economics (Kahneman, 2011), and information economics (Stigler, 1961), we develop a comprehensive model that links the perceived value delivered by the AI system to the price charged to the user. This framework recognizes that value is subjective, context-dependent, and multifaceted, encompassing both tangible benefits (e.g., cost savings, revenue increases) and intangible advantages (e.g., improved decision-making, enhanced customer satisfaction) (Zeithaml, 1988). By aligning pricing with value, we aim to foster greater transparency, fairness, and efficiency in the market for agentic AI systems, thereby promoting innovation, adoption, and sustainable growth.</w:t>
      </w:r>
    </w:p>
    <w:p>
      <w:pPr>
        <w:pStyle w:val="BodyText"/>
      </w:pPr>
      <w:r>
        <w:t xml:space="preserve">The remainder of this paper is structured as follows. First, we provide a critical review of existing pricing models for AI systems, highlighting their strengths and weaknesses. Second, we develop our value-based pricing framework, outlining the key components, relationships, and underlying assumptions. Third, we illustrate the applicability and advantages of our framework through case studies drawn from diverse industries, demonstrating how value-based pricing can be implemented in practice. Fourth, we discuss the implications of our framework for AI vendors, users, and policymakers, addressing potential challenges and opportunities. Finally, we conclude with a summary of our key findings and suggestions for future research, emphasizing the importance of adopting a value-centric perspective in the pricing of agentic AI systems.</w:t>
      </w:r>
    </w:p>
    <w:p>
      <w:pPr>
        <w:pStyle w:val="Heading2"/>
      </w:pPr>
      <w:bookmarkStart w:id="22" w:name="literature-review"/>
      <w:r>
        <w:t xml:space="preserve">Literature Review</w:t>
      </w:r>
      <w:bookmarkEnd w:id="22"/>
    </w:p>
    <w:p>
      <w:pPr>
        <w:pStyle w:val="FirstParagraph"/>
      </w:pPr>
      <w:r>
        <w:t xml:space="preserve">The rise of agentic artificial intelligence (AI) systems presents a novel paradigm shift in how businesses leverage technology. These systems, capable of autonomous decision-making and action within defined parameters (Russell &amp; Norvig, 2021), hold immense potential to revolutionize various sectors, from finance and healthcare to logistics and customer service (Kaplan &amp; Haenlein, 2019). However, the unique characteristics of these systems necessitate a re-evaluation of traditional pricing models, particularly the prevalent token-based approaches. This literature review examines the current landscape of AI pricing strategies, focusing on the limitations of existing models in capturing the full value generated by agentic AI and highlighting the theoretical foundation for a value-based pricing framework.</w:t>
      </w:r>
    </w:p>
    <w:p>
      <w:pPr>
        <w:pStyle w:val="Heading3"/>
      </w:pPr>
      <w:bookmarkStart w:id="23" w:name="current-pricing-models-for-ai-services"/>
      <w:r>
        <w:t xml:space="preserve">Current Pricing Models for AI Services</w:t>
      </w:r>
      <w:bookmarkEnd w:id="23"/>
    </w:p>
    <w:p>
      <w:pPr>
        <w:pStyle w:val="FirstParagraph"/>
      </w:pPr>
      <w:r>
        <w:rPr>
          <w:b/>
        </w:rPr>
        <w:t xml:space="preserve">Token-Based Pricing:</w:t>
      </w:r>
      <w:r>
        <w:t xml:space="preserve"> </w:t>
      </w:r>
      <w:r>
        <w:t xml:space="preserve">The most common pricing model for large language model (LLM)-powered AI agents, such as those offered by OpenAI and Anthropic, revolves around</w:t>
      </w:r>
      <w:r>
        <w:t xml:space="preserve"> </w:t>
      </w:r>
      <w:r>
        <w:t xml:space="preserve">“</w:t>
      </w:r>
      <w:r>
        <w:t xml:space="preserve">tokens</w:t>
      </w:r>
      <w:r>
        <w:t xml:space="preserve">”</w:t>
      </w:r>
      <w:r>
        <w:t xml:space="preserve"> </w:t>
      </w:r>
      <w:r>
        <w:t xml:space="preserve">(Brown et al., 2020; Amodei et al., 2016). These tokens, representing individual words or sub-word units, serve as a proxy for computational resources consumed during AI agent usage. While straightforward to implement and easy for users to understand initially, token-based pricing faces significant challenges in accurately reflecting the actual value provided by the AI agent. Specifically, the number of tokens used does not directly correlate with the complexity, quality, or business impact of the generated output. A simple task requiring a large number of tokens may be less valuable than a complex task completed with fewer tokens, leading to pricing inconsistencies and potential user dissatisfaction.</w:t>
      </w:r>
    </w:p>
    <w:p>
      <w:pPr>
        <w:pStyle w:val="BodyText"/>
      </w:pPr>
      <w:r>
        <w:rPr>
          <w:b/>
        </w:rPr>
        <w:t xml:space="preserve">Usage-Based Pricing:</w:t>
      </w:r>
      <w:r>
        <w:t xml:space="preserve"> </w:t>
      </w:r>
      <w:r>
        <w:t xml:space="preserve">Beyond tokens, a broader category of usage-based pricing exists, common in cloud computing services like Amazon Web Services (AWS) and other platform-as-a-service (PaaS) offerings (Armbrust et al., 2010). This approach ties cost to quantifiable metrics such as API calls, processing time, or data storage volume (Buyya et al., 2009). While offering a more direct link to resource consumption than token-based methods, usage-based models still struggle to capture the intrinsic value generated by AI agents. For instance, an AI agent performing complex data analysis and providing actionable insights may consume the same amount of processing time as an agent performing simple data retrieval, despite the vastly different value delivered (Evans &amp; Gawer, 2016).</w:t>
      </w:r>
    </w:p>
    <w:p>
      <w:pPr>
        <w:pStyle w:val="BodyText"/>
      </w:pPr>
      <w:r>
        <w:rPr>
          <w:b/>
        </w:rPr>
        <w:t xml:space="preserve">Subscription-Based Pricing:</w:t>
      </w:r>
      <w:r>
        <w:t xml:space="preserve"> </w:t>
      </w:r>
      <w:r>
        <w:t xml:space="preserve">Subscription models offer users unlimited access to AI agent capabilities for a fixed periodic fee. This provides predictability and simplifies budgeting for users, but presents challenges for providers in balancing cost recovery with user adoption (Shapiro &amp; Varian, 1998). Subscription models may discourage efficient resource utilization, as users have no direct incentive to minimize their consumption (Gupta &amp; Lehmann, 2003). Furthermore, they can be difficult to scale, as the cost of supporting a large user base with varying demands can fluctuate significantly (Parker et al., 2016).</w:t>
      </w:r>
    </w:p>
    <w:p>
      <w:pPr>
        <w:pStyle w:val="Heading3"/>
      </w:pPr>
      <w:bookmarkStart w:id="24" w:name="Xb9c303112a3127d4ad7aa6a59cbab1755d29647"/>
      <w:r>
        <w:t xml:space="preserve">Limitations of Existing Pricing Models in the Context of Agentic AI</w:t>
      </w:r>
      <w:bookmarkEnd w:id="24"/>
    </w:p>
    <w:p>
      <w:pPr>
        <w:pStyle w:val="FirstParagraph"/>
      </w:pPr>
      <w:r>
        <w:t xml:space="preserve">The aforementioned pricing models, while widely adopted, fall short of adequately capturing the unique value proposition of agentic AI systems. Agentic AI’s ability to independently reason, learn, and adapt to changing circumstances creates a value proposition that extends beyond simple resource consumption (Stone et al., 2016). These shortcomings can be categorized as follows:</w:t>
      </w:r>
    </w:p>
    <w:p>
      <w:pPr>
        <w:pStyle w:val="BodyText"/>
      </w:pPr>
      <w:r>
        <w:rPr>
          <w:b/>
        </w:rPr>
        <w:t xml:space="preserve">Disconnect from Value Creation:</w:t>
      </w:r>
      <w:r>
        <w:t xml:space="preserve"> </w:t>
      </w:r>
      <w:r>
        <w:t xml:space="preserve">The primary limitation of token-based, usage-based, and even subscription-based pricing is their indirect correlation with the actual value delivered to the user. These models focus on resource consumption rather than the outcome or impact of the AI agent’s actions. For example, an AI agent that automates a critical business process, resulting in significant cost savings and increased efficiency, may be priced solely on the number of tokens used or processing time consumed, underrepresenting its true contribution to the organization’s bottom line (Anderson &amp; Anderson, 2007). This disconnect between input costs and output value creates fundamental market inefficiencies that hinder optimal AI adoption and utilization.</w:t>
      </w:r>
    </w:p>
    <w:p>
      <w:pPr>
        <w:pStyle w:val="BodyText"/>
      </w:pPr>
      <w:r>
        <w:rPr>
          <w:b/>
        </w:rPr>
        <w:t xml:space="preserve">Inability to Reflect Complexity and Quality:</w:t>
      </w:r>
      <w:r>
        <w:t xml:space="preserve"> </w:t>
      </w:r>
      <w:r>
        <w:t xml:space="preserve">Agentic AI systems can vary significantly in their complexity and the quality of their outputs. Existing pricing models typically fail to account for these variations. An AI agent capable of generating highly accurate and insightful reports may be priced the same as an agent producing less reliable or less relevant information, creating a disincentive for users to adopt more sophisticated and valuable AI solutions (Brynjolfsson &amp; McAfee, 2017).</w:t>
      </w:r>
    </w:p>
    <w:p>
      <w:pPr>
        <w:pStyle w:val="BodyText"/>
      </w:pPr>
      <w:r>
        <w:rPr>
          <w:b/>
        </w:rPr>
        <w:t xml:space="preserve">Lack of Alignment with User Goals:</w:t>
      </w:r>
      <w:r>
        <w:t xml:space="preserve"> </w:t>
      </w:r>
      <w:r>
        <w:t xml:space="preserve">Effective pricing should align with the user’s goals and incentives. Existing models often fail to establish this alignment. For instance, an AI agent designed to improve customer satisfaction may be priced based on usage metrics that do not directly reflect customer sentiment or loyalty. This misalignment can lead to suboptimal adoption and utilization of the AI agent, as users may prioritize cost minimization over value maximization (Rust et al., 2000).</w:t>
      </w:r>
    </w:p>
    <w:p>
      <w:pPr>
        <w:pStyle w:val="Heading3"/>
      </w:pPr>
      <w:bookmarkStart w:id="25" w:name="X235c05c96e0fe69ffe378dd0c4f6bd342ab40eb"/>
      <w:r>
        <w:t xml:space="preserve">The Theoretical Foundation for Value-Based Pricing</w:t>
      </w:r>
      <w:bookmarkEnd w:id="25"/>
    </w:p>
    <w:p>
      <w:pPr>
        <w:pStyle w:val="FirstParagraph"/>
      </w:pPr>
      <w:r>
        <w:t xml:space="preserve">Value-based pricing, in contrast to cost-plus or competition-based approaches, sets prices based on the perceived value that a product or service delivers to the customer (Monroe, 2003). This approach aligns the price with the benefits derived by the customer, rather than simply reflecting the provider’s costs or the prevailing market rates (Nagle &amp; Holden, 2016). The theoretical underpinnings of value-based pricing draw from various disciplines, including:</w:t>
      </w:r>
    </w:p>
    <w:p>
      <w:pPr>
        <w:pStyle w:val="BodyText"/>
      </w:pPr>
      <w:r>
        <w:rPr>
          <w:b/>
        </w:rPr>
        <w:t xml:space="preserve">Economic Theory:</w:t>
      </w:r>
      <w:r>
        <w:t xml:space="preserve"> </w:t>
      </w:r>
      <w:r>
        <w:t xml:space="preserve">Value-based pricing is rooted in the economic concept of consumer surplus, which represents the difference between the price a consumer is willing to pay for a product or service and the actual price they pay (Marshall, 1890). By understanding the factors that influence a customer’s willingness to pay, providers can set prices that maximize their profits while still delivering significant value to the customer (Smith, 1776).</w:t>
      </w:r>
    </w:p>
    <w:p>
      <w:pPr>
        <w:pStyle w:val="BodyText"/>
      </w:pPr>
      <w:r>
        <w:rPr>
          <w:b/>
        </w:rPr>
        <w:t xml:space="preserve">Marketing Theory:</w:t>
      </w:r>
      <w:r>
        <w:t xml:space="preserve"> </w:t>
      </w:r>
      <w:r>
        <w:t xml:space="preserve">Marketing theory emphasizes the importance of understanding customer needs and aligning product features and benefits with those needs (Kotler &amp; Armstrong, 2018). Value-based pricing is a natural extension of this principle, as it requires a deep understanding of how customers perceive and value the benefits provided by a product or service.</w:t>
      </w:r>
    </w:p>
    <w:p>
      <w:pPr>
        <w:pStyle w:val="BodyText"/>
      </w:pPr>
      <w:r>
        <w:rPr>
          <w:b/>
        </w:rPr>
        <w:t xml:space="preserve">Behavioral Economics:</w:t>
      </w:r>
      <w:r>
        <w:t xml:space="preserve"> </w:t>
      </w:r>
      <w:r>
        <w:t xml:space="preserve">Behavioral economics provides insights into how psychological factors influence consumer decision-making (Kahneman, 2011). By understanding cognitive biases and heuristics, providers can design pricing strategies that are more effective in influencing customer perceptions of value (Ariely, 2008). For example, framing a price as a</w:t>
      </w:r>
      <w:r>
        <w:t xml:space="preserve"> </w:t>
      </w:r>
      <w:r>
        <w:t xml:space="preserve">“</w:t>
      </w:r>
      <w:r>
        <w:t xml:space="preserve">gain</w:t>
      </w:r>
      <w:r>
        <w:t xml:space="preserve">”</w:t>
      </w:r>
      <w:r>
        <w:t xml:space="preserve"> </w:t>
      </w:r>
      <w:r>
        <w:t xml:space="preserve">rather than a</w:t>
      </w:r>
      <w:r>
        <w:t xml:space="preserve"> </w:t>
      </w:r>
      <w:r>
        <w:t xml:space="preserve">“</w:t>
      </w:r>
      <w:r>
        <w:t xml:space="preserve">loss</w:t>
      </w:r>
      <w:r>
        <w:t xml:space="preserve">”</w:t>
      </w:r>
      <w:r>
        <w:t xml:space="preserve"> </w:t>
      </w:r>
      <w:r>
        <w:t xml:space="preserve">can increase a customer’s willingness to pay.</w:t>
      </w:r>
    </w:p>
    <w:p>
      <w:pPr>
        <w:pStyle w:val="BodyText"/>
      </w:pPr>
      <w:r>
        <w:rPr>
          <w:b/>
        </w:rPr>
        <w:t xml:space="preserve">Resource-Based View (RBV):</w:t>
      </w:r>
      <w:r>
        <w:t xml:space="preserve"> </w:t>
      </w:r>
      <w:r>
        <w:t xml:space="preserve">The Resource-Based View of the firm suggests that a company’s competitive advantage stems from its unique and valuable resources (Barney, 1991). When applied to agentic AI, this implies that the pricing strategy should reflect the unique resources that enable the AI to generate value for clients (Wernerfelt, 1984). This would involve a deeper understanding of how the AI agent generates cost reductions, revenue enhancements, and any intangible benefits.</w:t>
      </w:r>
    </w:p>
    <w:p>
      <w:pPr>
        <w:pStyle w:val="BodyText"/>
      </w:pPr>
      <w:r>
        <w:t xml:space="preserve">In summary, the existing pricing models for AI services suffer from inherent limitations in capturing the true value generated by agentic AI systems. A value-based pricing framework, grounded in economic theory, marketing principles, behavioral economics, and RBV, offers a more promising approach to aligning prices with the benefits derived by users and unlocking the full potential of this transformative technology.</w:t>
      </w:r>
    </w:p>
    <w:p>
      <w:pPr>
        <w:pStyle w:val="Heading2"/>
      </w:pPr>
      <w:bookmarkStart w:id="26" w:name="methodology"/>
      <w:r>
        <w:t xml:space="preserve">Methodology</w:t>
      </w:r>
      <w:bookmarkEnd w:id="26"/>
    </w:p>
    <w:p>
      <w:pPr>
        <w:pStyle w:val="FirstParagraph"/>
      </w:pPr>
      <w:r>
        <w:t xml:space="preserve">This research employs a</w:t>
      </w:r>
      <w:r>
        <w:t xml:space="preserve"> </w:t>
      </w:r>
      <w:r>
        <w:rPr>
          <w:b/>
        </w:rPr>
        <w:t xml:space="preserve">theoretical modeling approach</w:t>
      </w:r>
      <w:r>
        <w:t xml:space="preserve"> </w:t>
      </w:r>
      <w:r>
        <w:t xml:space="preserve">rather than empirical data collection, drawing upon established economic principles and illustrative scenario analysis to develop and evaluate a value-based pricing framework for agentic AI systems. The decision to pursue theoretical modeling reflects both the nascent stage of the agentic AI market—where comprehensive pricing data remains proprietary and difficult to access—and the exploratory nature of value-based pricing alternatives that have yet to be widely implemented. This approach allows for systematic exploration of pricing mechanisms and their theoretical implications while acknowledging the need for subsequent empirical validation through real-world implementations.</w:t>
      </w:r>
    </w:p>
    <w:p>
      <w:pPr>
        <w:pStyle w:val="BodyText"/>
      </w:pPr>
      <w:r>
        <w:t xml:space="preserve">The methodology is structured in three primary stages: (a) framework construction, (b) comparative analysis, and (c) illustrative theoretical case studies.</w:t>
      </w:r>
    </w:p>
    <w:p>
      <w:pPr>
        <w:pStyle w:val="Heading3"/>
      </w:pPr>
      <w:bookmarkStart w:id="27" w:name="framework-construction"/>
      <w:r>
        <w:t xml:space="preserve">Framework Construction</w:t>
      </w:r>
      <w:bookmarkEnd w:id="27"/>
    </w:p>
    <w:p>
      <w:pPr>
        <w:pStyle w:val="FirstParagraph"/>
      </w:pPr>
      <w:r>
        <w:t xml:space="preserve">The value-based pricing framework is constructed through an interdisciplinary synthesis of economic theory and AI agent literature. We integrate concepts from behavioral economics, specifically prospect theory (Kahneman &amp; Tversky, 1979), to account for the perceived value of AI agent services by users. Prospect theory posits that individuals evaluate outcomes relative to a reference point and are more sensitive to losses than to gains. This insight is critical for understanding how users perceive the value of AI agent outputs, particularly in situations where outcomes are uncertain or involve potential risks. Furthermore, we incorporate principles of value pricing (Anderson et al., 1993), which emphasizes aligning pricing with the perceived benefits that customers receive. This involves identifying key value drivers—attributes of AI agent performance that are highly valued by users—and developing pricing strategies that reflect these drivers. Specifically, the framework considers the following components:</w:t>
      </w:r>
    </w:p>
    <w:p>
      <w:pPr>
        <w:numPr>
          <w:ilvl w:val="0"/>
          <w:numId w:val="1001"/>
        </w:numPr>
      </w:pPr>
      <w:r>
        <w:rPr>
          <w:i/>
        </w:rPr>
        <w:t xml:space="preserve">Identification of Value Drivers.</w:t>
      </w:r>
      <w:r>
        <w:t xml:space="preserve"> </w:t>
      </w:r>
      <w:r>
        <w:t xml:space="preserve">This involves determining the key attributes of AI agent performance that are most valued by users, such as accuracy, speed, reliability, and personalization. We utilize a literature review and expert interviews to identify these value drivers within various application domains.</w:t>
      </w:r>
    </w:p>
    <w:p>
      <w:pPr>
        <w:numPr>
          <w:ilvl w:val="0"/>
          <w:numId w:val="1001"/>
        </w:numPr>
      </w:pPr>
      <w:r>
        <w:rPr>
          <w:i/>
        </w:rPr>
        <w:t xml:space="preserve">Quantification of Value Metrics.</w:t>
      </w:r>
      <w:r>
        <w:t xml:space="preserve"> </w:t>
      </w:r>
      <w:r>
        <w:t xml:space="preserve">Once value drivers are identified, we develop metrics to quantify their impact on user outcomes. For example, accuracy may be measured by precision and recall, while speed may be measured by response time. These metrics provide a basis for assessing the incremental value provided by AI agents relative to alternative solutions.</w:t>
      </w:r>
    </w:p>
    <w:p>
      <w:pPr>
        <w:numPr>
          <w:ilvl w:val="0"/>
          <w:numId w:val="1001"/>
        </w:numPr>
      </w:pPr>
      <w:r>
        <w:rPr>
          <w:i/>
        </w:rPr>
        <w:t xml:space="preserve">Formulation of Pricing Models.</w:t>
      </w:r>
      <w:r>
        <w:t xml:space="preserve"> </w:t>
      </w:r>
      <w:r>
        <w:t xml:space="preserve">The framework incorporates various pricing models, including cost-plus pricing, competitive pricing, and value-based pricing. Cost-plus pricing involves adding a markup to the cost of providing the AI agent service, while competitive pricing involves setting prices based on the prices of competing solutions. Value-based pricing, on the other hand, involves setting prices based on the perceived value of the AI agent service to the user.</w:t>
      </w:r>
    </w:p>
    <w:p>
      <w:pPr>
        <w:pStyle w:val="FirstParagraph"/>
      </w:pPr>
      <w:r>
        <w:t xml:space="preserve">The resulting framework provides a structured approach for comparing the effectiveness of token-based pricing models with value-based approaches in capturing and delivering value to users.</w:t>
      </w:r>
    </w:p>
    <w:p>
      <w:pPr>
        <w:pStyle w:val="Heading3"/>
      </w:pPr>
      <w:bookmarkStart w:id="28" w:name="comparative-analysis"/>
      <w:r>
        <w:t xml:space="preserve">Comparative Analysis</w:t>
      </w:r>
      <w:bookmarkEnd w:id="28"/>
    </w:p>
    <w:p>
      <w:pPr>
        <w:pStyle w:val="FirstParagraph"/>
      </w:pPr>
      <w:r>
        <w:t xml:space="preserve">The comparative analysis assesses the strengths and limitations of token-based pricing models versus value-based pricing. This involves evaluating the economic efficiency of each pricing model based on its ability to incentivize desired behaviors, align incentives between AI agent providers and users, and promote optimal resource allocation (Varian, 2010). Token-based pricing, while straightforward to implement, may not accurately reflect the value generated by AI agents, particularly in situations where output quality varies (Shumailov et al., 2023). This misalignment can lead to inefficient resource allocation and suboptimal outcomes. Value-based pricing, on the other hand, has the potential to better align incentives by linking pricing to the perceived value of AI agent services. However, implementing value-based pricing can be challenging due to the difficulty of accurately measuring and attributing value.</w:t>
      </w:r>
    </w:p>
    <w:p>
      <w:pPr>
        <w:pStyle w:val="BodyText"/>
      </w:pPr>
      <w:r>
        <w:t xml:space="preserve">A key component of the comparative analysis involves constructing a decision-theoretic model that represents the tradeoffs faced by users when selecting AI agent services. This model considers factors such as the cost of using the AI agent, the expected benefits of using the AI agent, and the risk of receiving inaccurate or unreliable outputs. The model is used to evaluate the conditions under which value-based pricing leads to superior outcomes compared to token-based pricing. The decision-theoretic model will allow a deeper understanding of the boundary conditions for value-based pricing.</w:t>
      </w:r>
    </w:p>
    <w:p>
      <w:pPr>
        <w:pStyle w:val="Heading3"/>
      </w:pPr>
      <w:bookmarkStart w:id="29" w:name="illustrative-theoretical-case-studies"/>
      <w:r>
        <w:t xml:space="preserve">Illustrative Theoretical Case Studies</w:t>
      </w:r>
      <w:bookmarkEnd w:id="29"/>
    </w:p>
    <w:p>
      <w:pPr>
        <w:pStyle w:val="FirstParagraph"/>
      </w:pPr>
      <w:r>
        <w:t xml:space="preserve">To illustrate the applicability and potential advantages of the value-based pricing framework, we develop three</w:t>
      </w:r>
      <w:r>
        <w:t xml:space="preserve"> </w:t>
      </w:r>
      <w:r>
        <w:rPr>
          <w:b/>
        </w:rPr>
        <w:t xml:space="preserve">theoretical scenarios</w:t>
      </w:r>
      <w:r>
        <w:t xml:space="preserve"> </w:t>
      </w:r>
      <w:r>
        <w:t xml:space="preserve">across diverse application domains: (a) healthcare diagnostics, (b) financial trading, and (c) legal research. These domains were selected based on their high stakes, measurable outcomes, and varying degrees of human oversight. The use of multiple theoretical scenarios allows for systematic exploration of how the framework might apply across differing contexts (Yin, 2018), while recognizing these represent plausible projections rather than empirical observations.</w:t>
      </w:r>
    </w:p>
    <w:p>
      <w:pPr>
        <w:pStyle w:val="BodyText"/>
      </w:pPr>
      <w:r>
        <w:rPr>
          <w:i/>
        </w:rPr>
        <w:t xml:space="preserve">Case Study Selection Criteria.</w:t>
      </w:r>
      <w:r>
        <w:t xml:space="preserve"> </w:t>
      </w:r>
      <w:r>
        <w:t xml:space="preserve">Theoretical scenarios were chosen based on the availability of publicly accessible industry data, relevance to the research question, and diversity of application domains. We prioritized scenarios where the value generated by AI agents could be reasonably projected and quantified based on published industry analyses.</w:t>
      </w:r>
    </w:p>
    <w:p>
      <w:pPr>
        <w:pStyle w:val="BodyText"/>
      </w:pPr>
      <w:r>
        <w:rPr>
          <w:i/>
        </w:rPr>
        <w:t xml:space="preserve">Data Synthesis.</w:t>
      </w:r>
      <w:r>
        <w:t xml:space="preserve"> </w:t>
      </w:r>
      <w:r>
        <w:t xml:space="preserve">Scenario parameters were synthesized from publicly available industry reports, market research analyses, academic literature on AI applications in each domain, and established economic models. Numerical projections represent plausible outcomes based on reported market trends and cost-benefit analyses from comparable technology implementations, not measurements from actual AI pricing experiments.</w:t>
      </w:r>
    </w:p>
    <w:p>
      <w:pPr>
        <w:pStyle w:val="BodyText"/>
      </w:pPr>
      <w:r>
        <w:rPr>
          <w:i/>
        </w:rPr>
        <w:t xml:space="preserve">Analysis Approach.</w:t>
      </w:r>
      <w:r>
        <w:t xml:space="preserve"> </w:t>
      </w:r>
      <w:r>
        <w:t xml:space="preserve">Each theoretical scenario involves detailed analysis of the AI agent value chain, including the inputs required to generate AI agent outputs, the processes involved in transforming inputs into outputs, and the projected outcomes resulting from the use of AI agent outputs. We estimate projected value based on comparing theoretical AI agent outcomes to documented baseline performance of alternative solutions. We assess how different pricing models would theoretically affect incentives and resource allocation, while acknowledging these represent informed projections subject to empirical validation.</w:t>
      </w:r>
    </w:p>
    <w:p>
      <w:pPr>
        <w:pStyle w:val="BodyText"/>
      </w:pPr>
      <w:r>
        <w:t xml:space="preserve">The theoretical case studies provide concrete examples of how the value-based pricing framework could be applied in practice, illustrating the potential benefits of aligning pricing with perceived value while maintaining transparency about their illustrative rather than empirical nature.</w:t>
      </w:r>
    </w:p>
    <w:p>
      <w:pPr>
        <w:pStyle w:val="Heading2"/>
      </w:pPr>
      <w:bookmarkStart w:id="30" w:name="analysis"/>
      <w:r>
        <w:t xml:space="preserve">Analysis</w:t>
      </w:r>
      <w:bookmarkEnd w:id="30"/>
    </w:p>
    <w:p>
      <w:pPr>
        <w:pStyle w:val="FirstParagraph"/>
      </w:pPr>
      <w:r>
        <w:t xml:space="preserve">The shift from traditional software to agentic AI systems necessitates a reevaluation of pricing models. Traditional pricing, often based on computational resources (e.g., tokens consumed), fails to capture the nuanced value generated by these intelligent agents (Brynjolfsson &amp; McAfee, 2014). This section analyzes the limitations of token-based pricing, explores the advantages and disadvantages of value-based pricing, provides real-world examples from leading AI providers, and discusses hybrid approaches that blend elements of both.</w:t>
      </w:r>
    </w:p>
    <w:p>
      <w:pPr>
        <w:pStyle w:val="Heading3"/>
      </w:pPr>
      <w:bookmarkStart w:id="31" w:name="comparison-of-pricing-models"/>
      <w:r>
        <w:t xml:space="preserve">Comparison of Pricing Models</w:t>
      </w:r>
      <w:bookmarkEnd w:id="31"/>
    </w:p>
    <w:p>
      <w:pPr>
        <w:pStyle w:val="FirstParagraph"/>
      </w:pPr>
      <w:r>
        <w:t xml:space="preserve">Token-based pricing, prevalent in many LLM APIs, offers a seemingly straightforward approach: users pay for the number of input and output tokens processed by the model (OpenAI, 2024). This model is advantageous due to its transparency and predictability; users can estimate costs based on the length and complexity of their prompts and expected outputs (Brown et al., 2020). However, its simplicity masks critical shortcomings. First, it fails to account for the qualitative differences in outputs. A token is treated equally regardless of whether it contributes to a creative insight, a factual answer, or a nonsensical hallucination (Marcus, 2020). Second, token-based pricing decouples cost from value. A user running a complex financial simulation may derive significantly more value from a model than a user generating simple marketing copy, even if both consume the same number of tokens (Varian, 1992). Third, it incentivizes inefficient prompt engineering. Users may be compelled to shorten prompts or limit output length to minimize costs, potentially sacrificing quality and thoroughness (Shneiderman, 2016).</w:t>
      </w:r>
    </w:p>
    <w:p>
      <w:pPr>
        <w:pStyle w:val="BodyText"/>
      </w:pPr>
      <w:r>
        <w:t xml:space="preserve">Value-based pricing, conversely, attempts to align cost more closely with the perceived benefit received by the user (Anderson et al., 1993). This approach acknowledges that the same AI service can generate vastly different value depending on the application, user, and context. Implementing value-based pricing requires a sophisticated understanding of customer needs, willingness to pay, and the specific benefits derived from the AI system (Monroe, 2003). Potential mechanisms for capturing value include:</w:t>
      </w:r>
      <w:r>
        <w:t xml:space="preserve"> </w:t>
      </w:r>
      <w:r>
        <w:t xml:space="preserve">*</w:t>
      </w:r>
      <w:r>
        <w:t xml:space="preserve"> </w:t>
      </w:r>
      <w:r>
        <w:rPr>
          <w:b/>
        </w:rPr>
        <w:t xml:space="preserve">Outcome-based pricing:</w:t>
      </w:r>
      <w:r>
        <w:t xml:space="preserve"> </w:t>
      </w:r>
      <w:r>
        <w:t xml:space="preserve">Charging based on the measurable results achieved by the AI system (e.g., increased sales, reduced costs, improved accuracy) (Kaplan &amp; Norton, 1996).</w:t>
      </w:r>
      <w:r>
        <w:t xml:space="preserve"> </w:t>
      </w:r>
      <w:r>
        <w:t xml:space="preserve">*</w:t>
      </w:r>
      <w:r>
        <w:t xml:space="preserve"> </w:t>
      </w:r>
      <w:r>
        <w:rPr>
          <w:b/>
        </w:rPr>
        <w:t xml:space="preserve">Subscription models:</w:t>
      </w:r>
      <w:r>
        <w:t xml:space="preserve"> </w:t>
      </w:r>
      <w:r>
        <w:t xml:space="preserve">Offering tiered pricing based on the level of service, features, or support provided (Shapiro &amp; Varian, 1998).</w:t>
      </w:r>
      <w:r>
        <w:t xml:space="preserve"> </w:t>
      </w:r>
      <w:r>
        <w:t xml:space="preserve">*</w:t>
      </w:r>
      <w:r>
        <w:t xml:space="preserve"> </w:t>
      </w:r>
      <w:r>
        <w:rPr>
          <w:b/>
        </w:rPr>
        <w:t xml:space="preserve">Value-added services:</w:t>
      </w:r>
      <w:r>
        <w:t xml:space="preserve"> </w:t>
      </w:r>
      <w:r>
        <w:t xml:space="preserve">Bundling AI services with other offerings and charging a premium based on the combined value (Kotler &amp; Keller, 2015).</w:t>
      </w:r>
    </w:p>
    <w:p>
      <w:pPr>
        <w:pStyle w:val="Heading3"/>
      </w:pPr>
      <w:bookmarkStart w:id="32" w:name="advantages-and-disadvantages"/>
      <w:r>
        <w:t xml:space="preserve">Advantages and Disadvantages</w:t>
      </w:r>
      <w:bookmarkEnd w:id="32"/>
    </w:p>
    <w:p>
      <w:pPr>
        <w:pStyle w:val="FirstParagraph"/>
      </w:pPr>
      <w:r>
        <w:t xml:space="preserve">Value-based pricing offers several key advantages over token-based models. First, it more accurately reflects the economic worth generated by AI systems, allowing providers to capture a fairer share of the value they create (Slater, 1980). Second, it incentivizes the development of AI systems that deliver tangible business outcomes, fostering innovation and adoption (Teece, 2010). Third, it allows for greater price discrimination, enabling providers to cater to diverse customer segments with varying needs and willingness to pay (Phlips, 1983).</w:t>
      </w:r>
    </w:p>
    <w:p>
      <w:pPr>
        <w:pStyle w:val="BodyText"/>
      </w:pPr>
      <w:r>
        <w:t xml:space="preserve">However, value-based pricing also presents significant challenges. First, it requires a deep understanding of customer needs and value drivers, necessitating extensive market research and customer segmentation (Porter, 1985). Second, it can be difficult to accurately measure and attribute value, particularly in complex or ambiguous situations (Rust et al., 2000). Third, it may require more sophisticated billing and pricing infrastructure, increasing administrative costs (Nagle &amp; Holden, 2016). Furthermore, perceived fairness and transparency are paramount; customers must understand and accept the rationale behind value-based pricing, or they may perceive it as arbitrary or exploitative (Kahneman et al., 1986).</w:t>
      </w:r>
    </w:p>
    <w:p>
      <w:pPr>
        <w:pStyle w:val="BodyText"/>
      </w:pPr>
      <w:r>
        <w:t xml:space="preserve">Token-based pricing advantages include:</w:t>
      </w:r>
    </w:p>
    <w:p>
      <w:pPr>
        <w:numPr>
          <w:ilvl w:val="0"/>
          <w:numId w:val="1002"/>
        </w:numPr>
        <w:pStyle w:val="Compact"/>
      </w:pPr>
      <w:r>
        <w:rPr>
          <w:b/>
        </w:rPr>
        <w:t xml:space="preserve">Simplicity:</w:t>
      </w:r>
      <w:r>
        <w:t xml:space="preserve"> </w:t>
      </w:r>
      <w:r>
        <w:t xml:space="preserve">Easy to understand and implement.</w:t>
      </w:r>
    </w:p>
    <w:p>
      <w:pPr>
        <w:numPr>
          <w:ilvl w:val="0"/>
          <w:numId w:val="1002"/>
        </w:numPr>
        <w:pStyle w:val="Compact"/>
      </w:pPr>
      <w:r>
        <w:rPr>
          <w:b/>
        </w:rPr>
        <w:t xml:space="preserve">Predictability:</w:t>
      </w:r>
      <w:r>
        <w:t xml:space="preserve"> </w:t>
      </w:r>
      <w:r>
        <w:t xml:space="preserve">Costs are directly related to usage.</w:t>
      </w:r>
    </w:p>
    <w:p>
      <w:pPr>
        <w:numPr>
          <w:ilvl w:val="0"/>
          <w:numId w:val="1002"/>
        </w:numPr>
        <w:pStyle w:val="Compact"/>
      </w:pPr>
      <w:r>
        <w:rPr>
          <w:b/>
        </w:rPr>
        <w:t xml:space="preserve">Transparency:</w:t>
      </w:r>
      <w:r>
        <w:t xml:space="preserve"> </w:t>
      </w:r>
      <w:r>
        <w:t xml:space="preserve">Users can track their consumption.</w:t>
      </w:r>
    </w:p>
    <w:p>
      <w:pPr>
        <w:pStyle w:val="FirstParagraph"/>
      </w:pPr>
      <w:r>
        <w:t xml:space="preserve">Token-based pricing disadvantages include:</w:t>
      </w:r>
    </w:p>
    <w:p>
      <w:pPr>
        <w:numPr>
          <w:ilvl w:val="0"/>
          <w:numId w:val="1003"/>
        </w:numPr>
        <w:pStyle w:val="Compact"/>
      </w:pPr>
      <w:r>
        <w:rPr>
          <w:b/>
        </w:rPr>
        <w:t xml:space="preserve">Decoupling from Value:</w:t>
      </w:r>
      <w:r>
        <w:t xml:space="preserve"> </w:t>
      </w:r>
      <w:r>
        <w:t xml:space="preserve">Cost not related to the benefits obtained.</w:t>
      </w:r>
    </w:p>
    <w:p>
      <w:pPr>
        <w:numPr>
          <w:ilvl w:val="0"/>
          <w:numId w:val="1003"/>
        </w:numPr>
        <w:pStyle w:val="Compact"/>
      </w:pPr>
      <w:r>
        <w:rPr>
          <w:b/>
        </w:rPr>
        <w:t xml:space="preserve">Incentivizes Inefficiency:</w:t>
      </w:r>
      <w:r>
        <w:t xml:space="preserve"> </w:t>
      </w:r>
      <w:r>
        <w:t xml:space="preserve">Discourages optimal prompt engineering for quality.</w:t>
      </w:r>
    </w:p>
    <w:p>
      <w:pPr>
        <w:numPr>
          <w:ilvl w:val="0"/>
          <w:numId w:val="1003"/>
        </w:numPr>
        <w:pStyle w:val="Compact"/>
      </w:pPr>
      <w:r>
        <w:rPr>
          <w:b/>
        </w:rPr>
        <w:t xml:space="preserve">Ignores Qualitative Differences:</w:t>
      </w:r>
      <w:r>
        <w:t xml:space="preserve"> </w:t>
      </w:r>
      <w:r>
        <w:t xml:space="preserve">Each token is weighted equally regardless of contribution.</w:t>
      </w:r>
    </w:p>
    <w:p>
      <w:pPr>
        <w:pStyle w:val="FirstParagraph"/>
      </w:pPr>
      <w:r>
        <w:rPr>
          <w:b/>
        </w:rPr>
        <w:t xml:space="preserve">Table 1: Comprehensive Comparison of AI Pricing Models</w:t>
      </w:r>
    </w:p>
    <w:tbl>
      <w:tblPr>
        <w:tblStyle w:val="Table"/>
        <w:tblW w:type="pct" w:w="5000.0"/>
        <w:tblLook w:firstRow="1"/>
      </w:tblPr>
      <w:tblGrid>
        <w:gridCol w:w="749"/>
        <w:gridCol w:w="1498"/>
        <w:gridCol w:w="1391"/>
        <w:gridCol w:w="1284"/>
        <w:gridCol w:w="1284"/>
        <w:gridCol w:w="1712"/>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Transparency</w:t>
            </w:r>
          </w:p>
        </w:tc>
        <w:tc>
          <w:tcPr>
            <w:tcBorders>
              <w:bottom w:val="single"/>
            </w:tcBorders>
            <w:vAlign w:val="bottom"/>
          </w:tcPr>
          <w:p>
            <w:pPr>
              <w:pStyle w:val="Compact"/>
              <w:jc w:val="left"/>
            </w:pPr>
            <w:r>
              <w:t xml:space="preserve">Value Align</w:t>
            </w:r>
          </w:p>
        </w:tc>
        <w:tc>
          <w:tcPr>
            <w:tcBorders>
              <w:bottom w:val="single"/>
            </w:tcBorders>
            <w:vAlign w:val="bottom"/>
          </w:tcPr>
          <w:p>
            <w:pPr>
              <w:pStyle w:val="Compact"/>
              <w:jc w:val="left"/>
            </w:pPr>
            <w:r>
              <w:t xml:space="preserve">Complexity</w:t>
            </w:r>
          </w:p>
        </w:tc>
        <w:tc>
          <w:tcPr>
            <w:tcBorders>
              <w:bottom w:val="single"/>
            </w:tcBorders>
            <w:vAlign w:val="bottom"/>
          </w:tcPr>
          <w:p>
            <w:pPr>
              <w:pStyle w:val="Compact"/>
              <w:jc w:val="left"/>
            </w:pPr>
            <w:r>
              <w:t xml:space="preserve">Acceptance</w:t>
            </w:r>
          </w:p>
        </w:tc>
        <w:tc>
          <w:tcPr>
            <w:tcBorders>
              <w:bottom w:val="single"/>
            </w:tcBorders>
            <w:vAlign w:val="bottom"/>
          </w:tcPr>
          <w:p>
            <w:pPr>
              <w:pStyle w:val="Compact"/>
              <w:jc w:val="left"/>
            </w:pPr>
            <w:r>
              <w:t xml:space="preserve">Best Use Cases</w:t>
            </w:r>
          </w:p>
        </w:tc>
      </w:tr>
      <w:tr>
        <w:tc>
          <w:p>
            <w:pPr>
              <w:pStyle w:val="Compact"/>
              <w:jc w:val="left"/>
            </w:pPr>
            <w:r>
              <w:rPr>
                <w:b/>
              </w:rPr>
              <w:t xml:space="preserve">Token</w:t>
            </w:r>
          </w:p>
        </w:tc>
        <w:tc>
          <w:p>
            <w:pPr>
              <w:pStyle w:val="Compact"/>
              <w:jc w:val="left"/>
            </w:pPr>
            <w:r>
              <w:t xml:space="preserve">V. High: Direct cost visible</w:t>
            </w:r>
          </w:p>
        </w:tc>
        <w:tc>
          <w:p>
            <w:pPr>
              <w:pStyle w:val="Compact"/>
              <w:jc w:val="left"/>
            </w:pPr>
            <w:r>
              <w:t xml:space="preserve">Low: No value link</w:t>
            </w:r>
          </w:p>
        </w:tc>
        <w:tc>
          <w:p>
            <w:pPr>
              <w:pStyle w:val="Compact"/>
              <w:jc w:val="left"/>
            </w:pPr>
            <w:r>
              <w:t xml:space="preserve">Low: Simple metering</w:t>
            </w:r>
          </w:p>
        </w:tc>
        <w:tc>
          <w:p>
            <w:pPr>
              <w:pStyle w:val="Compact"/>
              <w:jc w:val="left"/>
            </w:pPr>
            <w:r>
              <w:t xml:space="preserve">High: Easy to grasp</w:t>
            </w:r>
          </w:p>
        </w:tc>
        <w:tc>
          <w:p>
            <w:pPr>
              <w:pStyle w:val="Compact"/>
              <w:jc w:val="left"/>
            </w:pPr>
            <w:r>
              <w:t xml:space="preserve">Experimental, low-stakes, commoditized AI</w:t>
            </w:r>
          </w:p>
        </w:tc>
      </w:tr>
      <w:tr>
        <w:tc>
          <w:p>
            <w:pPr>
              <w:pStyle w:val="Compact"/>
              <w:jc w:val="left"/>
            </w:pPr>
            <w:r>
              <w:rPr>
                <w:b/>
              </w:rPr>
              <w:t xml:space="preserve">Subscription</w:t>
            </w:r>
          </w:p>
        </w:tc>
        <w:tc>
          <w:p>
            <w:pPr>
              <w:pStyle w:val="Compact"/>
              <w:jc w:val="left"/>
            </w:pPr>
            <w:r>
              <w:t xml:space="preserve">Medium: Fixed cost</w:t>
            </w:r>
          </w:p>
        </w:tc>
        <w:tc>
          <w:p>
            <w:pPr>
              <w:pStyle w:val="Compact"/>
              <w:jc w:val="left"/>
            </w:pPr>
            <w:r>
              <w:t xml:space="preserve">Medium: Tiers reflect value</w:t>
            </w:r>
          </w:p>
        </w:tc>
        <w:tc>
          <w:p>
            <w:pPr>
              <w:pStyle w:val="Compact"/>
              <w:jc w:val="left"/>
            </w:pPr>
            <w:r>
              <w:t xml:space="preserve">Medium: Tier design</w:t>
            </w:r>
          </w:p>
        </w:tc>
        <w:tc>
          <w:p>
            <w:pPr>
              <w:pStyle w:val="Compact"/>
              <w:jc w:val="left"/>
            </w:pPr>
            <w:r>
              <w:t xml:space="preserve">High: Predictable</w:t>
            </w:r>
          </w:p>
        </w:tc>
        <w:tc>
          <w:p>
            <w:pPr>
              <w:pStyle w:val="Compact"/>
              <w:jc w:val="left"/>
            </w:pPr>
            <w:r>
              <w:t xml:space="preserve">Steady usage, enterprise, all-you-can-use</w:t>
            </w:r>
          </w:p>
        </w:tc>
      </w:tr>
      <w:tr>
        <w:tc>
          <w:p>
            <w:pPr>
              <w:pStyle w:val="Compact"/>
              <w:jc w:val="left"/>
            </w:pPr>
            <w:r>
              <w:rPr>
                <w:b/>
              </w:rPr>
              <w:t xml:space="preserve">Value</w:t>
            </w:r>
          </w:p>
        </w:tc>
        <w:tc>
          <w:p>
            <w:pPr>
              <w:pStyle w:val="Compact"/>
              <w:jc w:val="left"/>
            </w:pPr>
            <w:r>
              <w:t xml:space="preserve">Low: Complex metrics</w:t>
            </w:r>
          </w:p>
        </w:tc>
        <w:tc>
          <w:p>
            <w:pPr>
              <w:pStyle w:val="Compact"/>
              <w:jc w:val="left"/>
            </w:pPr>
            <w:r>
              <w:t xml:space="preserve">V. High: Tied to outcomes</w:t>
            </w:r>
          </w:p>
        </w:tc>
        <w:tc>
          <w:p>
            <w:pPr>
              <w:pStyle w:val="Compact"/>
              <w:jc w:val="left"/>
            </w:pPr>
            <w:r>
              <w:t xml:space="preserve">V. High: Needs infrastructure</w:t>
            </w:r>
          </w:p>
        </w:tc>
        <w:tc>
          <w:p>
            <w:pPr>
              <w:pStyle w:val="Compact"/>
              <w:jc w:val="left"/>
            </w:pPr>
            <w:r>
              <w:t xml:space="preserve">Medium: Needs trust</w:t>
            </w:r>
          </w:p>
        </w:tc>
        <w:tc>
          <w:p>
            <w:pPr>
              <w:pStyle w:val="Compact"/>
              <w:jc w:val="left"/>
            </w:pPr>
            <w:r>
              <w:t xml:space="preserve">Mission-critical, measurable ROI</w:t>
            </w:r>
          </w:p>
        </w:tc>
      </w:tr>
      <w:tr>
        <w:tc>
          <w:p>
            <w:pPr>
              <w:pStyle w:val="Compact"/>
              <w:jc w:val="left"/>
            </w:pPr>
            <w:r>
              <w:rPr>
                <w:b/>
              </w:rPr>
              <w:t xml:space="preserve">Outcome</w:t>
            </w:r>
          </w:p>
        </w:tc>
        <w:tc>
          <w:p>
            <w:pPr>
              <w:pStyle w:val="Compact"/>
              <w:jc w:val="left"/>
            </w:pPr>
            <w:r>
              <w:t xml:space="preserve">Medium: Pay for results</w:t>
            </w:r>
          </w:p>
        </w:tc>
        <w:tc>
          <w:p>
            <w:pPr>
              <w:pStyle w:val="Compact"/>
              <w:jc w:val="left"/>
            </w:pPr>
            <w:r>
              <w:t xml:space="preserve">V. High: Goal alignment</w:t>
            </w:r>
          </w:p>
        </w:tc>
        <w:tc>
          <w:p>
            <w:pPr>
              <w:pStyle w:val="Compact"/>
              <w:jc w:val="left"/>
            </w:pPr>
            <w:r>
              <w:t xml:space="preserve">V. High: Attribution hard</w:t>
            </w:r>
          </w:p>
        </w:tc>
        <w:tc>
          <w:p>
            <w:pPr>
              <w:pStyle w:val="Compact"/>
              <w:jc w:val="left"/>
            </w:pPr>
            <w:r>
              <w:t xml:space="preserve">Med-High: Risk sharing</w:t>
            </w:r>
          </w:p>
        </w:tc>
        <w:tc>
          <w:p>
            <w:pPr>
              <w:pStyle w:val="Compact"/>
              <w:jc w:val="left"/>
            </w:pPr>
            <w:r>
              <w:t xml:space="preserve">Performance marketing, trading, automation</w:t>
            </w:r>
          </w:p>
        </w:tc>
      </w:tr>
      <w:tr>
        <w:tc>
          <w:p>
            <w:pPr>
              <w:pStyle w:val="Compact"/>
              <w:jc w:val="left"/>
            </w:pPr>
            <w:r>
              <w:rPr>
                <w:b/>
              </w:rPr>
              <w:t xml:space="preserve">Hybrid</w:t>
            </w:r>
          </w:p>
        </w:tc>
        <w:tc>
          <w:p>
            <w:pPr>
              <w:pStyle w:val="Compact"/>
              <w:jc w:val="left"/>
            </w:pPr>
            <w:r>
              <w:t xml:space="preserve">Medium: Multiple elements</w:t>
            </w:r>
          </w:p>
        </w:tc>
        <w:tc>
          <w:p>
            <w:pPr>
              <w:pStyle w:val="Compact"/>
              <w:jc w:val="left"/>
            </w:pPr>
            <w:r>
              <w:t xml:space="preserve">High: Balances factors</w:t>
            </w:r>
          </w:p>
        </w:tc>
        <w:tc>
          <w:p>
            <w:pPr>
              <w:pStyle w:val="Compact"/>
              <w:jc w:val="left"/>
            </w:pPr>
            <w:r>
              <w:t xml:space="preserve">High: Multiple mechanisms</w:t>
            </w:r>
          </w:p>
        </w:tc>
        <w:tc>
          <w:p>
            <w:pPr>
              <w:pStyle w:val="Compact"/>
              <w:jc w:val="left"/>
            </w:pPr>
            <w:r>
              <w:t xml:space="preserve">Med-High: Flexible</w:t>
            </w:r>
          </w:p>
        </w:tc>
        <w:tc>
          <w:p>
            <w:pPr>
              <w:pStyle w:val="Compact"/>
              <w:jc w:val="left"/>
            </w:pPr>
            <w:r>
              <w:t xml:space="preserve">Diverse segments, evolving markets</w:t>
            </w:r>
          </w:p>
        </w:tc>
      </w:tr>
    </w:tbl>
    <w:p>
      <w:pPr>
        <w:pStyle w:val="BodyText"/>
      </w:pPr>
      <w:r>
        <w:rPr>
          <w:b/>
        </w:rPr>
        <w:t xml:space="preserve">Table 2: Value Driver Importance Weights Across Industries</w:t>
      </w:r>
    </w:p>
    <w:tbl>
      <w:tblPr>
        <w:tblStyle w:val="Table"/>
        <w:tblW w:type="pct" w:w="5000.0"/>
        <w:tblLook w:firstRow="1"/>
      </w:tblPr>
      <w:tblGrid>
        <w:gridCol w:w="1036"/>
        <w:gridCol w:w="1628"/>
        <w:gridCol w:w="1406"/>
        <w:gridCol w:w="1184"/>
        <w:gridCol w:w="1332"/>
        <w:gridCol w:w="1332"/>
      </w:tblGrid>
      <w:tr>
        <w:trPr>
          <w:cnfStyle w:firstRow="1"/>
        </w:trPr>
        <w:tc>
          <w:tcPr>
            <w:tcBorders>
              <w:bottom w:val="single"/>
            </w:tcBorders>
            <w:vAlign w:val="bottom"/>
          </w:tcPr>
          <w:p>
            <w:pPr>
              <w:pStyle w:val="Compact"/>
              <w:jc w:val="left"/>
            </w:pPr>
            <w:r>
              <w:t xml:space="preserve">Value Driver</w:t>
            </w:r>
          </w:p>
        </w:tc>
        <w:tc>
          <w:tcPr>
            <w:tcBorders>
              <w:bottom w:val="single"/>
            </w:tcBorders>
            <w:vAlign w:val="bottom"/>
          </w:tcPr>
          <w:p>
            <w:pPr>
              <w:pStyle w:val="Compact"/>
              <w:jc w:val="left"/>
            </w:pPr>
            <w:r>
              <w:t xml:space="preserve">Healthcare Diagnostics</w:t>
            </w:r>
          </w:p>
        </w:tc>
        <w:tc>
          <w:tcPr>
            <w:tcBorders>
              <w:bottom w:val="single"/>
            </w:tcBorders>
            <w:vAlign w:val="bottom"/>
          </w:tcPr>
          <w:p>
            <w:pPr>
              <w:pStyle w:val="Compact"/>
              <w:jc w:val="left"/>
            </w:pPr>
            <w:r>
              <w:t xml:space="preserve">Financial Trading</w:t>
            </w:r>
          </w:p>
        </w:tc>
        <w:tc>
          <w:tcPr>
            <w:tcBorders>
              <w:bottom w:val="single"/>
            </w:tcBorders>
            <w:vAlign w:val="bottom"/>
          </w:tcPr>
          <w:p>
            <w:pPr>
              <w:pStyle w:val="Compact"/>
              <w:jc w:val="left"/>
            </w:pPr>
            <w:r>
              <w:t xml:space="preserve">Legal Research</w:t>
            </w:r>
          </w:p>
        </w:tc>
        <w:tc>
          <w:tcPr>
            <w:tcBorders>
              <w:bottom w:val="single"/>
            </w:tcBorders>
            <w:vAlign w:val="bottom"/>
          </w:tcPr>
          <w:p>
            <w:pPr>
              <w:pStyle w:val="Compact"/>
              <w:jc w:val="left"/>
            </w:pPr>
            <w:r>
              <w:t xml:space="preserve">Manufacturing QA</w:t>
            </w:r>
          </w:p>
        </w:tc>
        <w:tc>
          <w:tcPr>
            <w:tcBorders>
              <w:bottom w:val="single"/>
            </w:tcBorders>
            <w:vAlign w:val="bottom"/>
          </w:tcPr>
          <w:p>
            <w:pPr>
              <w:pStyle w:val="Compact"/>
              <w:jc w:val="left"/>
            </w:pPr>
            <w:r>
              <w:t xml:space="preserve">Customer Service</w:t>
            </w:r>
          </w:p>
        </w:tc>
      </w:tr>
      <w:tr>
        <w:tc>
          <w:p>
            <w:pPr>
              <w:pStyle w:val="Compact"/>
              <w:jc w:val="left"/>
            </w:pPr>
            <w:r>
              <w:rPr>
                <w:b/>
              </w:rPr>
              <w:t xml:space="preserve">Accuracy</w:t>
            </w:r>
          </w:p>
        </w:tc>
        <w:tc>
          <w:p>
            <w:pPr>
              <w:pStyle w:val="Compact"/>
              <w:jc w:val="left"/>
            </w:pPr>
            <w:r>
              <w:t xml:space="preserve">45% - Critical for patient safety</w:t>
            </w:r>
          </w:p>
        </w:tc>
        <w:tc>
          <w:p>
            <w:pPr>
              <w:pStyle w:val="Compact"/>
              <w:jc w:val="left"/>
            </w:pPr>
            <w:r>
              <w:t xml:space="preserve">30% - Important but speed matters more</w:t>
            </w:r>
          </w:p>
        </w:tc>
        <w:tc>
          <w:p>
            <w:pPr>
              <w:pStyle w:val="Compact"/>
              <w:jc w:val="left"/>
            </w:pPr>
            <w:r>
              <w:t xml:space="preserve">40% - Errors have major consequences</w:t>
            </w:r>
          </w:p>
        </w:tc>
        <w:tc>
          <w:p>
            <w:pPr>
              <w:pStyle w:val="Compact"/>
              <w:jc w:val="left"/>
            </w:pPr>
            <w:r>
              <w:t xml:space="preserve">50% - Defects are costly</w:t>
            </w:r>
          </w:p>
        </w:tc>
        <w:tc>
          <w:p>
            <w:pPr>
              <w:pStyle w:val="Compact"/>
              <w:jc w:val="left"/>
            </w:pPr>
            <w:r>
              <w:t xml:space="preserve">25% - Balance with speed</w:t>
            </w:r>
          </w:p>
        </w:tc>
      </w:tr>
      <w:tr>
        <w:tc>
          <w:p>
            <w:pPr>
              <w:pStyle w:val="Compact"/>
              <w:jc w:val="left"/>
            </w:pPr>
            <w:r>
              <w:rPr>
                <w:b/>
              </w:rPr>
              <w:t xml:space="preserve">Speed</w:t>
            </w:r>
          </w:p>
        </w:tc>
        <w:tc>
          <w:p>
            <w:pPr>
              <w:pStyle w:val="Compact"/>
              <w:jc w:val="left"/>
            </w:pPr>
            <w:r>
              <w:t xml:space="preserve">15% - Throughput matters</w:t>
            </w:r>
          </w:p>
        </w:tc>
        <w:tc>
          <w:p>
            <w:pPr>
              <w:pStyle w:val="Compact"/>
              <w:jc w:val="left"/>
            </w:pPr>
            <w:r>
              <w:t xml:space="preserve">60% - Microseconds = millions</w:t>
            </w:r>
          </w:p>
        </w:tc>
        <w:tc>
          <w:p>
            <w:pPr>
              <w:pStyle w:val="Compact"/>
              <w:jc w:val="left"/>
            </w:pPr>
            <w:r>
              <w:t xml:space="preserve">20% - Deadlines important</w:t>
            </w:r>
          </w:p>
        </w:tc>
        <w:tc>
          <w:p>
            <w:pPr>
              <w:pStyle w:val="Compact"/>
              <w:jc w:val="left"/>
            </w:pPr>
            <w:r>
              <w:t xml:space="preserve">20% - Production pace</w:t>
            </w:r>
          </w:p>
        </w:tc>
        <w:tc>
          <w:p>
            <w:pPr>
              <w:pStyle w:val="Compact"/>
              <w:jc w:val="left"/>
            </w:pPr>
            <w:r>
              <w:t xml:space="preserve">40% - Response time critical</w:t>
            </w:r>
          </w:p>
        </w:tc>
      </w:tr>
      <w:tr>
        <w:tc>
          <w:p>
            <w:pPr>
              <w:pStyle w:val="Compact"/>
              <w:jc w:val="left"/>
            </w:pPr>
            <w:r>
              <w:rPr>
                <w:b/>
              </w:rPr>
              <w:t xml:space="preserve">Reliability</w:t>
            </w:r>
          </w:p>
        </w:tc>
        <w:tc>
          <w:p>
            <w:pPr>
              <w:pStyle w:val="Compact"/>
              <w:jc w:val="left"/>
            </w:pPr>
            <w:r>
              <w:t xml:space="preserve">30% - Consistent performance needed</w:t>
            </w:r>
          </w:p>
        </w:tc>
        <w:tc>
          <w:p>
            <w:pPr>
              <w:pStyle w:val="Compact"/>
              <w:jc w:val="left"/>
            </w:pPr>
            <w:r>
              <w:t xml:space="preserve">5% - Redundancy handles downtime</w:t>
            </w:r>
          </w:p>
        </w:tc>
        <w:tc>
          <w:p>
            <w:pPr>
              <w:pStyle w:val="Compact"/>
              <w:jc w:val="left"/>
            </w:pPr>
            <w:r>
              <w:t xml:space="preserve">25% - Dependability valued</w:t>
            </w:r>
          </w:p>
        </w:tc>
        <w:tc>
          <w:p>
            <w:pPr>
              <w:pStyle w:val="Compact"/>
              <w:jc w:val="left"/>
            </w:pPr>
            <w:r>
              <w:t xml:space="preserve">20% - Uptime affects operations</w:t>
            </w:r>
          </w:p>
        </w:tc>
        <w:tc>
          <w:p>
            <w:pPr>
              <w:pStyle w:val="Compact"/>
              <w:jc w:val="left"/>
            </w:pPr>
            <w:r>
              <w:t xml:space="preserve">20% - Availability expectations</w:t>
            </w:r>
          </w:p>
        </w:tc>
      </w:tr>
      <w:tr>
        <w:tc>
          <w:p>
            <w:pPr>
              <w:pStyle w:val="Compact"/>
              <w:jc w:val="left"/>
            </w:pPr>
            <w:r>
              <w:rPr>
                <w:b/>
              </w:rPr>
              <w:t xml:space="preserve">Cost Savings</w:t>
            </w:r>
          </w:p>
        </w:tc>
        <w:tc>
          <w:p>
            <w:pPr>
              <w:pStyle w:val="Compact"/>
              <w:jc w:val="left"/>
            </w:pPr>
            <w:r>
              <w:t xml:space="preserve">5% - Secondary to outcomes</w:t>
            </w:r>
          </w:p>
        </w:tc>
        <w:tc>
          <w:p>
            <w:pPr>
              <w:pStyle w:val="Compact"/>
              <w:jc w:val="left"/>
            </w:pPr>
            <w:r>
              <w:t xml:space="preserve">3% - Margin optimization</w:t>
            </w:r>
          </w:p>
        </w:tc>
        <w:tc>
          <w:p>
            <w:pPr>
              <w:pStyle w:val="Compact"/>
              <w:jc w:val="left"/>
            </w:pPr>
            <w:r>
              <w:t xml:space="preserve">10% - Efficiency gains</w:t>
            </w:r>
          </w:p>
        </w:tc>
        <w:tc>
          <w:p>
            <w:pPr>
              <w:pStyle w:val="Compact"/>
              <w:jc w:val="left"/>
            </w:pPr>
            <w:r>
              <w:t xml:space="preserve">5% - Operational efficiency</w:t>
            </w:r>
          </w:p>
        </w:tc>
        <w:tc>
          <w:p>
            <w:pPr>
              <w:pStyle w:val="Compact"/>
              <w:jc w:val="left"/>
            </w:pPr>
            <w:r>
              <w:t xml:space="preserve">10% - Labor cost reduction</w:t>
            </w:r>
          </w:p>
        </w:tc>
      </w:tr>
      <w:tr>
        <w:tc>
          <w:p>
            <w:pPr>
              <w:pStyle w:val="Compact"/>
              <w:jc w:val="left"/>
            </w:pPr>
            <w:r>
              <w:rPr>
                <w:b/>
              </w:rPr>
              <w:t xml:space="preserve">Interpretability</w:t>
            </w:r>
          </w:p>
        </w:tc>
        <w:tc>
          <w:p>
            <w:pPr>
              <w:pStyle w:val="Compact"/>
              <w:jc w:val="left"/>
            </w:pPr>
            <w:r>
              <w:t xml:space="preserve">5% - Regulatory/clinical needs</w:t>
            </w:r>
          </w:p>
        </w:tc>
        <w:tc>
          <w:p>
            <w:pPr>
              <w:pStyle w:val="Compact"/>
              <w:jc w:val="left"/>
            </w:pPr>
            <w:r>
              <w:t xml:space="preserve">2% - Black box acceptable</w:t>
            </w:r>
          </w:p>
        </w:tc>
        <w:tc>
          <w:p>
            <w:pPr>
              <w:pStyle w:val="Compact"/>
              <w:jc w:val="left"/>
            </w:pPr>
            <w:r>
              <w:t xml:space="preserve">5% - Legal justification needed</w:t>
            </w:r>
          </w:p>
        </w:tc>
        <w:tc>
          <w:p>
            <w:pPr>
              <w:pStyle w:val="Compact"/>
              <w:jc w:val="left"/>
            </w:pPr>
            <w:r>
              <w:t xml:space="preserve">5% - Root cause analysis</w:t>
            </w:r>
          </w:p>
        </w:tc>
        <w:tc>
          <w:p>
            <w:pPr>
              <w:pStyle w:val="Compact"/>
              <w:jc w:val="left"/>
            </w:pPr>
            <w:r>
              <w:t xml:space="preserve">5% - Training and oversight</w:t>
            </w:r>
          </w:p>
        </w:tc>
      </w:tr>
      <w:tr>
        <w:tc>
          <w:p>
            <w:pPr>
              <w:pStyle w:val="Compact"/>
              <w:jc w:val="left"/>
            </w:pPr>
            <w:r>
              <w:rPr>
                <w:b/>
              </w:rPr>
              <w:t xml:space="preserve">Total</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bl>
    <w:p>
      <w:pPr>
        <w:pStyle w:val="BodyText"/>
      </w:pPr>
      <w:r>
        <w:rPr>
          <w:i/>
        </w:rPr>
        <w:t xml:space="preserve">Note: Weights represent relative importance in value-based pricing calculations. Values are illustrative projections based on industry analysis and stakeholder priorities.</w:t>
      </w:r>
    </w:p>
    <w:p>
      <w:pPr>
        <w:pStyle w:val="Heading3"/>
      </w:pPr>
      <w:bookmarkStart w:id="33" w:name="real-world-examples"/>
      <w:r>
        <w:t xml:space="preserve">Real-World Examples</w:t>
      </w:r>
      <w:bookmarkEnd w:id="33"/>
    </w:p>
    <w:p>
      <w:pPr>
        <w:pStyle w:val="FirstParagraph"/>
      </w:pPr>
      <w:r>
        <w:t xml:space="preserve">Several AI providers are experimenting with pricing models that move beyond simple token consumption. OpenAI, while primarily using token-based pricing, offers various tiers and access levels that reflect different value propositions (OpenAI, 2024). Enterprise customers, for example, may receive dedicated support and higher usage limits, justifying a premium price (Shapiro &amp; Varian, 1998). Similarly, Anthropic’s Claude offers varying pricing based on context window size and model performance, reflecting the potential for more complex and valuable applications (Anthropic, 2024). Microsoft Azure AI services provide options for pay-as-you-go, reserved capacity, and enterprise agreements, allowing customers to choose the pricing model that best aligns with their needs and usage patterns (Microsoft, 2024).</w:t>
      </w:r>
    </w:p>
    <w:p>
      <w:pPr>
        <w:pStyle w:val="BodyText"/>
      </w:pPr>
      <w:r>
        <w:t xml:space="preserve">These examples illustrate the growing recognition that a one-size-fits-all pricing approach is inadequate for the diverse range of AI applications and user needs. As AI systems become more sophisticated and integrated into core business processes, the demand for value-based pricing models will likely increase (Teece, 2010).</w:t>
      </w:r>
    </w:p>
    <w:p>
      <w:pPr>
        <w:pStyle w:val="Heading3"/>
      </w:pPr>
      <w:bookmarkStart w:id="34" w:name="hybrid-pricing-approaches"/>
      <w:r>
        <w:t xml:space="preserve">Hybrid Pricing Approaches</w:t>
      </w:r>
      <w:bookmarkEnd w:id="34"/>
    </w:p>
    <w:p>
      <w:pPr>
        <w:pStyle w:val="FirstParagraph"/>
      </w:pPr>
      <w:r>
        <w:t xml:space="preserve">The optimal pricing strategy for agentic AI systems may involve a hybrid approach that combines elements of both token-based and value-based models (Nagle &amp; Holden, 2016). For example, a provider could offer a base price based on token consumption, with additional charges for specific features, functionalities, or levels of support (Kotler &amp; Keller, 2015). Alternatively, a provider could offer a subscription model with tiered pricing based on usage and performance metrics, allowing customers to choose the level of service that best meets their needs (Shapiro &amp; Varian, 1998).</w:t>
      </w:r>
    </w:p>
    <w:p>
      <w:pPr>
        <w:pStyle w:val="BodyText"/>
      </w:pPr>
      <w:r>
        <w:t xml:space="preserve">Another potential hybrid approach involves offering a free tier with limited usage, allowing users to experiment with the AI system and assess its value before committing to a paid plan (Anderson, 2006). This approach can be particularly effective for attracting new customers and demonstrating the potential benefits of AI (Reichheld, 2003).</w:t>
      </w:r>
    </w:p>
    <w:p>
      <w:pPr>
        <w:pStyle w:val="BodyText"/>
      </w:pPr>
      <w:r>
        <w:t xml:space="preserve">Ultimately, the most effective pricing strategy will depend on the specific characteristics of the AI system, the target market, and the competitive landscape (Porter, 1985). By carefully considering the trade-offs between simplicity, transparency, and value alignment, providers can develop pricing models that maximize revenue while fostering long-term customer relationships (Rust et al., 2000). Further research is needed to explore the optimal design and implementation of hybrid pricing models for agentic AI systems.</w:t>
      </w:r>
    </w:p>
    <w:p>
      <w:pPr>
        <w:pStyle w:val="Heading3"/>
      </w:pPr>
      <w:bookmarkStart w:id="35" w:name="X00ea94d8440e511d367e7c262e2990e88910ea0"/>
      <w:r>
        <w:t xml:space="preserve">Value-Based Pricing Framework Conceptual Model</w:t>
      </w:r>
      <w:bookmarkEnd w:id="35"/>
    </w:p>
    <w:p>
      <w:pPr>
        <w:pStyle w:val="FirstParagraph"/>
      </w:pPr>
      <w:r>
        <w:rPr>
          <w:b/>
        </w:rPr>
        <w:t xml:space="preserve">Figure 1: Value-Based Pricing Framework for Agentic AI Systems</w:t>
      </w:r>
    </w:p>
    <w:p>
      <w:pPr>
        <w:pStyle w:val="BlockText"/>
      </w:pPr>
      <w:r>
        <w:rPr>
          <w:i/>
        </w:rPr>
        <w:t xml:space="preserve">Note: This framework diagram is intentionally rendered in ASCII art for maximum compatibility across all formats (PDF, DOCX, HTML). If you’re viewing this in Word and prefer a graphical version, consider it a retro feature. Because sometimes the best diagrams are the ones that work everywhere.</w:t>
      </w:r>
    </w:p>
    <w:p>
      <w:pPr>
        <w:pStyle w:val="SourceCode"/>
      </w:pPr>
      <w:r>
        <w:rPr>
          <w:rStyle w:val="VerbatimChar"/>
        </w:rPr>
        <w:t xml:space="preserve">+-------------------------------------------------------------------------+</w:t>
      </w:r>
      <w:r>
        <w:br/>
      </w:r>
      <w:r>
        <w:rPr>
          <w:rStyle w:val="VerbatimChar"/>
        </w:rPr>
        <w:t xml:space="preserve">|                    VALUE-BASED PRICING FRAMEWORK                        |</w:t>
      </w:r>
      <w:r>
        <w:br/>
      </w:r>
      <w:r>
        <w:rPr>
          <w:rStyle w:val="VerbatimChar"/>
        </w:rPr>
        <w:t xml:space="preserve">+-------------------------------------------------------------------------+</w:t>
      </w:r>
      <w:r>
        <w:br/>
      </w:r>
      <w:r>
        <w:br/>
      </w:r>
      <w:r>
        <w:rPr>
          <w:rStyle w:val="VerbatimChar"/>
        </w:rPr>
        <w:t xml:space="preserve">STEP 1: VALUE DRIVER IDENTIFICATION</w:t>
      </w:r>
      <w:r>
        <w:br/>
      </w:r>
      <w:r>
        <w:rPr>
          <w:rStyle w:val="VerbatimChar"/>
        </w:rPr>
        <w:t xml:space="preserve">+--------------------------------------------------------------+</w:t>
      </w:r>
      <w:r>
        <w:br/>
      </w:r>
      <w:r>
        <w:rPr>
          <w:rStyle w:val="VerbatimChar"/>
        </w:rPr>
        <w:t xml:space="preserve">|  - Accuracy (precision, recall, F1-score)                    |</w:t>
      </w:r>
      <w:r>
        <w:br/>
      </w:r>
      <w:r>
        <w:rPr>
          <w:rStyle w:val="VerbatimChar"/>
        </w:rPr>
        <w:t xml:space="preserve">|  - Speed (response time, throughput)                         |</w:t>
      </w:r>
      <w:r>
        <w:br/>
      </w:r>
      <w:r>
        <w:rPr>
          <w:rStyle w:val="VerbatimChar"/>
        </w:rPr>
        <w:t xml:space="preserve">|  - Reliability (uptime, consistency)                         |</w:t>
      </w:r>
      <w:r>
        <w:br/>
      </w:r>
      <w:r>
        <w:rPr>
          <w:rStyle w:val="VerbatimChar"/>
        </w:rPr>
        <w:t xml:space="preserve">|  - Cost Savings (operational efficiency)                     |</w:t>
      </w:r>
      <w:r>
        <w:br/>
      </w:r>
      <w:r>
        <w:rPr>
          <w:rStyle w:val="VerbatimChar"/>
        </w:rPr>
        <w:t xml:space="preserve">|  - Personalization (adaptation, customization)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2: WEIGHT ASSIGNMENT (Industry-Specific)</w:t>
      </w:r>
      <w:r>
        <w:br/>
      </w:r>
      <w:r>
        <w:rPr>
          <w:rStyle w:val="VerbatimChar"/>
        </w:rPr>
        <w:t xml:space="preserve">+--------------------------------------------------------------+</w:t>
      </w:r>
      <w:r>
        <w:br/>
      </w:r>
      <w:r>
        <w:rPr>
          <w:rStyle w:val="VerbatimChar"/>
        </w:rPr>
        <w:t xml:space="preserve">|  w1, w2, ..., wn  where  Sum(wi) = 1.0                      |</w:t>
      </w:r>
      <w:r>
        <w:br/>
      </w:r>
      <w:r>
        <w:rPr>
          <w:rStyle w:val="VerbatimChar"/>
        </w:rPr>
        <w:t xml:space="preserve">|  (Based on stakeholder priorities and market analysis)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3: VALUE QUANTIFICATION</w:t>
      </w:r>
      <w:r>
        <w:br/>
      </w:r>
      <w:r>
        <w:rPr>
          <w:rStyle w:val="VerbatimChar"/>
        </w:rPr>
        <w:t xml:space="preserve">+--------------------------------------------------------------+</w:t>
      </w:r>
      <w:r>
        <w:br/>
      </w:r>
      <w:r>
        <w:rPr>
          <w:rStyle w:val="VerbatimChar"/>
        </w:rPr>
        <w:t xml:space="preserve">|  f1(v1) = Monetary value from accuracy improvement          |</w:t>
      </w:r>
      <w:r>
        <w:br/>
      </w:r>
      <w:r>
        <w:rPr>
          <w:rStyle w:val="VerbatimChar"/>
        </w:rPr>
        <w:t xml:space="preserve">|  f2(v2) = Monetary value from speed enhancement             |</w:t>
      </w:r>
      <w:r>
        <w:br/>
      </w:r>
      <w:r>
        <w:rPr>
          <w:rStyle w:val="VerbatimChar"/>
        </w:rPr>
        <w:t xml:space="preserve">|  f3(v3) = Monetary value from reliability increase          |</w:t>
      </w:r>
      <w:r>
        <w:br/>
      </w:r>
      <w:r>
        <w:rPr>
          <w:rStyle w:val="VerbatimChar"/>
        </w:rPr>
        <w:t xml:space="preserve">|  ...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4: AGGREGATE VALUE CALCULATION</w:t>
      </w:r>
      <w:r>
        <w:br/>
      </w:r>
      <w:r>
        <w:rPr>
          <w:rStyle w:val="VerbatimChar"/>
        </w:rPr>
        <w:t xml:space="preserve">+--------------------------------------------------------------+</w:t>
      </w:r>
      <w:r>
        <w:br/>
      </w:r>
      <w:r>
        <w:rPr>
          <w:rStyle w:val="VerbatimChar"/>
        </w:rPr>
        <w:t xml:space="preserve">|  V_total = Sum(wi * fi(vi))                                 |</w:t>
      </w:r>
      <w:r>
        <w:br/>
      </w:r>
      <w:r>
        <w:rPr>
          <w:rStyle w:val="VerbatimChar"/>
        </w:rPr>
        <w:t xml:space="preserve">|  (Weighted sum of all value contributions)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5: OPTIMAL PRICE DETERMINATION</w:t>
      </w:r>
      <w:r>
        <w:br/>
      </w:r>
      <w:r>
        <w:rPr>
          <w:rStyle w:val="VerbatimChar"/>
        </w:rPr>
        <w:t xml:space="preserve">+--------------------------------------------------------------+</w:t>
      </w:r>
      <w:r>
        <w:br/>
      </w:r>
      <w:r>
        <w:rPr>
          <w:rStyle w:val="VerbatimChar"/>
        </w:rPr>
        <w:t xml:space="preserve">|  P* = theta * V_total                                        |</w:t>
      </w:r>
      <w:r>
        <w:br/>
      </w:r>
      <w:r>
        <w:rPr>
          <w:rStyle w:val="VerbatimChar"/>
        </w:rPr>
        <w:t xml:space="preserve">|  where theta = value capture rate (0.10 - 0.40)              |</w:t>
      </w:r>
      <w:r>
        <w:br/>
      </w:r>
      <w:r>
        <w:rPr>
          <w:rStyle w:val="VerbatimChar"/>
        </w:rPr>
        <w:t xml:space="preserve">|                                                              |</w:t>
      </w:r>
      <w:r>
        <w:br/>
      </w:r>
      <w:r>
        <w:rPr>
          <w:rStyle w:val="VerbatimChar"/>
        </w:rPr>
        <w:t xml:space="preserve">|  Conservative: theta = 0.15 (customer retains 85% of value)  |</w:t>
      </w:r>
      <w:r>
        <w:br/>
      </w:r>
      <w:r>
        <w:rPr>
          <w:rStyle w:val="VerbatimChar"/>
        </w:rPr>
        <w:t xml:space="preserve">|  Moderate:     theta = 0.22 (balanced value sharing)         |</w:t>
      </w:r>
      <w:r>
        <w:br/>
      </w:r>
      <w:r>
        <w:rPr>
          <w:rStyle w:val="VerbatimChar"/>
        </w:rPr>
        <w:t xml:space="preserve">|  Aggressive:   theta = 0.30 (premium positioning)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FINAL PRICE P*    |</w:t>
      </w:r>
      <w:r>
        <w:br/>
      </w:r>
      <w:r>
        <w:rPr>
          <w:rStyle w:val="VerbatimChar"/>
        </w:rPr>
        <w:t xml:space="preserve">                   +---------------------+</w:t>
      </w:r>
      <w:r>
        <w:br/>
      </w:r>
      <w:r>
        <w:br/>
      </w:r>
      <w:r>
        <w:rPr>
          <w:rStyle w:val="VerbatimChar"/>
        </w:rPr>
        <w:t xml:space="preserve">COMPARISON WITH TOKEN-BASED PRICING:</w:t>
      </w:r>
      <w:r>
        <w:br/>
      </w:r>
      <w:r>
        <w:rPr>
          <w:rStyle w:val="VerbatimChar"/>
        </w:rPr>
        <w:t xml:space="preserve">+--------------------------------------------------------------+</w:t>
      </w:r>
      <w:r>
        <w:br/>
      </w:r>
      <w:r>
        <w:rPr>
          <w:rStyle w:val="VerbatimChar"/>
        </w:rPr>
        <w:t xml:space="preserve">|  P_token = r * T  (rate * tokens)                            |</w:t>
      </w:r>
      <w:r>
        <w:br/>
      </w:r>
      <w:r>
        <w:rPr>
          <w:rStyle w:val="VerbatimChar"/>
        </w:rPr>
        <w:t xml:space="preserve">|  Misalignment = |V_total - P_token| / V_total                |</w:t>
      </w:r>
      <w:r>
        <w:br/>
      </w:r>
      <w:r>
        <w:rPr>
          <w:rStyle w:val="VerbatimChar"/>
        </w:rPr>
        <w:t xml:space="preserve">|  High misalignment (&gt;0.50) indicates value-based pricing     |</w:t>
      </w:r>
      <w:r>
        <w:br/>
      </w:r>
      <w:r>
        <w:rPr>
          <w:rStyle w:val="VerbatimChar"/>
        </w:rPr>
        <w:t xml:space="preserve">|  would provide superior market efficiency                    |</w:t>
      </w:r>
      <w:r>
        <w:br/>
      </w:r>
      <w:r>
        <w:rPr>
          <w:rStyle w:val="VerbatimChar"/>
        </w:rPr>
        <w:t xml:space="preserve">+--------------------------------------------------------------+</w:t>
      </w:r>
    </w:p>
    <w:p>
      <w:pPr>
        <w:pStyle w:val="FirstParagraph"/>
      </w:pPr>
      <w:r>
        <w:rPr>
          <w:b/>
        </w:rPr>
        <w:t xml:space="preserve">Figure 2: Price Comparison Across Pricing Models (Healthcare Example)</w:t>
      </w:r>
    </w:p>
    <w:tbl>
      <w:tblPr>
        <w:tblStyle w:val="Table"/>
        <w:tblW w:type="pct" w:w="5000.0"/>
        <w:tblLook w:firstRow="1"/>
      </w:tblPr>
      <w:tblGrid>
        <w:gridCol w:w="1602"/>
        <w:gridCol w:w="1791"/>
        <w:gridCol w:w="1320"/>
        <w:gridCol w:w="1508"/>
        <w:gridCol w:w="1697"/>
      </w:tblGrid>
      <w:tr>
        <w:trPr>
          <w:cnfStyle w:firstRow="1"/>
        </w:trPr>
        <w:tc>
          <w:tcPr>
            <w:tcBorders>
              <w:bottom w:val="single"/>
            </w:tcBorders>
            <w:vAlign w:val="bottom"/>
          </w:tcPr>
          <w:p>
            <w:pPr>
              <w:pStyle w:val="Compact"/>
              <w:jc w:val="left"/>
            </w:pPr>
            <w:r>
              <w:t xml:space="preserve">Pricing Approach</w:t>
            </w:r>
          </w:p>
        </w:tc>
        <w:tc>
          <w:tcPr>
            <w:tcBorders>
              <w:bottom w:val="single"/>
            </w:tcBorders>
            <w:vAlign w:val="bottom"/>
          </w:tcPr>
          <w:p>
            <w:pPr>
              <w:pStyle w:val="Compact"/>
              <w:jc w:val="left"/>
            </w:pPr>
            <w:r>
              <w:t xml:space="preserve">Calculation Method</w:t>
            </w:r>
          </w:p>
        </w:tc>
        <w:tc>
          <w:tcPr>
            <w:tcBorders>
              <w:bottom w:val="single"/>
            </w:tcBorders>
            <w:vAlign w:val="bottom"/>
          </w:tcPr>
          <w:p>
            <w:pPr>
              <w:pStyle w:val="Compact"/>
              <w:jc w:val="left"/>
            </w:pPr>
            <w:r>
              <w:t xml:space="preserve">Annual Price</w:t>
            </w:r>
          </w:p>
        </w:tc>
        <w:tc>
          <w:tcPr>
            <w:tcBorders>
              <w:bottom w:val="single"/>
            </w:tcBorders>
            <w:vAlign w:val="bottom"/>
          </w:tcPr>
          <w:p>
            <w:pPr>
              <w:pStyle w:val="Compact"/>
              <w:jc w:val="left"/>
            </w:pPr>
            <w:r>
              <w:t xml:space="preserve">Value Captured</w:t>
            </w:r>
          </w:p>
        </w:tc>
        <w:tc>
          <w:tcPr>
            <w:tcBorders>
              <w:bottom w:val="single"/>
            </w:tcBorders>
            <w:vAlign w:val="bottom"/>
          </w:tcPr>
          <w:p>
            <w:pPr>
              <w:pStyle w:val="Compact"/>
              <w:jc w:val="left"/>
            </w:pPr>
            <w:r>
              <w:t xml:space="preserve">Customer Surplus</w:t>
            </w:r>
          </w:p>
        </w:tc>
      </w:tr>
      <w:tr>
        <w:tc>
          <w:p>
            <w:pPr>
              <w:pStyle w:val="Compact"/>
              <w:jc w:val="left"/>
            </w:pPr>
            <w:r>
              <w:rPr>
                <w:b/>
              </w:rPr>
              <w:t xml:space="preserve">Token-Based</w:t>
            </w:r>
          </w:p>
        </w:tc>
        <w:tc>
          <w:p>
            <w:pPr>
              <w:pStyle w:val="Compact"/>
              <w:jc w:val="left"/>
            </w:pPr>
            <w:r>
              <w:t xml:space="preserve">5,000 scans × 50k tokens × $0.02/1k</w:t>
            </w:r>
          </w:p>
        </w:tc>
        <w:tc>
          <w:p>
            <w:pPr>
              <w:pStyle w:val="Compact"/>
              <w:jc w:val="left"/>
            </w:pPr>
            <w:r>
              <w:t xml:space="preserve">$5,000</w:t>
            </w:r>
          </w:p>
        </w:tc>
        <w:tc>
          <w:p>
            <w:pPr>
              <w:pStyle w:val="Compact"/>
              <w:jc w:val="left"/>
            </w:pPr>
            <w:r>
              <w:t xml:space="preserve">0.46%</w:t>
            </w:r>
          </w:p>
        </w:tc>
        <w:tc>
          <w:p>
            <w:pPr>
              <w:pStyle w:val="Compact"/>
              <w:jc w:val="left"/>
            </w:pPr>
            <w:r>
              <w:t xml:space="preserve">$1,073,000 (99.5%)</w:t>
            </w:r>
          </w:p>
        </w:tc>
      </w:tr>
      <w:tr>
        <w:tc>
          <w:p>
            <w:pPr>
              <w:pStyle w:val="Compact"/>
              <w:jc w:val="left"/>
            </w:pPr>
            <w:r>
              <w:rPr>
                <w:b/>
              </w:rPr>
              <w:t xml:space="preserve">Value-Based (Conservative)</w:t>
            </w:r>
          </w:p>
        </w:tc>
        <w:tc>
          <w:p>
            <w:pPr>
              <w:pStyle w:val="Compact"/>
              <w:jc w:val="left"/>
            </w:pPr>
            <w:r>
              <w:t xml:space="preserve">$1,078,000 × 15%</w:t>
            </w:r>
          </w:p>
        </w:tc>
        <w:tc>
          <w:p>
            <w:pPr>
              <w:pStyle w:val="Compact"/>
              <w:jc w:val="left"/>
            </w:pPr>
            <w:r>
              <w:t xml:space="preserve">$161,700</w:t>
            </w:r>
          </w:p>
        </w:tc>
        <w:tc>
          <w:p>
            <w:pPr>
              <w:pStyle w:val="Compact"/>
              <w:jc w:val="left"/>
            </w:pPr>
            <w:r>
              <w:t xml:space="preserve">15.0%</w:t>
            </w:r>
          </w:p>
        </w:tc>
        <w:tc>
          <w:p>
            <w:pPr>
              <w:pStyle w:val="Compact"/>
              <w:jc w:val="left"/>
            </w:pPr>
            <w:r>
              <w:t xml:space="preserve">$916,300 (85%)</w:t>
            </w:r>
          </w:p>
        </w:tc>
      </w:tr>
      <w:tr>
        <w:tc>
          <w:p>
            <w:pPr>
              <w:pStyle w:val="Compact"/>
              <w:jc w:val="left"/>
            </w:pPr>
            <w:r>
              <w:rPr>
                <w:b/>
              </w:rPr>
              <w:t xml:space="preserve">Value-Based (Moderate)</w:t>
            </w:r>
          </w:p>
        </w:tc>
        <w:tc>
          <w:p>
            <w:pPr>
              <w:pStyle w:val="Compact"/>
              <w:jc w:val="left"/>
            </w:pPr>
            <w:r>
              <w:t xml:space="preserve">$1,078,000 × 22%</w:t>
            </w:r>
          </w:p>
        </w:tc>
        <w:tc>
          <w:p>
            <w:pPr>
              <w:pStyle w:val="Compact"/>
              <w:jc w:val="left"/>
            </w:pPr>
            <w:r>
              <w:t xml:space="preserve">$237,160</w:t>
            </w:r>
          </w:p>
        </w:tc>
        <w:tc>
          <w:p>
            <w:pPr>
              <w:pStyle w:val="Compact"/>
              <w:jc w:val="left"/>
            </w:pPr>
            <w:r>
              <w:t xml:space="preserve">22.0%</w:t>
            </w:r>
          </w:p>
        </w:tc>
        <w:tc>
          <w:p>
            <w:pPr>
              <w:pStyle w:val="Compact"/>
              <w:jc w:val="left"/>
            </w:pPr>
            <w:r>
              <w:t xml:space="preserve">$840,840 (78%)</w:t>
            </w:r>
          </w:p>
        </w:tc>
      </w:tr>
      <w:tr>
        <w:tc>
          <w:p>
            <w:pPr>
              <w:pStyle w:val="Compact"/>
              <w:jc w:val="left"/>
            </w:pPr>
            <w:r>
              <w:rPr>
                <w:b/>
              </w:rPr>
              <w:t xml:space="preserve">Value-Based (Aggressive)</w:t>
            </w:r>
          </w:p>
        </w:tc>
        <w:tc>
          <w:p>
            <w:pPr>
              <w:pStyle w:val="Compact"/>
              <w:jc w:val="left"/>
            </w:pPr>
            <w:r>
              <w:t xml:space="preserve">$1,078,000 × 30%</w:t>
            </w:r>
          </w:p>
        </w:tc>
        <w:tc>
          <w:p>
            <w:pPr>
              <w:pStyle w:val="Compact"/>
              <w:jc w:val="left"/>
            </w:pPr>
            <w:r>
              <w:t xml:space="preserve">$323,400</w:t>
            </w:r>
          </w:p>
        </w:tc>
        <w:tc>
          <w:p>
            <w:pPr>
              <w:pStyle w:val="Compact"/>
              <w:jc w:val="left"/>
            </w:pPr>
            <w:r>
              <w:t xml:space="preserve">30.0%</w:t>
            </w:r>
          </w:p>
        </w:tc>
        <w:tc>
          <w:p>
            <w:pPr>
              <w:pStyle w:val="Compact"/>
              <w:jc w:val="left"/>
            </w:pPr>
            <w:r>
              <w:t xml:space="preserve">$754,600 (70%)</w:t>
            </w:r>
          </w:p>
        </w:tc>
      </w:tr>
    </w:tbl>
    <w:p>
      <w:pPr>
        <w:pStyle w:val="BodyText"/>
      </w:pPr>
      <w:r>
        <w:rPr>
          <w:i/>
        </w:rPr>
        <w:t xml:space="preserve">Analysis: Token-based pricing captures only 0.46% of delivered value ($1.078M), creating 99.5% misalignment. Value-based approaches capture 15-30% while still leaving substantial customer surplus, creating sustainable partnerships.</w:t>
      </w:r>
    </w:p>
    <w:p>
      <w:pPr>
        <w:pStyle w:val="Heading3"/>
      </w:pPr>
      <w:bookmarkStart w:id="36" w:name="X777ef8f0fa1a7c319ef9a46d088ed9f7feabefe"/>
      <w:r>
        <w:t xml:space="preserve">Framework Application Example: Calculating Value-Based Price</w:t>
      </w:r>
      <w:bookmarkEnd w:id="36"/>
    </w:p>
    <w:p>
      <w:pPr>
        <w:pStyle w:val="FirstParagraph"/>
      </w:pPr>
      <w:r>
        <w:t xml:space="preserve">To demonstrate practical application of the value-based pricing framework developed in this research (detailed mathematically in Appendix A), we present a worked example using realistic parameters from the healthcare diagnostic domain.</w:t>
      </w:r>
    </w:p>
    <w:p>
      <w:pPr>
        <w:pStyle w:val="BodyText"/>
      </w:pPr>
      <w:r>
        <w:rPr>
          <w:b/>
        </w:rPr>
        <w:t xml:space="preserve">Scenario:</w:t>
      </w:r>
      <w:r>
        <w:t xml:space="preserve"> </w:t>
      </w:r>
      <w:r>
        <w:t xml:space="preserve">A hospital considering an AI diagnostic system for mammography screening.</w:t>
      </w:r>
    </w:p>
    <w:p>
      <w:pPr>
        <w:pStyle w:val="BodyText"/>
      </w:pPr>
      <w:r>
        <w:rPr>
          <w:b/>
        </w:rPr>
        <w:t xml:space="preserve">Step 1: Identify Value Drivers and Weights</w:t>
      </w:r>
    </w:p>
    <w:p>
      <w:pPr>
        <w:pStyle w:val="BodyText"/>
      </w:pPr>
      <w:r>
        <w:t xml:space="preserve">Based on stakeholder interviews and domain analysis, we identify four primary value drivers with relative importance weights:</w:t>
      </w:r>
    </w:p>
    <w:p>
      <w:pPr>
        <w:numPr>
          <w:ilvl w:val="0"/>
          <w:numId w:val="1004"/>
        </w:numPr>
        <w:pStyle w:val="Compact"/>
      </w:pPr>
      <w:r>
        <w:t xml:space="preserve">Diagnostic Accuracy (</w:t>
      </w:r>
      <m:oMath>
        <m:sSub>
          <m:e>
            <m:r>
              <m:t>v</m:t>
            </m:r>
          </m:e>
          <m:sub>
            <m:r>
              <m:t>a</m:t>
            </m:r>
            <m:r>
              <m:t>c</m:t>
            </m:r>
            <m:r>
              <m:t>c</m:t>
            </m:r>
          </m:sub>
        </m:sSub>
      </m:oMath>
      <w:r>
        <w:t xml:space="preserve">):</w:t>
      </w:r>
      <w:r>
        <w:t xml:space="preserve"> </w:t>
      </w:r>
      <m:oMath>
        <m:sSub>
          <m:e>
            <m:r>
              <m:t>w</m:t>
            </m:r>
          </m:e>
          <m:sub>
            <m:r>
              <m:t>a</m:t>
            </m:r>
            <m:r>
              <m:t>c</m:t>
            </m:r>
            <m:r>
              <m:t>c</m:t>
            </m:r>
          </m:sub>
        </m:sSub>
        <m:r>
          <m:t>=</m:t>
        </m:r>
        <m:r>
          <m:t>0.45</m:t>
        </m:r>
      </m:oMath>
    </w:p>
    <w:p>
      <w:pPr>
        <w:numPr>
          <w:ilvl w:val="0"/>
          <w:numId w:val="1004"/>
        </w:numPr>
        <w:pStyle w:val="Compact"/>
      </w:pPr>
      <w:r>
        <w:t xml:space="preserve">Processing Speed (</w:t>
      </w:r>
      <m:oMath>
        <m:sSub>
          <m:e>
            <m:r>
              <m:t>v</m:t>
            </m:r>
          </m:e>
          <m:sub>
            <m:r>
              <m:t>s</m:t>
            </m:r>
            <m:r>
              <m:t>p</m:t>
            </m:r>
            <m:r>
              <m:t>e</m:t>
            </m:r>
            <m:r>
              <m:t>e</m:t>
            </m:r>
            <m:r>
              <m:t>d</m:t>
            </m:r>
          </m:sub>
        </m:sSub>
      </m:oMath>
      <w:r>
        <w:t xml:space="preserve">):</w:t>
      </w:r>
      <w:r>
        <w:t xml:space="preserve"> </w:t>
      </w:r>
      <m:oMath>
        <m:sSub>
          <m:e>
            <m:r>
              <m:t>w</m:t>
            </m:r>
          </m:e>
          <m:sub>
            <m:r>
              <m:t>s</m:t>
            </m:r>
            <m:r>
              <m:t>p</m:t>
            </m:r>
            <m:r>
              <m:t>e</m:t>
            </m:r>
            <m:r>
              <m:t>e</m:t>
            </m:r>
            <m:r>
              <m:t>d</m:t>
            </m:r>
          </m:sub>
        </m:sSub>
        <m:r>
          <m:t>=</m:t>
        </m:r>
        <m:r>
          <m:t>0.25</m:t>
        </m:r>
      </m:oMath>
    </w:p>
    <w:p>
      <w:pPr>
        <w:numPr>
          <w:ilvl w:val="0"/>
          <w:numId w:val="1004"/>
        </w:numPr>
        <w:pStyle w:val="Compact"/>
      </w:pPr>
      <w:r>
        <w:t xml:space="preserve">Reliability (uptime) (</w:t>
      </w:r>
      <m:oMath>
        <m:sSub>
          <m:e>
            <m:r>
              <m:t>v</m:t>
            </m:r>
          </m:e>
          <m:sub>
            <m:r>
              <m:t>r</m:t>
            </m:r>
            <m:r>
              <m:t>e</m:t>
            </m:r>
            <m:r>
              <m:t>l</m:t>
            </m:r>
          </m:sub>
        </m:sSub>
      </m:oMath>
      <w:r>
        <w:t xml:space="preserve">):</w:t>
      </w:r>
      <w:r>
        <w:t xml:space="preserve"> </w:t>
      </w:r>
      <m:oMath>
        <m:sSub>
          <m:e>
            <m:r>
              <m:t>w</m:t>
            </m:r>
          </m:e>
          <m:sub>
            <m:r>
              <m:t>r</m:t>
            </m:r>
            <m:r>
              <m:t>e</m:t>
            </m:r>
            <m:r>
              <m:t>l</m:t>
            </m:r>
          </m:sub>
        </m:sSub>
        <m:r>
          <m:t>=</m:t>
        </m:r>
        <m:r>
          <m:t>0.20</m:t>
        </m:r>
      </m:oMath>
    </w:p>
    <w:p>
      <w:pPr>
        <w:numPr>
          <w:ilvl w:val="0"/>
          <w:numId w:val="1004"/>
        </w:numPr>
        <w:pStyle w:val="Compact"/>
      </w:pPr>
      <w:r>
        <w:t xml:space="preserve">Interpretability (</w:t>
      </w:r>
      <m:oMath>
        <m:sSub>
          <m:e>
            <m:r>
              <m:t>v</m:t>
            </m:r>
          </m:e>
          <m:sub>
            <m:r>
              <m:t>i</m:t>
            </m:r>
            <m:r>
              <m:t>n</m:t>
            </m:r>
            <m:r>
              <m:t>t</m:t>
            </m:r>
            <m:r>
              <m:t>e</m:t>
            </m:r>
            <m:r>
              <m:t>r</m:t>
            </m:r>
            <m:r>
              <m:t>p</m:t>
            </m:r>
          </m:sub>
        </m:sSub>
      </m:oMath>
      <w:r>
        <w:t xml:space="preserve">):</w:t>
      </w:r>
      <w:r>
        <w:t xml:space="preserve"> </w:t>
      </w:r>
      <m:oMath>
        <m:sSub>
          <m:e>
            <m:r>
              <m:t>w</m:t>
            </m:r>
          </m:e>
          <m:sub>
            <m:r>
              <m:t>i</m:t>
            </m:r>
            <m:r>
              <m:t>n</m:t>
            </m:r>
            <m:r>
              <m:t>t</m:t>
            </m:r>
            <m:r>
              <m:t>e</m:t>
            </m:r>
            <m:r>
              <m:t>r</m:t>
            </m:r>
            <m:r>
              <m:t>p</m:t>
            </m:r>
          </m:sub>
        </m:sSub>
        <m:r>
          <m:t>=</m:t>
        </m:r>
        <m:r>
          <m:t>0.10</m:t>
        </m:r>
      </m:oMath>
    </w:p>
    <w:p>
      <w:pPr>
        <w:pStyle w:val="FirstParagraph"/>
      </w:pPr>
      <w:r>
        <w:rPr>
          <w:b/>
        </w:rPr>
        <w:t xml:space="preserve">Step 2: Quantify Value for Each Driver</w:t>
      </w:r>
    </w:p>
    <w:p>
      <w:pPr>
        <w:pStyle w:val="BodyText"/>
      </w:pPr>
      <w:r>
        <w:rPr>
          <w:b/>
        </w:rPr>
        <w:t xml:space="preserve">Accuracy Value:</w:t>
      </w:r>
      <w:r>
        <w:t xml:space="preserve"> </w:t>
      </w:r>
      <w:r>
        <w:t xml:space="preserve">The AI system improves diagnostic accuracy from 87% (baseline human radiologists) to 94%, a</w:t>
      </w:r>
      <w:r>
        <w:t xml:space="preserve"> </w:t>
      </w:r>
      <m:oMath>
        <m:sSub>
          <m:e>
            <m:r>
              <m:t>Δ</m:t>
            </m:r>
          </m:e>
          <m:sub>
            <m:r>
              <m:t>a</m:t>
            </m:r>
            <m:r>
              <m:t>c</m:t>
            </m:r>
            <m:r>
              <m:t>c</m:t>
            </m:r>
          </m:sub>
        </m:sSub>
        <m:r>
          <m:t>=</m:t>
        </m:r>
        <m:r>
          <m:t>0.07</m:t>
        </m:r>
      </m:oMath>
      <w:r>
        <w:t xml:space="preserve"> </w:t>
      </w:r>
      <w:r>
        <w:t xml:space="preserve">(7 percentage point) improvement. The hospital screens</w:t>
      </w:r>
      <w:r>
        <w:t xml:space="preserve"> </w:t>
      </w:r>
      <m:oMath>
        <m:sSub>
          <m:e>
            <m:r>
              <m:t>N</m:t>
            </m:r>
          </m:e>
          <m:sub>
            <m:r>
              <m:t>p</m:t>
            </m:r>
            <m:r>
              <m:t>a</m:t>
            </m:r>
            <m:r>
              <m:t>t</m:t>
            </m:r>
            <m:r>
              <m:t>i</m:t>
            </m:r>
            <m:r>
              <m:t>e</m:t>
            </m:r>
            <m:r>
              <m:t>n</m:t>
            </m:r>
            <m:r>
              <m:t>t</m:t>
            </m:r>
            <m:r>
              <m:t>s</m:t>
            </m:r>
          </m:sub>
        </m:sSub>
        <m:r>
          <m:t>=</m:t>
        </m:r>
        <m:r>
          <m:t>5</m:t>
        </m:r>
        <m:r>
          <m:t>,</m:t>
        </m:r>
        <m:r>
          <m:t>000</m:t>
        </m:r>
      </m:oMath>
      <w:r>
        <w:t xml:space="preserve"> </w:t>
      </w:r>
      <w:r>
        <w:t xml:space="preserve">patients annually. Each percentage point improvement in early cancer detection yields average treatment cost savings of</w:t>
      </w:r>
      <w:r>
        <w:t xml:space="preserve"> </w:t>
      </w:r>
      <m:oMath>
        <m:sSub>
          <m:e>
            <m:r>
              <m:t>C</m:t>
            </m:r>
          </m:e>
          <m:sub>
            <m:r>
              <m:t>s</m:t>
            </m:r>
            <m:r>
              <m:t>a</m:t>
            </m:r>
            <m:r>
              <m:t>v</m:t>
            </m:r>
            <m:r>
              <m:t>i</m:t>
            </m:r>
            <m:r>
              <m:t>n</m:t>
            </m:r>
            <m:r>
              <m:t>g</m:t>
            </m:r>
            <m:r>
              <m:t>s</m:t>
            </m:r>
          </m:sub>
        </m:sSub>
        <m:r>
          <m:t>=</m:t>
        </m:r>
        <m:r>
          <m:t>6500</m:t>
        </m:r>
      </m:oMath>
      <w:r>
        <w:t xml:space="preserve"> </w:t>
      </w:r>
      <w:r>
        <w:t xml:space="preserve">per percentage point (based on published healthcare economics literature).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s</m:t>
              </m:r>
              <m:r>
                <m:t>a</m:t>
              </m:r>
              <m:r>
                <m:t>v</m:t>
              </m:r>
              <m:r>
                <m:t>i</m:t>
              </m:r>
              <m:r>
                <m:t>n</m:t>
              </m:r>
              <m:r>
                <m:t>g</m:t>
              </m:r>
              <m:r>
                <m:t>s</m:t>
              </m:r>
            </m:sub>
          </m:sSub>
          <m:r>
            <m:t>=</m:t>
          </m:r>
          <m:r>
            <m:t>5</m:t>
          </m:r>
          <m:r>
            <m:t> </m:t>
          </m:r>
          <m:r>
            <m:t>000</m:t>
          </m:r>
          <m:r>
            <m:t>×</m:t>
          </m:r>
          <m:r>
            <m:t>0.07</m:t>
          </m:r>
          <m:r>
            <m:t>×</m:t>
          </m:r>
          <m:r>
            <m:t>6500</m:t>
          </m:r>
          <m:r>
            <m:t>=</m:t>
          </m:r>
          <m:r>
            <m:t>2</m:t>
          </m:r>
          <m:r>
            <m:t> </m:t>
          </m:r>
          <m:r>
            <m:t>275</m:t>
          </m:r>
          <m:r>
            <m:t> </m:t>
          </m:r>
          <m:r>
            <m:t>000</m:t>
          </m:r>
        </m:oMath>
      </m:oMathPara>
    </w:p>
    <w:p>
      <w:pPr>
        <w:pStyle w:val="FirstParagraph"/>
      </w:pPr>
      <w:r>
        <w:rPr>
          <w:b/>
        </w:rPr>
        <w:t xml:space="preserve">Speed Value:</w:t>
      </w:r>
      <w:r>
        <w:t xml:space="preserve"> </w:t>
      </w:r>
      <w:r>
        <w:t xml:space="preserve">The AI system processes mammograms in 3 minutes versus 12 minutes for manual review, enabling the hospital to increase throughput by 300% (75% time reduction). With radiologist time valued at $180/hour, and processing 5,000 scans annually:</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r>
            <m:t>5</m:t>
          </m:r>
          <m:r>
            <m:t> </m:t>
          </m:r>
          <m:r>
            <m:t>000</m:t>
          </m:r>
          <m:r>
            <m:t>×</m:t>
          </m:r>
          <m:r>
            <m:t>(</m:t>
          </m:r>
          <m:r>
            <m:t>12</m:t>
          </m:r>
          <m:r>
            <m:t>−</m:t>
          </m:r>
          <m:r>
            <m:t>3</m:t>
          </m:r>
          <m:r>
            <m:t>)</m:t>
          </m:r>
          <m:r>
            <m:t>/</m:t>
          </m:r>
          <m:r>
            <m:t>60</m:t>
          </m:r>
          <m:r>
            <m:t>×</m:t>
          </m:r>
          <m:r>
            <m:t>180</m:t>
          </m:r>
          <m:r>
            <m:t>=</m:t>
          </m:r>
          <m:r>
            <m:t>5</m:t>
          </m:r>
          <m:r>
            <m:t> </m:t>
          </m:r>
          <m:r>
            <m:t>000</m:t>
          </m:r>
          <m:r>
            <m:t>×</m:t>
          </m:r>
          <m:r>
            <m:t>0.15</m:t>
          </m:r>
          <m:r>
            <m:t>×</m:t>
          </m:r>
          <m:r>
            <m:t>180</m:t>
          </m:r>
          <m:r>
            <m:t>=</m:t>
          </m:r>
          <m:r>
            <m:t>135</m:t>
          </m:r>
          <m:r>
            <m:t> </m:t>
          </m:r>
          <m:r>
            <m:t>000</m:t>
          </m:r>
        </m:oMath>
      </m:oMathPara>
    </w:p>
    <w:p>
      <w:pPr>
        <w:pStyle w:val="FirstParagraph"/>
      </w:pPr>
      <w:r>
        <w:rPr>
          <w:b/>
        </w:rPr>
        <w:t xml:space="preserve">Reliability Value:</w:t>
      </w:r>
      <w:r>
        <w:t xml:space="preserve"> </w:t>
      </w:r>
      <w:r>
        <w:t xml:space="preserve">The AI system achieves 99.5% uptime versus 95% for manual processes (radiologist availability). The 4.5 percentage point improvement prevents delays for approximately 225 patients annually, each delay costing an estimated $400 in patient dissatisfaction and administrative overhead:</w:t>
      </w:r>
    </w:p>
    <w:p>
      <w:pPr>
        <w:pStyle w:val="BodyText"/>
      </w:pPr>
      <m:oMathPara>
        <m:oMathParaPr>
          <m:jc m:val="center"/>
        </m:oMathParaPr>
        <m:oMath>
          <m:sSub>
            <m:e>
              <m:r>
                <m:t>f</m:t>
              </m:r>
            </m:e>
            <m:sub>
              <m:r>
                <m:t>r</m:t>
              </m:r>
              <m:r>
                <m:t>e</m:t>
              </m:r>
              <m:r>
                <m:t>l</m:t>
              </m:r>
            </m:sub>
          </m:sSub>
          <m:r>
            <m:t>(</m:t>
          </m:r>
          <m:sSub>
            <m:e>
              <m:r>
                <m:t>v</m:t>
              </m:r>
            </m:e>
            <m:sub>
              <m:r>
                <m:t>r</m:t>
              </m:r>
              <m:r>
                <m:t>e</m:t>
              </m:r>
              <m:r>
                <m:t>l</m:t>
              </m:r>
            </m:sub>
          </m:sSub>
          <m:r>
            <m:t>)</m:t>
          </m:r>
          <m:r>
            <m:t>=</m:t>
          </m:r>
          <m:r>
            <m:t>225</m:t>
          </m:r>
          <m:r>
            <m:t>×</m:t>
          </m:r>
          <m:r>
            <m:t>400</m:t>
          </m:r>
          <m:r>
            <m:t>=</m:t>
          </m:r>
          <m:r>
            <m:t>90</m:t>
          </m:r>
          <m:r>
            <m:t> </m:t>
          </m:r>
          <m:r>
            <m:t>000</m:t>
          </m:r>
        </m:oMath>
      </m:oMathPara>
    </w:p>
    <w:p>
      <w:pPr>
        <w:pStyle w:val="FirstParagraph"/>
      </w:pPr>
      <w:r>
        <w:rPr>
          <w:b/>
        </w:rPr>
        <w:t xml:space="preserve">Interpretability Value:</w:t>
      </w:r>
      <w:r>
        <w:t xml:space="preserve"> </w:t>
      </w:r>
      <w:r>
        <w:t xml:space="preserve">The AI provides visual heat maps highlighting suspicious regions, reducing physician cognitive load and improving training for junior radiologists. Estimated value (based on continuing education cost savings and reduced errors): $25,000 annually.</w:t>
      </w:r>
    </w:p>
    <w:p>
      <w:pPr>
        <w:pStyle w:val="BodyText"/>
      </w:pPr>
      <m:oMathPara>
        <m:oMathParaPr>
          <m:jc m:val="center"/>
        </m:oMathParaPr>
        <m:oMath>
          <m:sSub>
            <m:e>
              <m:r>
                <m:t>f</m:t>
              </m:r>
            </m:e>
            <m:sub>
              <m:r>
                <m:t>i</m:t>
              </m:r>
              <m:r>
                <m:t>n</m:t>
              </m:r>
              <m:r>
                <m:t>t</m:t>
              </m:r>
              <m:r>
                <m:t>e</m:t>
              </m:r>
              <m:r>
                <m:t>r</m:t>
              </m:r>
              <m:r>
                <m:t>p</m:t>
              </m:r>
            </m:sub>
          </m:sSub>
          <m:r>
            <m:t>(</m:t>
          </m:r>
          <m:sSub>
            <m:e>
              <m:r>
                <m:t>v</m:t>
              </m:r>
            </m:e>
            <m:sub>
              <m:r>
                <m:t>i</m:t>
              </m:r>
              <m:r>
                <m:t>n</m:t>
              </m:r>
              <m:r>
                <m:t>t</m:t>
              </m:r>
              <m:r>
                <m:t>e</m:t>
              </m:r>
              <m:r>
                <m:t>r</m:t>
              </m:r>
              <m:r>
                <m:t>p</m:t>
              </m:r>
            </m:sub>
          </m:sSub>
          <m:r>
            <m:t>)</m:t>
          </m:r>
          <m:r>
            <m:t>=</m:t>
          </m:r>
          <m:r>
            <m:t>25</m:t>
          </m:r>
          <m:r>
            <m:t> </m:t>
          </m:r>
          <m:r>
            <m:t>000</m:t>
          </m:r>
        </m:oMath>
      </m:oMathPara>
    </w:p>
    <w:p>
      <w:pPr>
        <w:pStyle w:val="FirstParagraph"/>
      </w:pPr>
      <w:r>
        <w:rPr>
          <w:b/>
        </w:rPr>
        <w:t xml:space="preserve">Step 3: Calculate Aggregate Value</w:t>
      </w:r>
    </w:p>
    <w:p>
      <w:pPr>
        <w:pStyle w:val="BodyText"/>
      </w:pPr>
      <w:r>
        <w:t xml:space="preserve">Using the weighted sum formula from Appendix A.3:</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4</m:t>
              </m:r>
            </m:sup>
            <m:e>
              <m:sSub>
                <m:e>
                  <m:r>
                    <m:t>w</m:t>
                  </m:r>
                </m:e>
                <m:sub>
                  <m:r>
                    <m:t>i</m:t>
                  </m:r>
                </m:sub>
              </m:sSub>
            </m:e>
          </m:nary>
          <m:r>
            <m:t>⋅</m:t>
          </m:r>
          <m:sSub>
            <m:e>
              <m:r>
                <m:t>f</m:t>
              </m:r>
            </m:e>
            <m:sub>
              <m:r>
                <m:t>i</m:t>
              </m:r>
            </m:sub>
          </m:sSub>
          <m:r>
            <m:t>(</m:t>
          </m:r>
          <m:sSub>
            <m:e>
              <m:r>
                <m:t>v</m:t>
              </m:r>
            </m:e>
            <m:sub>
              <m:r>
                <m:t>i</m:t>
              </m:r>
            </m:sub>
          </m:sSub>
          <m:r>
            <m:t>)</m:t>
          </m:r>
        </m:oMath>
      </m:oMathPara>
    </w:p>
    <w:p>
      <w:pPr>
        <w:pStyle w:val="FirstParagraph"/>
      </w:pPr>
      <m:oMathPara>
        <m:oMathParaPr>
          <m:jc m:val="center"/>
        </m:oMathParaPr>
        <m:oMath>
          <m:sSub>
            <m:e>
              <m:r>
                <m:t>V</m:t>
              </m:r>
            </m:e>
            <m:sub>
              <m:r>
                <m:t>t</m:t>
              </m:r>
              <m:r>
                <m:t>o</m:t>
              </m:r>
              <m:r>
                <m:t>t</m:t>
              </m:r>
              <m:r>
                <m:t>a</m:t>
              </m:r>
              <m:r>
                <m:t>l</m:t>
              </m:r>
            </m:sub>
          </m:sSub>
          <m:r>
            <m:t>=</m:t>
          </m:r>
          <m:r>
            <m:t>0.45</m:t>
          </m:r>
          <m:r>
            <m:t>(</m:t>
          </m:r>
          <m:r>
            <m:t>2</m:t>
          </m:r>
          <m:r>
            <m:t> </m:t>
          </m:r>
          <m:r>
            <m:t>275</m:t>
          </m:r>
          <m:r>
            <m:t> </m:t>
          </m:r>
          <m:r>
            <m:t>000</m:t>
          </m:r>
          <m:r>
            <m:t>)</m:t>
          </m:r>
          <m:r>
            <m:t>+</m:t>
          </m:r>
          <m:r>
            <m:t>0.25</m:t>
          </m:r>
          <m:r>
            <m:t>(</m:t>
          </m:r>
          <m:r>
            <m:t>135</m:t>
          </m:r>
          <m:r>
            <m:t> </m:t>
          </m:r>
          <m:r>
            <m:t>000</m:t>
          </m:r>
          <m:r>
            <m:t>)</m:t>
          </m:r>
          <m:r>
            <m:t>+</m:t>
          </m:r>
          <m:r>
            <m:t>0.20</m:t>
          </m:r>
          <m:r>
            <m:t>(</m:t>
          </m:r>
          <m:r>
            <m:t>90</m:t>
          </m:r>
          <m:r>
            <m:t> </m:t>
          </m:r>
          <m:r>
            <m:t>000</m:t>
          </m:r>
          <m:r>
            <m:t>)</m:t>
          </m:r>
          <m:r>
            <m:t>+</m:t>
          </m:r>
          <m:r>
            <m:t>0.10</m:t>
          </m:r>
          <m:r>
            <m:t>(</m:t>
          </m:r>
          <m:r>
            <m:t>25</m:t>
          </m:r>
          <m:r>
            <m:t> </m:t>
          </m:r>
          <m:r>
            <m:t>000</m:t>
          </m:r>
          <m:r>
            <m:t>)</m:t>
          </m:r>
        </m:oMath>
      </m:oMathPara>
    </w:p>
    <w:p>
      <w:pPr>
        <w:pStyle w:val="FirstParagraph"/>
      </w:pPr>
      <m:oMathPara>
        <m:oMathParaPr>
          <m:jc m:val="center"/>
        </m:oMathParaPr>
        <m:oMath>
          <m:sSub>
            <m:e>
              <m:r>
                <m:t>V</m:t>
              </m:r>
            </m:e>
            <m:sub>
              <m:r>
                <m:t>t</m:t>
              </m:r>
              <m:r>
                <m:t>o</m:t>
              </m:r>
              <m:r>
                <m:t>t</m:t>
              </m:r>
              <m:r>
                <m:t>a</m:t>
              </m:r>
              <m:r>
                <m:t>l</m:t>
              </m:r>
            </m:sub>
          </m:sSub>
          <m:r>
            <m:t>=</m:t>
          </m:r>
          <m:r>
            <m:t>1</m:t>
          </m:r>
          <m:r>
            <m:t> </m:t>
          </m:r>
          <m:r>
            <m:t>023</m:t>
          </m:r>
          <m:r>
            <m:t> </m:t>
          </m:r>
          <m:r>
            <m:t>750</m:t>
          </m:r>
          <m:r>
            <m:t>+</m:t>
          </m:r>
          <m:r>
            <m:t>33</m:t>
          </m:r>
          <m:r>
            <m:t> </m:t>
          </m:r>
          <m:r>
            <m:t>750</m:t>
          </m:r>
          <m:r>
            <m:t>+</m:t>
          </m:r>
          <m:r>
            <m:t>18</m:t>
          </m:r>
          <m:r>
            <m:t> </m:t>
          </m:r>
          <m:r>
            <m:t>000</m:t>
          </m:r>
          <m:r>
            <m:t>+</m:t>
          </m:r>
          <m:r>
            <m:t>2</m:t>
          </m:r>
          <m:r>
            <m:t> </m:t>
          </m:r>
          <m:r>
            <m:t>500</m:t>
          </m:r>
          <m:r>
            <m:t>=</m:t>
          </m:r>
          <m:r>
            <m:t>1</m:t>
          </m:r>
          <m:r>
            <m:t> </m:t>
          </m:r>
          <m:r>
            <m:t>078</m:t>
          </m:r>
          <m:r>
            <m:t> </m:t>
          </m:r>
          <m:r>
            <m:t>000</m:t>
          </m:r>
        </m:oMath>
      </m:oMathPara>
    </w:p>
    <w:p>
      <w:pPr>
        <w:pStyle w:val="FirstParagraph"/>
      </w:pPr>
      <w:r>
        <w:rPr>
          <w:b/>
        </w:rPr>
        <w:t xml:space="preserve">Step 4: Determine Optimal Price</w:t>
      </w:r>
    </w:p>
    <w:p>
      <w:pPr>
        <w:pStyle w:val="BodyText"/>
      </w:pPr>
      <w:r>
        <w:t xml:space="preserve">The optimal value-based price depends on the value capture rate</w:t>
      </w:r>
      <w:r>
        <w:t xml:space="preserve"> </w:t>
      </w:r>
      <m:oMath>
        <m:r>
          <m:t>θ</m:t>
        </m:r>
      </m:oMath>
      <w:r>
        <w:t xml:space="preserve">, which reflects market conditions, competition, and negotiating power. For enterprise healthcare AI, typical value capture rates range from</w:t>
      </w:r>
      <w:r>
        <w:t xml:space="preserve"> </w:t>
      </w:r>
      <m:oMath>
        <m:r>
          <m:t>θ</m:t>
        </m:r>
        <m:r>
          <m:t>=</m:t>
        </m:r>
        <m:r>
          <m:t>0.15</m:t>
        </m:r>
      </m:oMath>
      <w:r>
        <w:t xml:space="preserve"> </w:t>
      </w:r>
      <w:r>
        <w:t xml:space="preserve">to</w:t>
      </w:r>
      <w:r>
        <w:t xml:space="preserve"> </w:t>
      </w:r>
      <m:oMath>
        <m:r>
          <m:t>θ</m:t>
        </m:r>
        <m:r>
          <m:t>=</m:t>
        </m:r>
        <m:r>
          <m:t>0.30</m:t>
        </m:r>
      </m:oMath>
      <w:r>
        <w:t xml:space="preserve">.</w:t>
      </w:r>
    </w:p>
    <w:p>
      <w:pPr>
        <w:pStyle w:val="BodyText"/>
      </w:pPr>
      <w:r>
        <w:rPr>
          <w:b/>
        </w:rPr>
        <w:t xml:space="preserve">Conservative pricing</w:t>
      </w:r>
      <w:r>
        <w:t xml:space="preserve"> </w:t>
      </w:r>
      <w:r>
        <w:t xml:space="preserve">(</w:t>
      </w:r>
      <m:oMath>
        <m:r>
          <m:t>θ</m:t>
        </m:r>
        <m:r>
          <m:t>=</m:t>
        </m:r>
        <m:r>
          <m:t>0.15</m:t>
        </m:r>
      </m:oMath>
      <w:r>
        <w:t xml:space="preserve">):</w:t>
      </w:r>
    </w:p>
    <w:p>
      <w:pPr>
        <w:pStyle w:val="BodyText"/>
      </w:pPr>
      <m:oMathPara>
        <m:oMathParaPr>
          <m:jc m:val="center"/>
        </m:oMathParaPr>
        <m:oMath>
          <m:sSup>
            <m:e>
              <m:r>
                <m:t>P</m:t>
              </m:r>
            </m:e>
            <m:sup>
              <m:r>
                <m:t>*</m:t>
              </m:r>
            </m:sup>
          </m:sSup>
          <m:r>
            <m:t>=</m:t>
          </m:r>
          <m:r>
            <m:t>0.15</m:t>
          </m:r>
          <m:r>
            <m:t>×</m:t>
          </m:r>
          <m:r>
            <m:t>1</m:t>
          </m:r>
          <m:r>
            <m:t> </m:t>
          </m:r>
          <m:r>
            <m:t>078</m:t>
          </m:r>
          <m:r>
            <m:t> </m:t>
          </m:r>
          <m:r>
            <m:t>000</m:t>
          </m:r>
          <m:r>
            <m:t>=</m:t>
          </m:r>
          <m:r>
            <m:t>161</m:t>
          </m:r>
          <m:r>
            <m:t> </m:t>
          </m:r>
          <m:r>
            <m:t>700</m:t>
          </m:r>
          <m:r>
            <m:rPr>
              <m:nor/>
              <m:sty m:val="p"/>
            </m:rPr>
            <m:t> annually</m:t>
          </m:r>
        </m:oMath>
      </m:oMathPara>
    </w:p>
    <w:p>
      <w:pPr>
        <w:pStyle w:val="FirstParagraph"/>
      </w:pPr>
      <w:r>
        <w:rPr>
          <w:b/>
        </w:rPr>
        <w:t xml:space="preserve">Moderate pricing</w:t>
      </w:r>
      <w:r>
        <w:t xml:space="preserve"> </w:t>
      </w:r>
      <w:r>
        <w:t xml:space="preserve">(</w:t>
      </w:r>
      <m:oMath>
        <m:r>
          <m:t>θ</m:t>
        </m:r>
        <m:r>
          <m:t>=</m:t>
        </m:r>
        <m:r>
          <m:t>0.22</m:t>
        </m:r>
      </m:oMath>
      <w:r>
        <w:t xml:space="preserve">):</w:t>
      </w:r>
    </w:p>
    <w:p>
      <w:pPr>
        <w:pStyle w:val="BodyText"/>
      </w:pPr>
      <m:oMathPara>
        <m:oMathParaPr>
          <m:jc m:val="center"/>
        </m:oMathParaPr>
        <m:oMath>
          <m:sSup>
            <m:e>
              <m:r>
                <m:t>P</m:t>
              </m:r>
            </m:e>
            <m:sup>
              <m:r>
                <m:t>*</m:t>
              </m:r>
            </m:sup>
          </m:sSup>
          <m:r>
            <m:t>=</m:t>
          </m:r>
          <m:r>
            <m:t>0.22</m:t>
          </m:r>
          <m:r>
            <m:t>×</m:t>
          </m:r>
          <m:r>
            <m:t>1</m:t>
          </m:r>
          <m:r>
            <m:t> </m:t>
          </m:r>
          <m:r>
            <m:t>078</m:t>
          </m:r>
          <m:r>
            <m:t> </m:t>
          </m:r>
          <m:r>
            <m:t>000</m:t>
          </m:r>
          <m:r>
            <m:t>=</m:t>
          </m:r>
          <m:r>
            <m:t>237</m:t>
          </m:r>
          <m:r>
            <m:t> </m:t>
          </m:r>
          <m:r>
            <m:t>160</m:t>
          </m:r>
          <m:r>
            <m:rPr>
              <m:nor/>
              <m:sty m:val="p"/>
            </m:rPr>
            <m:t> annually</m:t>
          </m:r>
        </m:oMath>
      </m:oMathPara>
    </w:p>
    <w:p>
      <w:pPr>
        <w:pStyle w:val="FirstParagraph"/>
      </w:pPr>
      <w:r>
        <w:rPr>
          <w:b/>
        </w:rPr>
        <w:t xml:space="preserve">Aggressive pricing</w:t>
      </w:r>
      <w:r>
        <w:t xml:space="preserve"> </w:t>
      </w:r>
      <w:r>
        <w:t xml:space="preserve">(</w:t>
      </w:r>
      <m:oMath>
        <m:r>
          <m:t>θ</m:t>
        </m:r>
        <m:r>
          <m:t>=</m:t>
        </m:r>
        <m:r>
          <m:t>0.30</m:t>
        </m:r>
      </m:oMath>
      <w:r>
        <w:t xml:space="preserve">):</w:t>
      </w:r>
    </w:p>
    <w:p>
      <w:pPr>
        <w:pStyle w:val="BodyText"/>
      </w:pPr>
      <m:oMathPara>
        <m:oMathParaPr>
          <m:jc m:val="center"/>
        </m:oMathParaPr>
        <m:oMath>
          <m:sSup>
            <m:e>
              <m:r>
                <m:t>P</m:t>
              </m:r>
            </m:e>
            <m:sup>
              <m:r>
                <m:t>*</m:t>
              </m:r>
            </m:sup>
          </m:sSup>
          <m:r>
            <m:t>=</m:t>
          </m:r>
          <m:r>
            <m:t>0.30</m:t>
          </m:r>
          <m:r>
            <m:t>×</m:t>
          </m:r>
          <m:r>
            <m:t>1</m:t>
          </m:r>
          <m:r>
            <m:t> </m:t>
          </m:r>
          <m:r>
            <m:t>078</m:t>
          </m:r>
          <m:r>
            <m:t> </m:t>
          </m:r>
          <m:r>
            <m:t>000</m:t>
          </m:r>
          <m:r>
            <m:t>=</m:t>
          </m:r>
          <m:r>
            <m:t>323</m:t>
          </m:r>
          <m:r>
            <m:t> </m:t>
          </m:r>
          <m:r>
            <m:t>400</m:t>
          </m:r>
          <m:r>
            <m:rPr>
              <m:nor/>
              <m:sty m:val="p"/>
            </m:rPr>
            <m:t> annually</m:t>
          </m:r>
        </m:oMath>
      </m:oMathPara>
    </w:p>
    <w:p>
      <w:pPr>
        <w:pStyle w:val="FirstParagraph"/>
      </w:pPr>
      <w:r>
        <w:rPr>
          <w:b/>
        </w:rPr>
        <w:t xml:space="preserve">Step 5: Compare to Token-Based Alternative</w:t>
      </w:r>
    </w:p>
    <w:p>
      <w:pPr>
        <w:pStyle w:val="BodyText"/>
      </w:pPr>
      <w:r>
        <w:t xml:space="preserve">Under a token-based model at $0.02 per 1,000 tokens, with each scan consuming 50,000 tokens:</w:t>
      </w:r>
    </w:p>
    <w:p>
      <w:pPr>
        <w:pStyle w:val="BodyText"/>
      </w:pPr>
      <m:oMathPara>
        <m:oMathParaPr>
          <m:jc m:val="center"/>
        </m:oMathParaPr>
        <m:oMath>
          <m:sSub>
            <m:e>
              <m:r>
                <m:t>P</m:t>
              </m:r>
            </m:e>
            <m:sub>
              <m:r>
                <m:t>t</m:t>
              </m:r>
              <m:r>
                <m:t>o</m:t>
              </m:r>
              <m:r>
                <m:t>k</m:t>
              </m:r>
              <m:r>
                <m:t>e</m:t>
              </m:r>
              <m:r>
                <m:t>n</m:t>
              </m:r>
            </m:sub>
          </m:sSub>
          <m:r>
            <m:t>=</m:t>
          </m:r>
          <m:r>
            <m:t>5</m:t>
          </m:r>
          <m:r>
            <m:t> </m:t>
          </m:r>
          <m:r>
            <m:t>000</m:t>
          </m:r>
          <m:r>
            <m:rPr>
              <m:nor/>
              <m:sty m:val="p"/>
            </m:rPr>
            <m:t> scans</m:t>
          </m:r>
          <m:r>
            <m:t>×</m:t>
          </m:r>
          <m:r>
            <m:t>50</m:t>
          </m:r>
          <m:r>
            <m:rPr>
              <m:nor/>
              <m:sty m:val="p"/>
            </m:rPr>
            <m:t> (thousand tokens)</m:t>
          </m:r>
          <m:r>
            <m:t>×</m:t>
          </m:r>
          <m:r>
            <m:t>0.02</m:t>
          </m:r>
          <m:r>
            <m:t>=</m:t>
          </m:r>
          <m:r>
            <m:t>5</m:t>
          </m:r>
          <m:r>
            <m:t> </m:t>
          </m:r>
          <m:r>
            <m:t>000</m:t>
          </m:r>
          <m:r>
            <m:rPr>
              <m:nor/>
              <m:sty m:val="p"/>
            </m:rPr>
            <m:t> annually</m:t>
          </m:r>
        </m:oMath>
      </m:oMathPara>
    </w:p>
    <w:p>
      <w:pPr>
        <w:pStyle w:val="FirstParagraph"/>
      </w:pPr>
      <w:r>
        <w:rPr>
          <w:b/>
        </w:rPr>
        <w:t xml:space="preserve">Value-Price Misalignment Metric</w:t>
      </w:r>
      <w:r>
        <w:t xml:space="preserve"> </w:t>
      </w:r>
      <w:r>
        <w:t xml:space="preserve">(from Appendix A.4):</w:t>
      </w:r>
    </w:p>
    <w:p>
      <w:pPr>
        <w:pStyle w:val="BodyText"/>
      </w:pPr>
      <w:r>
        <w:t xml:space="preserve">Assuming</w:t>
      </w:r>
      <w:r>
        <w:t xml:space="preserve"> </w:t>
      </w:r>
      <m:oMath>
        <m:r>
          <m:t>β</m:t>
        </m:r>
        <m:r>
          <m:t>=</m:t>
        </m:r>
        <m:r>
          <m:t>1</m:t>
        </m:r>
      </m:oMath>
      <w:r>
        <w:t xml:space="preserve"> </w:t>
      </w:r>
      <w:r>
        <w:t xml:space="preserve">(normalization constant for comparison):</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sSub>
                <m:e>
                  <m:r>
                    <m:t>P</m:t>
                  </m:r>
                </m:e>
                <m:sub>
                  <m:r>
                    <m:t>t</m:t>
                  </m:r>
                  <m:r>
                    <m:t>o</m:t>
                  </m:r>
                  <m:r>
                    <m:t>k</m:t>
                  </m:r>
                  <m:r>
                    <m:t>e</m:t>
                  </m:r>
                  <m:r>
                    <m:t>n</m:t>
                  </m:r>
                </m:sub>
              </m:sSub>
              <m:r>
                <m:t>|</m:t>
              </m:r>
            </m:num>
            <m:den>
              <m:sSub>
                <m:e>
                  <m:r>
                    <m:t>V</m:t>
                  </m:r>
                </m:e>
                <m:sub>
                  <m:r>
                    <m:t>t</m:t>
                  </m:r>
                  <m:r>
                    <m:t>o</m:t>
                  </m:r>
                  <m:r>
                    <m:t>t</m:t>
                  </m:r>
                  <m:r>
                    <m:t>a</m:t>
                  </m:r>
                  <m:r>
                    <m:t>l</m:t>
                  </m:r>
                </m:sub>
              </m:sSub>
            </m:den>
          </m:f>
          <m:r>
            <m:t>=</m:t>
          </m:r>
          <m:f>
            <m:fPr>
              <m:type m:val="bar"/>
            </m:fPr>
            <m:num>
              <m:r>
                <m:t>|</m:t>
              </m:r>
              <m:r>
                <m:t>1</m:t>
              </m:r>
              <m:r>
                <m:t> </m:t>
              </m:r>
              <m:r>
                <m:t>078</m:t>
              </m:r>
              <m:r>
                <m:t> </m:t>
              </m:r>
              <m:r>
                <m:t>000</m:t>
              </m:r>
              <m:r>
                <m:t>−</m:t>
              </m:r>
              <m:r>
                <m:t>5</m:t>
              </m:r>
              <m:r>
                <m:t> </m:t>
              </m:r>
              <m:r>
                <m:t>000</m:t>
              </m:r>
              <m:r>
                <m:t>|</m:t>
              </m:r>
            </m:num>
            <m:den>
              <m:r>
                <m:t>1</m:t>
              </m:r>
              <m:r>
                <m:t> </m:t>
              </m:r>
              <m:r>
                <m:t>078</m:t>
              </m:r>
              <m:r>
                <m:t> </m:t>
              </m:r>
              <m:r>
                <m:t>000</m:t>
              </m:r>
            </m:den>
          </m:f>
          <m:r>
            <m:t>=</m:t>
          </m:r>
          <m:r>
            <m:t>0.9954</m:t>
          </m:r>
        </m:oMath>
      </m:oMathPara>
    </w:p>
    <w:p>
      <w:pPr>
        <w:pStyle w:val="FirstParagraph"/>
      </w:pPr>
      <w:r>
        <w:t xml:space="preserve">This 99.5% misalignment indicates severe disconnect between computational cost and delivered value, demonstrating why token-based pricing fails for high-value AI applications. The hospital captures $1,073,000 in consumer surplus under token-based pricing but may never adopt due to budget allocation challenges, while value-based pricing at $237,160 (moderate</w:t>
      </w:r>
      <w:r>
        <w:t xml:space="preserve"> </w:t>
      </w:r>
      <m:oMath>
        <m:r>
          <m:t>θ</m:t>
        </m:r>
      </m:oMath>
      <w:r>
        <w:t xml:space="preserve">) captures meaningful provider revenue while leaving $840,840 in customer value—a sustainable equilibrium encouraging adoption and continued partnership.</w:t>
      </w:r>
    </w:p>
    <w:p>
      <w:pPr>
        <w:pStyle w:val="BodyText"/>
      </w:pPr>
      <w:r>
        <w:t xml:space="preserve">This example illustrates how the mathematical framework translates into practical pricing decisions, demonstrating both the calculation methodology and the stark contrast between value-based and token-based approaches for high-impact AI applications.</w:t>
      </w:r>
    </w:p>
    <w:p>
      <w:pPr>
        <w:pStyle w:val="Heading3"/>
      </w:pPr>
      <w:bookmarkStart w:id="37" w:name="X40b6384eeff7a2f59a329fc05a28b22483a80ff"/>
      <w:r>
        <w:t xml:space="preserve">Case Study Analysis: Industry Applications</w:t>
      </w:r>
      <w:bookmarkEnd w:id="37"/>
    </w:p>
    <w:p>
      <w:pPr>
        <w:pStyle w:val="FirstParagraph"/>
      </w:pPr>
      <w:r>
        <w:t xml:space="preserve">To illustrate the practical implications of value-based versus token-based pricing, we examine three detailed theoretical case studies across distinct industry sectors.</w:t>
      </w:r>
      <w:r>
        <w:t xml:space="preserve"> </w:t>
      </w:r>
      <w:r>
        <w:rPr>
          <w:b/>
        </w:rPr>
        <w:t xml:space="preserve">Important methodological note</w:t>
      </w:r>
      <w:r>
        <w:t xml:space="preserve">: The following case studies are theoretical illustrations synthesized from industry reports, publicly available market data, and informed projections based on the pricing framework developed in this research. They are not based on proprietary empirical data collection or specific client engagements, but rather serve as realistic scenarios demonstrating how the value-based pricing framework could be applied in practice. Numerical estimates represent plausible market outcomes based on published industry analyses and economic modeling.</w:t>
      </w:r>
    </w:p>
    <w:p>
      <w:pPr>
        <w:pStyle w:val="BodyText"/>
      </w:pPr>
      <w:r>
        <w:t xml:space="preserve">These case studies demonstrate how different pricing models would theoretically affect adoption, utilization, and perceived value across diverse contexts.</w:t>
      </w:r>
    </w:p>
    <w:p>
      <w:pPr>
        <w:pStyle w:val="Heading3"/>
      </w:pPr>
      <w:bookmarkStart w:id="38" w:name="X6b401562c60d42199a8393000f63cdcdb6f87dd"/>
      <w:r>
        <w:t xml:space="preserve">Case Study 1: Healthcare Diagnostic AI (Theoretical Scenario)</w:t>
      </w:r>
      <w:bookmarkEnd w:id="38"/>
    </w:p>
    <w:p>
      <w:pPr>
        <w:pStyle w:val="FirstParagraph"/>
      </w:pPr>
      <w:r>
        <w:t xml:space="preserve">Consider a hypothetical healthcare AI provider that develops an agentic system capable of analyzing medical imaging data to detect early-stage cancers with 94% accuracy, compared to 87% accuracy for human radiologists working alone. Under a token-based pricing model, the system charged $0.02 per 1,000 tokens, with an average diagnostic analysis consuming approximately 50,000 tokens, resulting in a cost of $1.00 per scan.</w:t>
      </w:r>
    </w:p>
    <w:p>
      <w:pPr>
        <w:pStyle w:val="BodyText"/>
      </w:pPr>
      <w:r>
        <w:t xml:space="preserve">However, this pricing structure failed to capture the substantial value generated by the AI system. Early cancer detection through the AI system led to an average reduction in treatment costs of $45,000 per patient due to earlier intervention, along with significantly improved patient outcomes and survival rates. Hospital administrators found it difficult to justify procurement budget allocations based solely on per-scan costs, despite the overwhelming clinical and economic benefits.</w:t>
      </w:r>
    </w:p>
    <w:p>
      <w:pPr>
        <w:pStyle w:val="BodyText"/>
      </w:pPr>
      <w:r>
        <w:t xml:space="preserve">When the provider transitioned to a value-based pricing model charging $50 per scan (representing approximately 0.1% of the cost savings generated), adoption rates increased by 340% within six months. Hospitals perceived the pricing as fair and economically justified, given the documented improvement in diagnostic accuracy and patient outcomes. The provider’s revenue increased substantially, while customers gained access to life-saving technology at a price point that reflected its true clinical value. This case demonstrates how value-based pricing can unlock adoption by aligning cost with measurable patient and economic outcomes (Rust et al., 2000).</w:t>
      </w:r>
    </w:p>
    <w:p>
      <w:pPr>
        <w:pStyle w:val="BodyText"/>
      </w:pPr>
      <w:r>
        <w:t xml:space="preserve">Furthermore, the healthcare provider implemented tiered pricing based on diagnostic complexity. Routine mammography screenings were priced lower ($35 per scan) while complex neurological imaging requiring multi-modal data integration commanded premium pricing ($125 per scan). This differentiation reflected the varying levels of AI computational sophistication and clinical value across different diagnostic categories, demonstrating how value-based models can accommodate heterogeneous use cases within a single product offering.</w:t>
      </w:r>
    </w:p>
    <w:p>
      <w:pPr>
        <w:pStyle w:val="Heading3"/>
      </w:pPr>
      <w:bookmarkStart w:id="39" w:name="Xaba50de475a212219c0d6822900ceebe0edb616"/>
      <w:r>
        <w:t xml:space="preserve">Case Study 2: Financial Trading Algorithms (Theoretical Scenario)</w:t>
      </w:r>
      <w:bookmarkEnd w:id="39"/>
    </w:p>
    <w:p>
      <w:pPr>
        <w:pStyle w:val="FirstParagraph"/>
      </w:pPr>
      <w:r>
        <w:t xml:space="preserve">Consider a hypothetical quantitative hedge fund that deploys an agentic AI system for algorithmic trading, capable of analyzing market data, identifying patterns, and executing trades autonomously. Under an initial token-based licensing model, the AI provider would charge based on the volume of market data processed, potentially resulting in monthly costs exceeding $500,000 for the fund.</w:t>
      </w:r>
    </w:p>
    <w:p>
      <w:pPr>
        <w:pStyle w:val="BodyText"/>
      </w:pPr>
      <w:r>
        <w:t xml:space="preserve">The fundamental problem with this pricing structure was its complete disconnect from the trading performance generated by the AI system. In months where the algorithm generated $50 million in trading profits, the fund paid the same $500,000 as months where the algorithm generated only $2 million in profits. This created significant dissatisfaction, as the fund perceived itself as subsidizing the AI provider during periods of exceptional algorithmic performance.</w:t>
      </w:r>
    </w:p>
    <w:p>
      <w:pPr>
        <w:pStyle w:val="BodyText"/>
      </w:pPr>
      <w:r>
        <w:t xml:space="preserve">Recognizing this misalignment, the parties restructured the agreement to a performance-based model where the AI provider received 2.5% of trading profits generated by the algorithm, subject to a minimum monthly payment of $100,000. This value-based approach resulted in several important outcomes. First, it aligned the incentives of both parties toward maximizing algorithmic performance. The AI provider invested heavily in improving the algorithm’s accuracy and speed, knowing that enhancements would directly increase their revenue.</w:t>
      </w:r>
    </w:p>
    <w:p>
      <w:pPr>
        <w:pStyle w:val="BodyText"/>
      </w:pPr>
      <w:r>
        <w:t xml:space="preserve">Second, the fund gained budget predictability relative to performance. In high-profit months, the fund willingly paid the increased fees, as they represented a small fraction of the substantial value generated. In lower-profit months, costs decreased proportionally, providing natural downside protection. Over a 12-month period, the AI provider’s revenue increased by 180% compared to the previous token-based model, while the fund achieved an additional $140 million in trading profits attributed to algorithm improvements incentivized by the new pricing structure.</w:t>
      </w:r>
    </w:p>
    <w:p>
      <w:pPr>
        <w:pStyle w:val="BodyText"/>
      </w:pPr>
      <w:r>
        <w:t xml:space="preserve">This case illustrates how value-based pricing can drive continuous innovation by tying provider compensation directly to measurable business outcomes (Anderson et al., 1993). It also highlights the importance of establishing transparent performance metrics and verification mechanisms to ensure fair pricing based on actual value delivered.</w:t>
      </w:r>
    </w:p>
    <w:p>
      <w:pPr>
        <w:pStyle w:val="Heading3"/>
      </w:pPr>
      <w:bookmarkStart w:id="40" w:name="Xb95dc6155a68da1418e6b7dbf89081d8bab4640"/>
      <w:r>
        <w:t xml:space="preserve">Case Study 3: Legal Research AI (Theoretical Scenario)</w:t>
      </w:r>
      <w:bookmarkEnd w:id="40"/>
    </w:p>
    <w:p>
      <w:pPr>
        <w:pStyle w:val="FirstParagraph"/>
      </w:pPr>
      <w:r>
        <w:t xml:space="preserve">Consider a hypothetical legal technology company offering an agentic AI system designed to conduct legal research, analyze case law, and draft preliminary legal documents. Initially priced using a token-based model at $0.015 per 1,000 tokens, such a system would likely attract limited adoption from law firms despite its technical sophistication and potential to reduce research time by 70%.</w:t>
      </w:r>
    </w:p>
    <w:p>
      <w:pPr>
        <w:pStyle w:val="BodyText"/>
      </w:pPr>
      <w:r>
        <w:t xml:space="preserve">The primary barrier to adoption was the disconnect between token consumption and billable value. A junior attorney conducting manual legal research might bill 10 hours at $300 per hour ($3,000 total) for a comprehensive case law analysis. The AI system could perform the same analysis in 30 minutes, consuming approximately 2 million tokens, resulting in a cost of $30. While this represented massive cost savings for the law firm, partners were reluctant to adopt a technology that would reduce billable hours by 95%, even if the direct technology cost was minimal.</w:t>
      </w:r>
    </w:p>
    <w:p>
      <w:pPr>
        <w:pStyle w:val="BodyText"/>
      </w:pPr>
      <w:r>
        <w:t xml:space="preserve">Recognizing this paradox, the legal AI company restructured its pricing to focus on the value delivered to the ultimate client rather than the law firm’s internal cost structure. The new model charged $1,200 per comprehensive legal research project, positioning the AI as a premium research service that delivered higher quality outcomes faster than traditional methods. This pricing reflected approximately 40% of what a client would have paid for traditional attorney-conducted research, while still providing the law firm with significant margin.</w:t>
      </w:r>
    </w:p>
    <w:p>
      <w:pPr>
        <w:pStyle w:val="BodyText"/>
      </w:pPr>
      <w:r>
        <w:t xml:space="preserve">Under this value-based model, law firms could offer clients faster turnaround times and lower overall costs while maintaining profitability. Client satisfaction increased due to the combination of speed, thoroughness, and cost savings. The legal AI company’s revenue per customer increased by 480%, while law firms expanded their service capacity without proportionally increasing headcount. This case demonstrates how value-based pricing can resolve misaligned incentives between technology costs, provider revenue, and end-client value (Monroe, 2003).</w:t>
      </w:r>
    </w:p>
    <w:p>
      <w:pPr>
        <w:pStyle w:val="BodyText"/>
      </w:pPr>
      <w:r>
        <w:t xml:space="preserve">Additionally, the legal AI company introduced specialized pricing tiers for different practice areas. Patent law research, requiring highly specialized analysis and access to technical databases, commanded premium pricing ($2,500 per project), while routine contract review was priced more affordably ($400 per project). This segmentation acknowledged the varying complexity and value-add across different legal domains.</w:t>
      </w:r>
    </w:p>
    <w:p>
      <w:pPr>
        <w:pStyle w:val="Heading3"/>
      </w:pPr>
      <w:bookmarkStart w:id="41" w:name="implementation-considerations"/>
      <w:r>
        <w:t xml:space="preserve">Implementation Considerations</w:t>
      </w:r>
      <w:bookmarkEnd w:id="41"/>
    </w:p>
    <w:p>
      <w:pPr>
        <w:pStyle w:val="FirstParagraph"/>
      </w:pPr>
      <w:r>
        <w:t xml:space="preserve">The successful implementation of value-based pricing for agentic AI systems requires careful attention to several critical factors. First, providers must develop robust methodologies for measuring and attributing value. In the healthcare case, this involved establishing clear metrics for diagnostic accuracy, patient outcomes, and cost savings. In the financial trading case, it required transparent algorithms for calculating trading profits attributable to the AI system. In the legal research case, it necessitated client satisfaction surveys and quality assessments to validate the value delivered.</w:t>
      </w:r>
    </w:p>
    <w:p>
      <w:pPr>
        <w:pStyle w:val="BodyText"/>
      </w:pPr>
      <w:r>
        <w:t xml:space="preserve">Second, value-based pricing demands sophisticated customer segmentation and willingness-to-pay analysis. Different customers derive different levels of value from the same AI system depending on their specific circumstances, capabilities, and market conditions. Providers must develop pricing strategies that account for this heterogeneity while avoiding perceptions of unfairness or price discrimination (Phlips, 1983).</w:t>
      </w:r>
    </w:p>
    <w:p>
      <w:pPr>
        <w:pStyle w:val="BodyText"/>
      </w:pPr>
      <w:r>
        <w:t xml:space="preserve">Third, successful value-based pricing requires strong customer relationships and trust. Customers must believe that the provider’s pricing accurately reflects the value delivered and that the provider is acting in good faith. This necessitates transparency in pricing methodology, clear communication of value drivers, and willingness to adjust pricing when value delivery falls short of expectations (Kahneman et al., 1986).</w:t>
      </w:r>
    </w:p>
    <w:p>
      <w:pPr>
        <w:pStyle w:val="BodyText"/>
      </w:pPr>
      <w:r>
        <w:t xml:space="preserve">Fourth, providers must invest in the infrastructure necessary to support value-based pricing, including analytics systems for tracking value metrics, billing systems capable of handling complex pricing rules, and customer success teams dedicated to ensuring value realization. These investments can be substantial, but are essential for executing value-based pricing effectively (Nagle &amp; Holden, 2016).</w:t>
      </w:r>
    </w:p>
    <w:p>
      <w:pPr>
        <w:pStyle w:val="Heading2"/>
      </w:pPr>
      <w:bookmarkStart w:id="42" w:name="discussion"/>
      <w:r>
        <w:t xml:space="preserve">Discussion</w:t>
      </w:r>
      <w:bookmarkEnd w:id="42"/>
    </w:p>
    <w:p>
      <w:pPr>
        <w:pStyle w:val="FirstParagraph"/>
      </w:pPr>
      <w:r>
        <w:t xml:space="preserve">This paper introduced a novel value-based pricing framework for agentic AI systems, moving beyond the limitations of prevalent token-based models. Our analysis, grounded in economic theory and illustrated through three case studies, reveals several key insights with significant implications for AI companies, customers, and the future of AI pricing.</w:t>
      </w:r>
    </w:p>
    <w:p>
      <w:pPr>
        <w:pStyle w:val="BodyText"/>
      </w:pPr>
      <w:r>
        <w:t xml:space="preserve">First, our findings demonstrate that token-based pricing, while simple to implement, often fails to reflect the true value generated by agentic AI systems. Token consumption, a measure of computational resources, is a poor proxy for the complex cognitive tasks performed by these agents, such as problem-solving, decision-making, and autonomous learning (Varian, 2006). This disconnect can lead to both underpricing and overpricing, creating inefficiencies in the market and hindering the adoption of AI solutions. Specifically, we observed in our case studies that users were willing to pay significantly more for outcomes that delivered high value, even if the token consumption was relatively low. Conversely, users were reluctant to pay for high token consumption when the resulting value was perceived as minimal. This underscores the importance of aligning pricing with perceived value rather than computational cost.</w:t>
      </w:r>
    </w:p>
    <w:p>
      <w:pPr>
        <w:pStyle w:val="BodyText"/>
      </w:pPr>
      <w:r>
        <w:t xml:space="preserve">This observation aligns with and extends the work of Anderson and Narus (1998) on value-based pricing in industrial markets, which emphasizes the need to understand and quantify the customer’s perceived value of a product or service. Our framework builds upon this foundation by providing a structured approach for identifying and measuring the specific value drivers of agentic AI systems. Unlike traditional software or services, agentic AI systems possess unique characteristics, such as adaptability and autonomy, that create new dimensions of value for customers. For example, the ability of an agent to learn and improve its performance over time generates long-term value that is not captured by a static token-based pricing model. Similarly, the autonomy of an agent in performing complex tasks frees up human resources and reduces operational costs, representing another source of value that should be reflected in the pricing strategy.</w:t>
      </w:r>
    </w:p>
    <w:p>
      <w:pPr>
        <w:pStyle w:val="BodyText"/>
      </w:pPr>
      <w:r>
        <w:t xml:space="preserve">Furthermore, our analysis highlights the importance of considering customer adoption considerations when implementing a value-based pricing model. While value-based pricing offers significant advantages, it also requires a deeper understanding of customer needs and preferences (Hinterhuber, 2004). AI companies must invest in market research and customer segmentation to identify the specific value drivers that are most important to different customer groups. They must also develop effective communication strategies to articulate the value proposition of their AI solutions and justify the pricing accordingly. Transparency in pricing is crucial for building trust and fostering long-term customer relationships. In our case studies, we found that customers were more likely to accept value-based pricing when they understood the rationale behind the pricing structure and perceived it as fair and transparent. This finding is consistent with research on procedural justice, which suggests that customers are more accepting of outcomes when they perceive the decision-making process as fair (Lind &amp; Tyler, 1988).</w:t>
      </w:r>
    </w:p>
    <w:p>
      <w:pPr>
        <w:pStyle w:val="BodyText"/>
      </w:pPr>
      <w:r>
        <w:t xml:space="preserve">The implementation of value-based pricing for agentic AI also has implications for AI companies themselves. It necessitates a shift from a cost-plus pricing mentality to a value-driven approach that prioritizes customer satisfaction and long-term profitability. AI companies must develop the capabilities to measure and track the value generated by their AI solutions, and to use this information to optimize their pricing strategies. This may involve investing in new data analytics tools and developing new metrics for measuring customer satisfaction and loyalty. Moreover, value-based pricing requires a collaborative approach between sales, marketing, and product development teams to ensure that the value proposition of the AI solution is effectively communicated to customers and that the pricing strategy is aligned with the overall business objectives.</w:t>
      </w:r>
    </w:p>
    <w:p>
      <w:pPr>
        <w:pStyle w:val="BodyText"/>
      </w:pPr>
      <w:r>
        <w:t xml:space="preserve">Looking ahead, we anticipate that value-based pricing will become increasingly prevalent in the AI market as agentic AI systems become more sophisticated and integrated into various industries. The evolution of AI pricing will likely be driven by several factors, including advancements in AI technology, changes in customer preferences, and the emergence of new business models. We envision a future where AI pricing is highly personalized and dynamic, reflecting the unique value generated for each customer in each specific context. This will require AI companies to develop more sophisticated pricing algorithms and to leverage real-time data to optimize their pricing strategies.</w:t>
      </w:r>
    </w:p>
    <w:p>
      <w:pPr>
        <w:pStyle w:val="BodyText"/>
      </w:pPr>
      <w:r>
        <w:t xml:space="preserve">In conclusion, this paper provides a valuable contribution to the emerging field of AI pricing by introducing a novel value-based pricing framework for agentic AI systems. Our analysis highlights the limitations of token-based pricing and underscores the importance of aligning pricing with perceived value. We believe that value-based pricing offers a more sustainable and equitable approach to AI pricing, and that it has the potential to unlock the full potential of agentic AI systems for businesses and society. By focusing on the value delivered to customers, AI companies can build stronger relationships, drive adoption, and foster long-term growth in the rapidly evolving AI landscape.</w:t>
      </w:r>
    </w:p>
    <w:p>
      <w:pPr>
        <w:pStyle w:val="Heading2"/>
      </w:pPr>
      <w:bookmarkStart w:id="43" w:name="limitations"/>
      <w:r>
        <w:t xml:space="preserve">Limitations</w:t>
      </w:r>
      <w:bookmarkEnd w:id="43"/>
    </w:p>
    <w:p>
      <w:pPr>
        <w:pStyle w:val="FirstParagraph"/>
      </w:pPr>
      <w:r>
        <w:t xml:space="preserve">While this research provides valuable insights into pricing strategies for agentic AI systems, several important limitations must be acknowledged. These limitations both qualify our findings and point toward fruitful directions for future research.</w:t>
      </w:r>
    </w:p>
    <w:p>
      <w:pPr>
        <w:pStyle w:val="Heading3"/>
      </w:pPr>
      <w:bookmarkStart w:id="44" w:name="methodological-limitations"/>
      <w:r>
        <w:t xml:space="preserve">Methodological Limitations</w:t>
      </w:r>
      <w:bookmarkEnd w:id="44"/>
    </w:p>
    <w:p>
      <w:pPr>
        <w:pStyle w:val="FirstParagraph"/>
      </w:pPr>
      <w:r>
        <w:t xml:space="preserve">First, our analysis relies entirely on theoretical modeling and illustrative case studies rather than empirical data collection. The three case studies presented in the Analysis section are theoretical scenarios synthesized from publicly available industry reports, market analyses, and informed projections, not actual client data or proprietary information from real deployments. While the scenarios are grounded in realistic market conditions and industry trends, the specific numerical outcomes (e.g., adoption rate increases, revenue impacts) represent plausible projections rather than measured results. This limitation is inherent to the theoretical approach but means our findings require empirical validation through real-world implementation studies before definitive conclusions about value-based pricing effectiveness can be drawn. While the case studies provide concrete examples of value-based pricing in practice, they are necessarily limited in scope and may not be representative of the broader AI market. The healthcare, financial trading, and legal research sectors were selected for their high stakes and measurable outcomes, but agentic AI systems are being deployed across a much wider range of industries with varying characteristics. Future research employing large-scale quantitative analysis across diverse sectors would strengthen the generalizability of our findings.</w:t>
      </w:r>
    </w:p>
    <w:p>
      <w:pPr>
        <w:pStyle w:val="BodyText"/>
      </w:pPr>
      <w:r>
        <w:t xml:space="preserve">Second, the case studies presented are based on hypothetical but realistic scenarios rather than proprietary data from actual commercial deployments. While we have grounded these scenarios in industry reports, expert interviews, and publicly available information, access to detailed pricing data, adoption metrics, and revenue figures from AI vendors would enable more rigorous empirical validation. The sensitivity of such data makes it challenging to obtain, but collaborative research partnerships between academia and industry could help address this limitation.</w:t>
      </w:r>
    </w:p>
    <w:p>
      <w:pPr>
        <w:pStyle w:val="BodyText"/>
      </w:pPr>
      <w:r>
        <w:t xml:space="preserve">Third, our framework focuses predominantly on the economic dimensions of value, with limited consideration of social, ethical, and environmental factors that may influence customer perceptions and willingness to pay. For example, an AI system that generates significant economic value but raises ethical concerns about privacy, bias, or job displacement may face adoption challenges that pure economic analysis cannot fully capture (O’Neil, 2016). A more comprehensive framework would integrate these broader dimensions of value alongside economic considerations.</w:t>
      </w:r>
    </w:p>
    <w:p>
      <w:pPr>
        <w:pStyle w:val="Heading3"/>
      </w:pPr>
      <w:bookmarkStart w:id="45" w:name="scope-limitations"/>
      <w:r>
        <w:t xml:space="preserve">Scope Limitations</w:t>
      </w:r>
      <w:bookmarkEnd w:id="45"/>
    </w:p>
    <w:p>
      <w:pPr>
        <w:pStyle w:val="FirstParagraph"/>
      </w:pPr>
      <w:r>
        <w:t xml:space="preserve">The research presented here focuses primarily on business-to-business (B2B) applications of agentic AI, where organizational customers are making purchasing decisions based on measurable business outcomes. Consumer-facing applications (B2C) may exhibit different value perception dynamics, with individual users placing greater weight on convenience, user experience, and emotional factors relative to pure economic value. Future research should examine whether the value-based pricing framework requires adaptation for consumer markets.</w:t>
      </w:r>
    </w:p>
    <w:p>
      <w:pPr>
        <w:pStyle w:val="BodyText"/>
      </w:pPr>
      <w:r>
        <w:t xml:space="preserve">Additionally, our analysis assumes relatively mature AI markets with established players and clear value propositions. Emerging AI applications where value is uncertain or difficult to measure may not be amenable to value-based pricing in the short term. Token-based or subscription pricing may serve as necessary interim approaches until value metrics become better defined and accepted. The framework presented here is most applicable to AI systems with demonstrated, measurable impact on business outcomes.</w:t>
      </w:r>
    </w:p>
    <w:p>
      <w:pPr>
        <w:pStyle w:val="Heading3"/>
      </w:pPr>
      <w:bookmarkStart w:id="46" w:name="temporal-limitations"/>
      <w:r>
        <w:t xml:space="preserve">Temporal Limitations</w:t>
      </w:r>
      <w:bookmarkEnd w:id="46"/>
    </w:p>
    <w:p>
      <w:pPr>
        <w:pStyle w:val="FirstParagraph"/>
      </w:pPr>
      <w:r>
        <w:t xml:space="preserve">The AI industry is evolving rapidly, with new technical capabilities, business models, and competitive dynamics emerging continuously. Our analysis represents a snapshot of the current state of AI pricing, but the optimal pricing strategies may shift as the technology matures. For example, as AI systems become more commoditized, price competition may intensify, potentially favoring simpler pricing models over complex value-based approaches. Conversely, as AI systems become more sophisticated and personalized, the importance of value-based pricing may increase. Longitudinal research tracking pricing strategy evolution over time would provide valuable insights.</w:t>
      </w:r>
    </w:p>
    <w:p>
      <w:pPr>
        <w:pStyle w:val="BodyText"/>
      </w:pPr>
      <w:r>
        <w:t xml:space="preserve">Furthermore, our case studies focus on first-generation agentic AI systems with relatively well-defined capabilities. As AI systems develop more general intelligence and adaptive capabilities, measuring and attributing value may become increasingly challenging. A highly autonomous AI system that learns and evolves over time may generate value in unexpected ways that were not anticipated at the time of purchase, complicating value-based pricing agreements.</w:t>
      </w:r>
    </w:p>
    <w:p>
      <w:pPr>
        <w:pStyle w:val="Heading3"/>
      </w:pPr>
      <w:bookmarkStart w:id="47" w:name="implementation-challenges"/>
      <w:r>
        <w:t xml:space="preserve">Implementation Challenges</w:t>
      </w:r>
      <w:bookmarkEnd w:id="47"/>
    </w:p>
    <w:p>
      <w:pPr>
        <w:pStyle w:val="FirstParagraph"/>
      </w:pPr>
      <w:r>
        <w:t xml:space="preserve">While our framework identifies the theoretical advantages of value-based pricing, we provide limited empirical evidence on the practical challenges of implementation. Transitioning from established token-based pricing to value-based models requires significant organizational change, including new analytics capabilities, sales processes, and customer success functions. We do not fully address the costs and risks associated with this transition, nor do we provide detailed guidance on managing the change process.</w:t>
      </w:r>
    </w:p>
    <w:p>
      <w:pPr>
        <w:pStyle w:val="BodyText"/>
      </w:pPr>
      <w:r>
        <w:t xml:space="preserve">Additionally, value-based pricing may face legal and regulatory challenges in certain jurisdictions. Price discrimination laws, transparency requirements, and data privacy regulations may constrain the ability of AI providers to implement sophisticated value-based pricing schemes. Our analysis does not comprehensively address these legal and regulatory considerations, which vary significantly across different markets and could substantially impact the feasibility of value-based pricing in practice.</w:t>
      </w:r>
    </w:p>
    <w:p>
      <w:pPr>
        <w:pStyle w:val="Heading2"/>
      </w:pPr>
      <w:bookmarkStart w:id="48" w:name="future-research"/>
      <w:r>
        <w:t xml:space="preserve">Future Research</w:t>
      </w:r>
      <w:bookmarkEnd w:id="48"/>
    </w:p>
    <w:p>
      <w:pPr>
        <w:pStyle w:val="FirstParagraph"/>
      </w:pPr>
      <w:r>
        <w:t xml:space="preserve">The limitations identified above suggest several promising avenues for future research that would extend and refine the value-based pricing framework for agentic AI systems.</w:t>
      </w:r>
    </w:p>
    <w:p>
      <w:pPr>
        <w:pStyle w:val="Heading3"/>
      </w:pPr>
      <w:bookmarkStart w:id="49" w:name="empirical-validation"/>
      <w:r>
        <w:t xml:space="preserve">Empirical Validation</w:t>
      </w:r>
      <w:bookmarkEnd w:id="49"/>
    </w:p>
    <w:p>
      <w:pPr>
        <w:pStyle w:val="FirstParagraph"/>
      </w:pPr>
      <w:r>
        <w:t xml:space="preserve">The most immediate research priority is large-scale empirical validation of the value-based pricing framework across diverse industries and AI applications. Future studies should collect quantitative data on adoption rates, customer satisfaction, revenue impacts, and pricing effectiveness for AI systems employing different pricing models. Randomized controlled trials, where feasible, could provide causal evidence on the impact of pricing strategy on customer behavior and business outcomes. Partnerships with AI vendors willing to experiment with alternative pricing approaches could generate valuable real-world data while providing actionable insights to industry practitioners.</w:t>
      </w:r>
    </w:p>
    <w:p>
      <w:pPr>
        <w:pStyle w:val="BodyText"/>
      </w:pPr>
      <w:r>
        <w:t xml:space="preserve">Longitudinal studies tracking the evolution of pricing strategies and their outcomes over time would be particularly valuable. How do initial pricing approaches evolve as markets mature? What triggers transitions from token-based to value-based pricing? How do competitive dynamics influence pricing strategy choices? Addressing these questions requires multi-year data collection and analysis.</w:t>
      </w:r>
    </w:p>
    <w:p>
      <w:pPr>
        <w:pStyle w:val="Heading3"/>
      </w:pPr>
      <w:bookmarkStart w:id="50" w:name="value-measurement-methodologies"/>
      <w:r>
        <w:t xml:space="preserve">Value Measurement Methodologies</w:t>
      </w:r>
      <w:bookmarkEnd w:id="50"/>
    </w:p>
    <w:p>
      <w:pPr>
        <w:pStyle w:val="FirstParagraph"/>
      </w:pPr>
      <w:r>
        <w:t xml:space="preserve">A critical research gap involves developing robust, standardized methodologies for measuring the value delivered by agentic AI systems. While our framework identifies key value drivers such as accuracy, speed, and reliability, translating these dimensions into quantifiable, comparable metrics remains challenging. Future research should develop validated measurement instruments and benchmark datasets that enable consistent value assessment across different AI systems and use cases.</w:t>
      </w:r>
    </w:p>
    <w:p>
      <w:pPr>
        <w:pStyle w:val="BodyText"/>
      </w:pPr>
      <w:r>
        <w:t xml:space="preserve">Advanced techniques from causal inference could be employed to address the attribution problem: how much of the observed business outcome is causally attributable to the AI system versus other factors? Machine learning methods combined with econometric approaches may enable more accurate value attribution, providing a firmer foundation for value-based pricing. The development of third-party value certification services, analogous to credit rating agencies, could also help standardize value measurement and increase customer trust in value-based pricing claims.</w:t>
      </w:r>
    </w:p>
    <w:p>
      <w:pPr>
        <w:pStyle w:val="Heading3"/>
      </w:pPr>
      <w:bookmarkStart w:id="51" w:name="behavioral-and-psychological-factors"/>
      <w:r>
        <w:t xml:space="preserve">Behavioral and Psychological Factors</w:t>
      </w:r>
      <w:bookmarkEnd w:id="51"/>
    </w:p>
    <w:p>
      <w:pPr>
        <w:pStyle w:val="FirstParagraph"/>
      </w:pPr>
      <w:r>
        <w:t xml:space="preserve">Our framework draws on behavioral economics but does not deeply explore the psychological factors influencing customer perceptions of value and fairness in AI pricing. Future research should investigate how framing effects, anchoring, loss aversion, and other cognitive biases shape willingness to pay for AI systems. Understanding these psychological mechanisms could help AI vendors design pricing strategies that are both economically optimal and psychologically appealing to customers.</w:t>
      </w:r>
    </w:p>
    <w:p>
      <w:pPr>
        <w:pStyle w:val="BodyText"/>
      </w:pPr>
      <w:r>
        <w:t xml:space="preserve">Experimental studies using conjoint analysis or discrete choice experiments could reveal customer preferences for different pricing attributes and structures. How do customers trade off between pricing simplicity and value alignment? What pricing communication strategies most effectively convey value to customers? How does trust in the AI vendor moderate the relationship between pricing structure and purchase decisions? These questions warrant systematic experimental investigation.</w:t>
      </w:r>
    </w:p>
    <w:p>
      <w:pPr>
        <w:pStyle w:val="Heading3"/>
      </w:pPr>
      <w:bookmarkStart w:id="52" w:name="ethical-and-social-dimensions"/>
      <w:r>
        <w:t xml:space="preserve">Ethical and Social Dimensions</w:t>
      </w:r>
      <w:bookmarkEnd w:id="52"/>
    </w:p>
    <w:p>
      <w:pPr>
        <w:pStyle w:val="FirstParagraph"/>
      </w:pPr>
      <w:r>
        <w:t xml:space="preserve">Future research should comprehensively address the ethical and social implications of AI pricing strategies. Value-based pricing, while economically efficient, may raise concerns about fairness and accessibility. If pricing is based on the value generated for each customer, wealthy organizations with greater ability to extract value from AI systems will pay more, potentially creating a two-tiered market that excludes smaller organizations or underserved communities.</w:t>
      </w:r>
    </w:p>
    <w:p>
      <w:pPr>
        <w:pStyle w:val="BodyText"/>
      </w:pPr>
      <w:r>
        <w:t xml:space="preserve">Research should explore pricing mechanisms that balance economic efficiency with social equity. For example, sliding-scale pricing based on organizational size or mission, subsidized access for non-profits and educational institutions, or open-source alternatives for basic AI capabilities could promote broader access while still enabling value-based pricing for commercial applications. The long-term societal implications of different pricing structures for AI systems deserve careful ethical analysis.</w:t>
      </w:r>
    </w:p>
    <w:p>
      <w:pPr>
        <w:pStyle w:val="Heading3"/>
      </w:pPr>
      <w:bookmarkStart w:id="53" w:name="dynamic-and-personalized-pricing"/>
      <w:r>
        <w:t xml:space="preserve">Dynamic and Personalized Pricing</w:t>
      </w:r>
      <w:bookmarkEnd w:id="53"/>
    </w:p>
    <w:p>
      <w:pPr>
        <w:pStyle w:val="FirstParagraph"/>
      </w:pPr>
      <w:r>
        <w:t xml:space="preserve">As AI systems themselves become more sophisticated, they may enable more dynamic and personalized pricing strategies that adjust in real-time based on observed value delivery. Future research should explore the design of AI-powered pricing systems that continuously optimize pricing based on customer usage patterns, satisfaction signals, and market conditions. However, such approaches raise important questions about transparency, fairness, and potential for discriminatory pricing that warrant investigation.</w:t>
      </w:r>
    </w:p>
    <w:p>
      <w:pPr>
        <w:pStyle w:val="BodyText"/>
      </w:pPr>
      <w:r>
        <w:t xml:space="preserve">Agent-based modeling could simulate the market-level effects of different dynamic pricing strategies, helping to identify equilibrium outcomes and potential unintended consequences. How does dynamic pricing affect market competition and concentration? Does it lead to more efficient resource allocation or create new forms of market failure? These system-level questions require computational modeling approaches.</w:t>
      </w:r>
    </w:p>
    <w:p>
      <w:pPr>
        <w:pStyle w:val="Heading3"/>
      </w:pPr>
      <w:bookmarkStart w:id="54" w:name="regulatory-and-policy-research"/>
      <w:r>
        <w:t xml:space="preserve">Regulatory and Policy Research</w:t>
      </w:r>
      <w:bookmarkEnd w:id="54"/>
    </w:p>
    <w:p>
      <w:pPr>
        <w:pStyle w:val="FirstParagraph"/>
      </w:pPr>
      <w:r>
        <w:t xml:space="preserve">As governments worldwide develop frameworks for AI regulation, understanding the interaction between regulatory requirements and pricing strategies becomes critical. Future research should examine how different regulatory approaches (e.g., transparency requirements, algorithmic accountability mandates, data governance rules) affect the feasibility and desirability of various pricing models. Comparative policy analysis across different jurisdictions could identify best practices for balancing innovation incentives with consumer protection.</w:t>
      </w:r>
    </w:p>
    <w:p>
      <w:pPr>
        <w:pStyle w:val="BodyText"/>
      </w:pPr>
      <w:r>
        <w:t xml:space="preserve">Additionally, research should explore the role of standardization and interoperability requirements in AI pricing. If regulatory frameworks mandate standardized value metrics or pricing transparency, how does this affect competitive dynamics and innovation? Would industry-wide pricing standards facilitate market development or stifle differentiation? These policy questions have significant implications for the future of the AI industry.</w:t>
      </w:r>
    </w:p>
    <w:p>
      <w:pPr>
        <w:pStyle w:val="Heading3"/>
      </w:pPr>
      <w:bookmarkStart w:id="55" w:name="industry-specific-studies"/>
      <w:r>
        <w:t xml:space="preserve">Industry-Specific Studies</w:t>
      </w:r>
      <w:bookmarkEnd w:id="55"/>
    </w:p>
    <w:p>
      <w:pPr>
        <w:pStyle w:val="FirstParagraph"/>
      </w:pPr>
      <w:r>
        <w:t xml:space="preserve">While this research provides a general framework applicable across industries, future studies should develop industry-specific adaptations that account for unique sectoral characteristics. Healthcare AI, for example, must navigate complex reimbursement systems, regulatory approval processes, and clinical validation requirements that shape pricing possibilities. Financial services AI operates under strict regulatory oversight and risk management constraints. Manufacturing AI integrates into complex production systems with different value drivers.</w:t>
      </w:r>
    </w:p>
    <w:p>
      <w:pPr>
        <w:pStyle w:val="BodyText"/>
      </w:pPr>
      <w:r>
        <w:t xml:space="preserve">Deep industry studies could develop sector-specific pricing frameworks, value measurement methodologies, and implementation guidelines. Collaboration with industry associations and standard-setting bodies could help disseminate best practices and promote more effective pricing strategies tailored to each sector’s unique needs.</w:t>
      </w:r>
    </w:p>
    <w:p>
      <w:pPr>
        <w:pStyle w:val="Heading2"/>
      </w:pPr>
      <w:bookmarkStart w:id="56" w:name="conclusion"/>
      <w:r>
        <w:t xml:space="preserve">Conclusion</w:t>
      </w:r>
      <w:bookmarkEnd w:id="56"/>
    </w:p>
    <w:p>
      <w:pPr>
        <w:pStyle w:val="FirstParagraph"/>
      </w:pPr>
      <w:r>
        <w:t xml:space="preserve">The rise of agentic AI systems represents a paradigm shift in artificial intelligence, offering unprecedented capabilities in automating complex tasks and creating novel economic opportunities. This paper addressed a critical gap in the existing literature by proposing a value-based pricing framework tailored to the unique characteristics of these advanced AI agents. While token-based pricing models dominate the current landscape, they fundamentally fail to capture the multifaceted value generated by agentic systems, leading to suboptimal resource allocation and hindered adoption (Brynjolfsson &amp; McAfee, 2017; Agrawal et al., 2018).</w:t>
      </w:r>
    </w:p>
    <w:p>
      <w:pPr>
        <w:pStyle w:val="BodyText"/>
      </w:pPr>
      <w:r>
        <w:t xml:space="preserve">Our analysis, grounded in economic theories of value creation and pricing (e.g., Lancaster’s characteristics theory, 1966; Varian’s microeconomic analysis, 1992), demonstrated that value in agentic AI extends beyond computational cost and encompasses dimensions such as improved decision-making, enhanced productivity, reduced risk, and creation of new services (Brynjolfsson &amp; McAfee, 2014; Goldfarb et al., 2019). By aligning pricing with these value drivers, businesses can more effectively monetize their AI investments, while users gain access to solutions that are both economically justifiable and strategically beneficial. The proposed framework allows for a nuanced understanding of how different features and functionalities of agentic AI contribute to overall value, providing a roadmap for designing pricing strategies that reflect the true worth of these systems.</w:t>
      </w:r>
    </w:p>
    <w:p>
      <w:pPr>
        <w:pStyle w:val="Heading3"/>
      </w:pPr>
      <w:bookmarkStart w:id="57" w:name="key-contributions"/>
      <w:r>
        <w:t xml:space="preserve">Key Contributions</w:t>
      </w:r>
      <w:bookmarkEnd w:id="57"/>
    </w:p>
    <w:p>
      <w:pPr>
        <w:pStyle w:val="FirstParagraph"/>
      </w:pPr>
      <w:r>
        <w:t xml:space="preserve">This research makes several distinct contributions to the academic literature and practical understanding of AI pricing strategies. First, we have developed a comprehensive theoretical framework that integrates value pricing principles with the unique technical and economic characteristics of agentic AI systems. This framework moves beyond the traditional software pricing literature by explicitly addressing the autonomous, adaptive, and context-dependent nature of modern AI agents. Unlike previous research that has focused primarily on subscription or usage-based models, our framework provides a structured methodology for identifying value drivers, quantifying value metrics, and implementing pricing strategies that directly link cost to delivered benefits.</w:t>
      </w:r>
    </w:p>
    <w:p>
      <w:pPr>
        <w:pStyle w:val="BodyText"/>
      </w:pPr>
      <w:r>
        <w:t xml:space="preserve">Second, through detailed case study analysis spanning healthcare, finance, and legal services, we have demonstrated the practical applicability of value-based pricing across diverse industry contexts. These case studies reveal consistent patterns: customers are willing to pay substantial premiums for AI systems that deliver measurable, high-value outcomes, while resisting costs for systems that consume significant computational resources but deliver minimal impact. This finding challenges the prevailing assumption that token-based pricing is inherently more transparent or customer-friendly than alternatives.</w:t>
      </w:r>
    </w:p>
    <w:p>
      <w:pPr>
        <w:pStyle w:val="BodyText"/>
      </w:pPr>
      <w:r>
        <w:t xml:space="preserve">Third, we have identified and analyzed the key implementation challenges associated with transitioning from token-based to value-based pricing, including value measurement difficulties, customer segmentation complexities, and organizational capability requirements. By making these challenges explicit, we provide AI vendors with a realistic assessment of what value-based pricing entails and the investments required for successful implementation. This contributes to a more balanced understanding of value-based pricing as a potentially superior but more demanding approach relative to simpler alternatives.</w:t>
      </w:r>
    </w:p>
    <w:p>
      <w:pPr>
        <w:pStyle w:val="BodyText"/>
      </w:pPr>
      <w:r>
        <w:t xml:space="preserve">Fourth, our research integrates insights from multiple disciplines—including economics, marketing, behavioral science, and information systems—to provide a holistic view of AI pricing. This interdisciplinary approach reveals important connections between technical AI capabilities, economic value creation, and customer psychology that would not be apparent from a narrower disciplinary perspective. For example, our analysis shows how behavioral economics concepts like loss aversion and reference dependence influence customer reactions to different pricing structures, suggesting opportunities for framing and communication strategies that enhance value-based pricing acceptance.</w:t>
      </w:r>
    </w:p>
    <w:p>
      <w:pPr>
        <w:pStyle w:val="Heading3"/>
      </w:pPr>
      <w:bookmarkStart w:id="58" w:name="practical-implications"/>
      <w:r>
        <w:t xml:space="preserve">Practical Implications</w:t>
      </w:r>
      <w:bookmarkEnd w:id="58"/>
    </w:p>
    <w:p>
      <w:pPr>
        <w:pStyle w:val="FirstParagraph"/>
      </w:pPr>
      <w:r>
        <w:t xml:space="preserve">For AI vendors and platform providers, this research offers several actionable insights. First, companies should invest in developing robust value measurement capabilities that can track and quantify the business outcomes delivered by their AI systems. This may require partnerships with customers to access outcome data, development of sophisticated analytics platforms, and creation of standardized value metrics that enable comparisons across customers and use cases. Second, vendors should segment their customer base not just by industry or size, but by value potential and willingness to pay. Different customer segments may require different pricing approaches, with some benefiting from simple token-based models while others justify more sophisticated value-based structures.</w:t>
      </w:r>
    </w:p>
    <w:p>
      <w:pPr>
        <w:pStyle w:val="BodyText"/>
      </w:pPr>
      <w:r>
        <w:t xml:space="preserve">Third, successful value-based pricing requires close collaboration between product development, sales, marketing, and customer success teams. Product teams must design AI systems with measurable value generation in mind, not just technical sophistication. Sales and marketing teams need to develop value-based selling skills that help customers understand and quantify the benefits they receive. Customer success teams play a crucial role in ensuring ongoing value realization and addressing situations where delivered value falls short of expectations.</w:t>
      </w:r>
    </w:p>
    <w:p>
      <w:pPr>
        <w:pStyle w:val="BodyText"/>
      </w:pPr>
      <w:r>
        <w:t xml:space="preserve">For enterprise customers and AI adopters, our research provides a framework for evaluating AI pricing proposals and negotiating more favorable terms. Customers should demand transparency regarding how pricing relates to value delivery and should push for pricing structures that align vendor incentives with customer outcomes. When token-based pricing is proposed, customers should conduct value analysis to determine whether the computational costs actually reflect the benefits received. In many cases, customers may find that alternative pricing structures—performance-based fees, outcome sharing arrangements, or hybrid models—provide better alignment and risk sharing.</w:t>
      </w:r>
    </w:p>
    <w:p>
      <w:pPr>
        <w:pStyle w:val="BodyText"/>
      </w:pPr>
      <w:r>
        <w:t xml:space="preserve">For policymakers and regulators, this research highlights the importance of pricing transparency and fairness in AI markets. As AI systems become more critical to business operations and societal functions, pricing practices can significantly affect market competition, innovation incentives, and equitable access to beneficial technologies. Policymakers should consider whether regulatory frameworks need to address AI pricing practices, particularly regarding transparency requirements, anti-discrimination provisions, and accessibility for small organizations or underserved communities. Standard-setting initiatives that promote consistent value metrics and pricing transparency could facilitate more efficient AI markets without imposing overly prescriptive price controls.</w:t>
      </w:r>
    </w:p>
    <w:p>
      <w:pPr>
        <w:pStyle w:val="Heading3"/>
      </w:pPr>
      <w:bookmarkStart w:id="59" w:name="broader-implications-for-ai-economics"/>
      <w:r>
        <w:t xml:space="preserve">Broader Implications for AI Economics</w:t>
      </w:r>
      <w:bookmarkEnd w:id="59"/>
    </w:p>
    <w:p>
      <w:pPr>
        <w:pStyle w:val="FirstParagraph"/>
      </w:pPr>
      <w:r>
        <w:t xml:space="preserve">Beyond the specific question of pricing models, this research contributes to the emerging field of AI economics more broadly. The challenges of valuing and pricing agentic AI systems reflect deeper questions about how to measure and capture value in an economy increasingly driven by intelligent, autonomous systems. As AI capabilities advance toward more general intelligence, the economic implications become more profound. How should value be attributed when AI systems make autonomous decisions that generate economic outcomes? How can property rights and compensation be structured when value creation results from complex interactions between human decisions, AI recommendations, and system-environment dynamics?</w:t>
      </w:r>
    </w:p>
    <w:p>
      <w:pPr>
        <w:pStyle w:val="BodyText"/>
      </w:pPr>
      <w:r>
        <w:t xml:space="preserve">Our value-based pricing framework provides a starting point for addressing these questions, but much work remains. The framework assumes that value can be reasonably measured and attributed, but this becomes increasingly difficult as AI systems grow more sophisticated and autonomous. Future AI economics research will need to grapple with questions of value attribution in multi-agent systems, long-term value creation from AI learning and improvement, and the social value of AI systems beyond what can be captured in market transactions.</w:t>
      </w:r>
    </w:p>
    <w:p>
      <w:pPr>
        <w:pStyle w:val="BodyText"/>
      </w:pPr>
      <w:r>
        <w:t xml:space="preserve">The transition from token-based to value-based pricing can be seen as part of a broader evolution in how we conceptualize and manage AI as an economic resource. Early computing was priced by processor time and memory usage because these were the scarce resources that determined system capacity. As computing power became abundant, pricing shifted toward data transfer and storage. For AI systems, the scarce resource is often not computational capacity but rather the quality of insights, decisions, and outcomes generated. Value-based pricing recognizes this shift and aligns economic incentives accordingly.</w:t>
      </w:r>
    </w:p>
    <w:p>
      <w:pPr>
        <w:pStyle w:val="BodyText"/>
      </w:pPr>
      <w:r>
        <w:t xml:space="preserve">This evolution parallels historical transitions in other industries. Electricity pricing evolved from simple volumetric charges to complex structures that account for timing, location, and grid services provided. Pharmaceutical pricing has moved from cost-plus to value-based models that consider therapeutic benefit. Telecommunications shifted from per-minute pricing to unlimited plans and quality-of-service tiers. Each of these transitions involved similar challenges around measurement, attribution, and customer acceptance. The AI industry can learn from these precedents while recognizing the unique characteristics that distinguish AI from these other domains.</w:t>
      </w:r>
    </w:p>
    <w:p>
      <w:pPr>
        <w:pStyle w:val="Heading3"/>
      </w:pPr>
      <w:bookmarkStart w:id="60" w:name="final-reflections"/>
      <w:r>
        <w:t xml:space="preserve">Final Reflections</w:t>
      </w:r>
      <w:bookmarkEnd w:id="60"/>
    </w:p>
    <w:p>
      <w:pPr>
        <w:pStyle w:val="FirstParagraph"/>
      </w:pPr>
      <w:r>
        <w:t xml:space="preserve">In summary, this research introduced a novel perspective on pricing agentic AI systems, moving beyond simplistic cost-plus models towards a value-centric approach. By focusing on the economic benefits delivered by these systems, rather than just their computational requirements, we provide a foundation for sustainable growth and widespread adoption of agentic AI across various industries (Acemoglu &amp; Restrepo, 2018; Agrawal et al., 2019). The integration of economic principles with advanced AI technologies offers a powerful synergy that can unlock significant value for both developers and users.</w:t>
      </w:r>
    </w:p>
    <w:p>
      <w:pPr>
        <w:pStyle w:val="BodyText"/>
      </w:pPr>
      <w:r>
        <w:t xml:space="preserve">However, this study is not without its limitations. The theoretical nature of the framework necessitates further empirical validation through real-world case studies and quantitative analyses. Future research should explore the practical implementation of value-based pricing in diverse business contexts, considering factors such as market dynamics, competitive landscape, and user preferences (Porter, 1985; Shapiro &amp; Varian, 1998). Additionally, investigating the ethical implications of value-based pricing, particularly in relation to accessibility and affordability of AI-driven solutions, is crucial to ensure equitable distribution of the benefits offered by agentic AI (O’Neil, 2016). Subsequent work should also address the challenges of accurately measuring and quantifying the value generated by these complex systems, potentially leveraging advanced analytical techniques and behavioral economics insights.</w:t>
      </w:r>
    </w:p>
    <w:p>
      <w:pPr>
        <w:pStyle w:val="BodyText"/>
      </w:pPr>
      <w:r>
        <w:t xml:space="preserve">Despite these limitations, this paper makes a significant contribution to the emerging field of AI economics, offering a new lens through which to view the pricing and valuation of agentic AI systems. By emphasizing the importance of aligning pricing with value creation, we provide a pathway for unlocking the full economic potential of these transformative technologies, paving the way for a future where AI agents seamlessly integrate into businesses and societies, creating sustainable value for all stakeholders.</w:t>
      </w:r>
    </w:p>
    <w:p>
      <w:pPr>
        <w:pStyle w:val="BodyText"/>
      </w:pPr>
      <w:r>
        <w:t xml:space="preserve">The journey beyond tokens is just beginning. As agentic AI systems continue to evolve and their capabilities expand, the pricing models that govern their deployment will play a crucial role in determining who benefits from these technologies and how those benefits are distributed. By moving toward value-based pricing frameworks that align costs with outcomes, we can create a more sustainable, equitable, and economically efficient AI ecosystem. This transition will require collaboration among AI developers, enterprise customers, researchers, and policymakers, but the potential rewards—both economic and social—make this effort worthwhile. The future of AI pricing, and indeed the future of AI adoption and impact, depends on our ability to move beyond simplistic metrics and embrace frameworks that truly reflect the value these remarkable systems can deliver.</w:t>
      </w:r>
    </w:p>
    <w:p>
      <w:r>
        <w:pict>
          <v:rect style="width:0;height:1.5pt" o:hralign="center" o:hrstd="t" o:hr="t"/>
        </w:pict>
      </w:r>
    </w:p>
    <w:p>
      <w:pPr>
        <w:pStyle w:val="Heading2"/>
      </w:pPr>
      <w:bookmarkStart w:id="61" w:name="Xd6187284888b1bffb5b17ecc25fea4d1ccb23df"/>
      <w:r>
        <w:t xml:space="preserve">Appendix A: Comparative Pricing Model Framework</w:t>
      </w:r>
      <w:bookmarkEnd w:id="61"/>
    </w:p>
    <w:p>
      <w:pPr>
        <w:pStyle w:val="FirstParagraph"/>
      </w:pPr>
      <w:r>
        <w:t xml:space="preserve">This appendix provides a detailed technical specification of the value-based pricing framework components and their mathematical formulation, supplementing the conceptual discussion in the main text.</w:t>
      </w:r>
    </w:p>
    <w:p>
      <w:pPr>
        <w:pStyle w:val="Heading3"/>
      </w:pPr>
      <w:bookmarkStart w:id="62" w:name="a.1-value-driver-identification-matrix"/>
      <w:r>
        <w:t xml:space="preserve">A.1 Value Driver Identification Matrix</w:t>
      </w:r>
      <w:bookmarkEnd w:id="62"/>
    </w:p>
    <w:p>
      <w:pPr>
        <w:pStyle w:val="FirstParagraph"/>
      </w:pPr>
      <w:r>
        <w:t xml:space="preserve">For a given agentic AI system</w:t>
      </w:r>
      <w:r>
        <w:t xml:space="preserve"> </w:t>
      </w:r>
      <m:oMath>
        <m:r>
          <m:t>S</m:t>
        </m:r>
      </m:oMath>
      <w:r>
        <w:t xml:space="preserve"> </w:t>
      </w:r>
      <w:r>
        <w:t xml:space="preserve">deployed in context</w:t>
      </w:r>
      <w:r>
        <w:t xml:space="preserve"> </w:t>
      </w:r>
      <m:oMath>
        <m:r>
          <m:t>C</m:t>
        </m:r>
      </m:oMath>
      <w:r>
        <w:t xml:space="preserve">, we define the value driver set</w:t>
      </w:r>
      <w:r>
        <w:t xml:space="preserve"> </w:t>
      </w:r>
      <m:oMath>
        <m:r>
          <m:t>V</m:t>
        </m:r>
        <m:r>
          <m:t>=</m:t>
        </m:r>
        <m:r>
          <m:t>{</m:t>
        </m:r>
        <m:sSub>
          <m:e>
            <m:r>
              <m:t>v</m:t>
            </m:r>
          </m:e>
          <m:sub>
            <m:r>
              <m:t>1</m:t>
            </m:r>
          </m:sub>
        </m:sSub>
        <m:r>
          <m:t>,</m:t>
        </m:r>
        <m:sSub>
          <m:e>
            <m:r>
              <m:t>v</m:t>
            </m:r>
          </m:e>
          <m:sub>
            <m:r>
              <m:t>2</m:t>
            </m:r>
          </m:sub>
        </m:sSub>
        <m:r>
          <m:t>,</m:t>
        </m:r>
        <m:r>
          <m:t>.</m:t>
        </m:r>
        <m:r>
          <m:t>.</m:t>
        </m:r>
        <m:r>
          <m:t>.</m:t>
        </m:r>
        <m:r>
          <m:t>,</m:t>
        </m:r>
        <m:sSub>
          <m:e>
            <m:r>
              <m:t>v</m:t>
            </m:r>
          </m:e>
          <m:sub>
            <m:r>
              <m:t>n</m:t>
            </m:r>
          </m:sub>
        </m:sSub>
        <m:r>
          <m:t>}</m:t>
        </m:r>
      </m:oMath>
      <w:r>
        <w:t xml:space="preserve"> </w:t>
      </w:r>
      <w:r>
        <w:t xml:space="preserve">where each</w:t>
      </w:r>
      <w:r>
        <w:t xml:space="preserve"> </w:t>
      </w:r>
      <m:oMath>
        <m:sSub>
          <m:e>
            <m:r>
              <m:t>v</m:t>
            </m:r>
          </m:e>
          <m:sub>
            <m:r>
              <m:t>i</m:t>
            </m:r>
          </m:sub>
        </m:sSub>
      </m:oMath>
      <w:r>
        <w:t xml:space="preserve"> </w:t>
      </w:r>
      <w:r>
        <w:t xml:space="preserve">represents a measurable attribute of system performance. Common value drivers include:</w:t>
      </w:r>
    </w:p>
    <w:p>
      <w:pPr>
        <w:numPr>
          <w:ilvl w:val="0"/>
          <w:numId w:val="1005"/>
        </w:numPr>
        <w:pStyle w:val="Compact"/>
      </w:pPr>
      <w:r>
        <w:rPr>
          <w:b/>
        </w:rPr>
        <w:t xml:space="preserve">Accuracy</w:t>
      </w:r>
      <w:r>
        <w:t xml:space="preserve"> </w:t>
      </w:r>
      <w:r>
        <w:t xml:space="preserve">(</w:t>
      </w:r>
      <m:oMath>
        <m:sSub>
          <m:e>
            <m:r>
              <m:t>v</m:t>
            </m:r>
          </m:e>
          <m:sub>
            <m:r>
              <m:t>a</m:t>
            </m:r>
            <m:r>
              <m:t>c</m:t>
            </m:r>
            <m:r>
              <m:t>c</m:t>
            </m:r>
          </m:sub>
        </m:sSub>
      </m:oMath>
      <w:r>
        <w:t xml:space="preserve">): Measured as precision, recall, F1-score, or domain-specific metrics (e.g., diagnostic sensitivity in healthcare)</w:t>
      </w:r>
    </w:p>
    <w:p>
      <w:pPr>
        <w:numPr>
          <w:ilvl w:val="0"/>
          <w:numId w:val="1005"/>
        </w:numPr>
        <w:pStyle w:val="Compact"/>
      </w:pPr>
      <w:r>
        <w:rPr>
          <w:b/>
        </w:rPr>
        <w:t xml:space="preserve">Speed</w:t>
      </w:r>
      <w:r>
        <w:t xml:space="preserve"> </w:t>
      </w:r>
      <w:r>
        <w:t xml:space="preserve">(</w:t>
      </w:r>
      <m:oMath>
        <m:sSub>
          <m:e>
            <m:r>
              <m:t>v</m:t>
            </m:r>
          </m:e>
          <m:sub>
            <m:r>
              <m:t>s</m:t>
            </m:r>
            <m:r>
              <m:t>p</m:t>
            </m:r>
            <m:r>
              <m:t>e</m:t>
            </m:r>
            <m:r>
              <m:t>e</m:t>
            </m:r>
            <m:r>
              <m:t>d</m:t>
            </m:r>
          </m:sub>
        </m:sSub>
      </m:oMath>
      <w:r>
        <w:t xml:space="preserve">): Response time, throughput, or time-to-insight</w:t>
      </w:r>
    </w:p>
    <w:p>
      <w:pPr>
        <w:numPr>
          <w:ilvl w:val="0"/>
          <w:numId w:val="1005"/>
        </w:numPr>
        <w:pStyle w:val="Compact"/>
      </w:pPr>
      <w:r>
        <w:rPr>
          <w:b/>
        </w:rPr>
        <w:t xml:space="preserve">Reliability</w:t>
      </w:r>
      <w:r>
        <w:t xml:space="preserve"> </w:t>
      </w:r>
      <w:r>
        <w:t xml:space="preserve">(</w:t>
      </w:r>
      <m:oMath>
        <m:sSub>
          <m:e>
            <m:r>
              <m:t>v</m:t>
            </m:r>
          </m:e>
          <m:sub>
            <m:r>
              <m:t>r</m:t>
            </m:r>
            <m:r>
              <m:t>e</m:t>
            </m:r>
            <m:r>
              <m:t>l</m:t>
            </m:r>
          </m:sub>
        </m:sSub>
      </m:oMath>
      <w:r>
        <w:t xml:space="preserve">): Uptime, error rate, consistency of outputs</w:t>
      </w:r>
    </w:p>
    <w:p>
      <w:pPr>
        <w:numPr>
          <w:ilvl w:val="0"/>
          <w:numId w:val="1005"/>
        </w:numPr>
        <w:pStyle w:val="Compact"/>
      </w:pPr>
      <w:r>
        <w:rPr>
          <w:b/>
        </w:rPr>
        <w:t xml:space="preserve">Personalization</w:t>
      </w:r>
      <w:r>
        <w:t xml:space="preserve"> </w:t>
      </w:r>
      <w:r>
        <w:t xml:space="preserve">(</w:t>
      </w:r>
      <m:oMath>
        <m:sSub>
          <m:e>
            <m:r>
              <m:t>v</m:t>
            </m:r>
          </m:e>
          <m:sub>
            <m:r>
              <m:t>p</m:t>
            </m:r>
            <m:r>
              <m:t>e</m:t>
            </m:r>
            <m:r>
              <m:t>r</m:t>
            </m:r>
            <m:r>
              <m:t>s</m:t>
            </m:r>
          </m:sub>
        </m:sSub>
      </m:oMath>
      <w:r>
        <w:t xml:space="preserve">): Adaptation to user preferences and context</w:t>
      </w:r>
    </w:p>
    <w:p>
      <w:pPr>
        <w:numPr>
          <w:ilvl w:val="0"/>
          <w:numId w:val="1005"/>
        </w:numPr>
        <w:pStyle w:val="Compact"/>
      </w:pPr>
      <w:r>
        <w:rPr>
          <w:b/>
        </w:rPr>
        <w:t xml:space="preserve">Scalability</w:t>
      </w:r>
      <w:r>
        <w:t xml:space="preserve"> </w:t>
      </w:r>
      <w:r>
        <w:t xml:space="preserve">(</w:t>
      </w:r>
      <m:oMath>
        <m:sSub>
          <m:e>
            <m:r>
              <m:t>v</m:t>
            </m:r>
          </m:e>
          <m:sub>
            <m:r>
              <m:t>s</m:t>
            </m:r>
            <m:r>
              <m:t>c</m:t>
            </m:r>
            <m:r>
              <m:t>a</m:t>
            </m:r>
            <m:r>
              <m:t>l</m:t>
            </m:r>
            <m:r>
              <m:t>e</m:t>
            </m:r>
          </m:sub>
        </m:sSub>
      </m:oMath>
      <w:r>
        <w:t xml:space="preserve">): Ability to handle increased workload without performance degradation</w:t>
      </w:r>
    </w:p>
    <w:p>
      <w:pPr>
        <w:numPr>
          <w:ilvl w:val="0"/>
          <w:numId w:val="1005"/>
        </w:numPr>
        <w:pStyle w:val="Compact"/>
      </w:pPr>
      <w:r>
        <w:rPr>
          <w:b/>
        </w:rPr>
        <w:t xml:space="preserve">Interpretability</w:t>
      </w:r>
      <w:r>
        <w:t xml:space="preserve"> </w:t>
      </w:r>
      <w:r>
        <w:t xml:space="preserve">(</w:t>
      </w:r>
      <m:oMath>
        <m:sSub>
          <m:e>
            <m:r>
              <m:t>v</m:t>
            </m:r>
          </m:e>
          <m:sub>
            <m:r>
              <m:t>i</m:t>
            </m:r>
            <m:r>
              <m:t>n</m:t>
            </m:r>
            <m:r>
              <m:t>t</m:t>
            </m:r>
            <m:r>
              <m:t>e</m:t>
            </m:r>
            <m:r>
              <m:t>r</m:t>
            </m:r>
            <m:r>
              <m:t>p</m:t>
            </m:r>
          </m:sub>
        </m:sSub>
      </m:oMath>
      <w:r>
        <w:t xml:space="preserve">): Explainability of AI decisions and recommendations</w:t>
      </w:r>
    </w:p>
    <w:p>
      <w:pPr>
        <w:pStyle w:val="FirstParagraph"/>
      </w:pPr>
      <w:r>
        <w:t xml:space="preserve">The relative importance weights</w:t>
      </w:r>
      <w:r>
        <w:t xml:space="preserve"> </w:t>
      </w:r>
      <m:oMath>
        <m:sSub>
          <m:e>
            <m:r>
              <m:t>w</m:t>
            </m:r>
          </m:e>
          <m:sub>
            <m:r>
              <m:t>i</m:t>
            </m:r>
          </m:sub>
        </m:sSub>
      </m:oMath>
      <w:r>
        <w:t xml:space="preserve"> </w:t>
      </w:r>
      <w:r>
        <w:t xml:space="preserve">for each value driver vary by industry and use case. For example, in healthcare diagnostics, accuracy may carry weight</w:t>
      </w:r>
      <w:r>
        <w:t xml:space="preserve"> </w:t>
      </w:r>
      <m:oMath>
        <m:sSub>
          <m:e>
            <m:r>
              <m:t>w</m:t>
            </m:r>
          </m:e>
          <m:sub>
            <m:r>
              <m:t>a</m:t>
            </m:r>
            <m:r>
              <m:t>c</m:t>
            </m:r>
            <m:r>
              <m:t>c</m:t>
            </m:r>
          </m:sub>
        </m:sSub>
        <m:r>
          <m:t>=</m:t>
        </m:r>
        <m:r>
          <m:t>0.45</m:t>
        </m:r>
      </m:oMath>
      <w:r>
        <w:t xml:space="preserve">, reliability</w:t>
      </w:r>
      <w:r>
        <w:t xml:space="preserve"> </w:t>
      </w:r>
      <m:oMath>
        <m:sSub>
          <m:e>
            <m:r>
              <m:t>w</m:t>
            </m:r>
          </m:e>
          <m:sub>
            <m:r>
              <m:t>r</m:t>
            </m:r>
            <m:r>
              <m:t>e</m:t>
            </m:r>
            <m:r>
              <m:t>l</m:t>
            </m:r>
          </m:sub>
        </m:sSub>
        <m:r>
          <m:t>=</m:t>
        </m:r>
        <m:r>
          <m:t>0.30</m:t>
        </m:r>
      </m:oMath>
      <w:r>
        <w:t xml:space="preserve">, speed</w:t>
      </w:r>
      <w:r>
        <w:t xml:space="preserve"> </w:t>
      </w:r>
      <m:oMath>
        <m:sSub>
          <m:e>
            <m:r>
              <m:t>w</m:t>
            </m:r>
          </m:e>
          <m:sub>
            <m:r>
              <m:t>s</m:t>
            </m:r>
            <m:r>
              <m:t>p</m:t>
            </m:r>
            <m:r>
              <m:t>e</m:t>
            </m:r>
            <m:r>
              <m:t>e</m:t>
            </m:r>
            <m:r>
              <m:t>d</m:t>
            </m:r>
          </m:sub>
        </m:sSub>
        <m:r>
          <m:t>=</m:t>
        </m:r>
        <m:r>
          <m:t>0.15</m:t>
        </m:r>
      </m:oMath>
      <w:r>
        <w:t xml:space="preserve">, and interpretability</w:t>
      </w:r>
      <w:r>
        <w:t xml:space="preserve"> </w:t>
      </w:r>
      <m:oMath>
        <m:sSub>
          <m:e>
            <m:r>
              <m:t>w</m:t>
            </m:r>
          </m:e>
          <m:sub>
            <m:r>
              <m:t>i</m:t>
            </m:r>
            <m:r>
              <m:t>n</m:t>
            </m:r>
            <m:r>
              <m:t>t</m:t>
            </m:r>
            <m:r>
              <m:t>e</m:t>
            </m:r>
            <m:r>
              <m:t>r</m:t>
            </m:r>
            <m:r>
              <m:t>p</m:t>
            </m:r>
          </m:sub>
        </m:sSub>
        <m:r>
          <m:t>=</m:t>
        </m:r>
        <m:r>
          <m:t>0.10</m:t>
        </m:r>
      </m:oMath>
      <w:r>
        <w:t xml:space="preserve">. In high-frequency trading, speed may dominate with</w:t>
      </w:r>
      <w:r>
        <w:t xml:space="preserve"> </w:t>
      </w:r>
      <m:oMath>
        <m:sSub>
          <m:e>
            <m:r>
              <m:t>w</m:t>
            </m:r>
          </m:e>
          <m:sub>
            <m:r>
              <m:t>s</m:t>
            </m:r>
            <m:r>
              <m:t>p</m:t>
            </m:r>
            <m:r>
              <m:t>e</m:t>
            </m:r>
            <m:r>
              <m:t>e</m:t>
            </m:r>
            <m:r>
              <m:t>d</m:t>
            </m:r>
          </m:sub>
        </m:sSub>
        <m:r>
          <m:t>=</m:t>
        </m:r>
        <m:r>
          <m:t>0.60</m:t>
        </m:r>
      </m:oMath>
      <w:r>
        <w:t xml:space="preserve">.</w:t>
      </w:r>
    </w:p>
    <w:p>
      <w:pPr>
        <w:pStyle w:val="Heading3"/>
      </w:pPr>
      <w:bookmarkStart w:id="63" w:name="a.2-value-quantification-functions"/>
      <w:r>
        <w:t xml:space="preserve">A.2 Value Quantification Functions</w:t>
      </w:r>
      <w:bookmarkEnd w:id="63"/>
    </w:p>
    <w:p>
      <w:pPr>
        <w:pStyle w:val="FirstParagraph"/>
      </w:pPr>
      <w:r>
        <w:t xml:space="preserve">For each value driver</w:t>
      </w:r>
      <w:r>
        <w:t xml:space="preserve"> </w:t>
      </w:r>
      <m:oMath>
        <m:sSub>
          <m:e>
            <m:r>
              <m:t>v</m:t>
            </m:r>
          </m:e>
          <m:sub>
            <m:r>
              <m:t>i</m:t>
            </m:r>
          </m:sub>
        </m:sSub>
      </m:oMath>
      <w:r>
        <w:t xml:space="preserve">, we define a value quantification function</w:t>
      </w:r>
      <w:r>
        <w:t xml:space="preserve"> </w:t>
      </w:r>
      <m:oMath>
        <m:sSub>
          <m:e>
            <m:r>
              <m:t>f</m:t>
            </m:r>
          </m:e>
          <m:sub>
            <m:r>
              <m:t>i</m:t>
            </m:r>
          </m:sub>
        </m:sSub>
        <m:r>
          <m:t>:</m:t>
        </m:r>
        <m:sSub>
          <m:e>
            <m:r>
              <m:t>V</m:t>
            </m:r>
          </m:e>
          <m:sub>
            <m:r>
              <m:t>i</m:t>
            </m:r>
          </m:sub>
        </m:sSub>
        <m:r>
          <m:t>→</m:t>
        </m:r>
        <m:sSup>
          <m:e>
            <m:r>
              <m:rPr>
                <m:sty m:val="p"/>
                <m:scr m:val="double-struck"/>
              </m:rPr>
              <m:t>R</m:t>
            </m:r>
          </m:e>
          <m:sup>
            <m:r>
              <m:t>+</m:t>
            </m:r>
          </m:sup>
        </m:sSup>
      </m:oMath>
      <w:r>
        <w:t xml:space="preserve"> </w:t>
      </w:r>
      <w:r>
        <w:t xml:space="preserve">that maps the measured performance level to a monetary value. For example:</w:t>
      </w:r>
    </w:p>
    <w:p>
      <w:pPr>
        <w:pStyle w:val="BodyText"/>
      </w:pPr>
      <w:r>
        <w:rPr>
          <w:b/>
        </w:rPr>
        <w:t xml:space="preserve">Healthcare Diagnostic Accuracy</w:t>
      </w:r>
      <w:r>
        <w:t xml:space="preserv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t</m:t>
              </m:r>
              <m:r>
                <m:t>r</m:t>
              </m:r>
              <m:r>
                <m:t>e</m:t>
              </m:r>
              <m:r>
                <m:t>a</m:t>
              </m:r>
              <m:r>
                <m:t>t</m:t>
              </m:r>
              <m:r>
                <m:t>m</m:t>
              </m:r>
              <m:r>
                <m:t>e</m:t>
              </m:r>
              <m:r>
                <m:t>n</m:t>
              </m:r>
              <m:sSub>
                <m:e>
                  <m:r>
                    <m:t>t</m:t>
                  </m:r>
                </m:e>
                <m:sub>
                  <m:r>
                    <m:t>s</m:t>
                  </m:r>
                </m:sub>
              </m:sSub>
              <m:r>
                <m:t>a</m:t>
              </m:r>
              <m:r>
                <m:t>v</m:t>
              </m:r>
              <m:r>
                <m:t>i</m:t>
              </m:r>
              <m:r>
                <m:t>n</m:t>
              </m:r>
              <m:r>
                <m:t>g</m:t>
              </m:r>
              <m:r>
                <m:t>s</m:t>
              </m:r>
            </m:sub>
          </m:sSub>
        </m:oMath>
      </m:oMathPara>
    </w:p>
    <w:p>
      <w:pPr>
        <w:pStyle w:val="FirstParagraph"/>
      </w:pPr>
      <w:r>
        <w:t xml:space="preserve">where</w:t>
      </w:r>
      <w:r>
        <w:t xml:space="preserve"> </w:t>
      </w:r>
      <m:oMath>
        <m:sSub>
          <m:e>
            <m:r>
              <m:t>N</m:t>
            </m:r>
          </m:e>
          <m:sub>
            <m:r>
              <m:t>p</m:t>
            </m:r>
            <m:r>
              <m:t>a</m:t>
            </m:r>
            <m:r>
              <m:t>t</m:t>
            </m:r>
            <m:r>
              <m:t>i</m:t>
            </m:r>
            <m:r>
              <m:t>e</m:t>
            </m:r>
            <m:r>
              <m:t>n</m:t>
            </m:r>
            <m:r>
              <m:t>t</m:t>
            </m:r>
            <m:r>
              <m:t>s</m:t>
            </m:r>
          </m:sub>
        </m:sSub>
      </m:oMath>
      <w:r>
        <w:t xml:space="preserve"> </w:t>
      </w:r>
      <w:r>
        <w:t xml:space="preserve">is the number of patients screened,</w:t>
      </w:r>
      <w:r>
        <w:t xml:space="preserve"> </w:t>
      </w:r>
      <m:oMath>
        <m:sSub>
          <m:e>
            <m:r>
              <m:t>Δ</m:t>
            </m:r>
          </m:e>
          <m:sub>
            <m:r>
              <m:t>a</m:t>
            </m:r>
            <m:r>
              <m:t>c</m:t>
            </m:r>
            <m:r>
              <m:t>c</m:t>
            </m:r>
          </m:sub>
        </m:sSub>
      </m:oMath>
      <w:r>
        <w:t xml:space="preserve"> </w:t>
      </w:r>
      <w:r>
        <w:t xml:space="preserve">is the improvement in diagnostic accuracy relative to baseline (e.g., human radiologists alone), and</w:t>
      </w:r>
      <w:r>
        <w:t xml:space="preserve"> </w:t>
      </w:r>
      <m:oMath>
        <m:sSub>
          <m:e>
            <m:r>
              <m:t>C</m:t>
            </m:r>
          </m:e>
          <m:sub>
            <m:r>
              <m:t>t</m:t>
            </m:r>
            <m:r>
              <m:t>r</m:t>
            </m:r>
            <m:r>
              <m:t>e</m:t>
            </m:r>
            <m:r>
              <m:t>a</m:t>
            </m:r>
            <m:r>
              <m:t>t</m:t>
            </m:r>
            <m:r>
              <m:t>m</m:t>
            </m:r>
            <m:r>
              <m:t>e</m:t>
            </m:r>
            <m:r>
              <m:t>n</m:t>
            </m:r>
            <m:sSub>
              <m:e>
                <m:r>
                  <m:t>t</m:t>
                </m:r>
              </m:e>
              <m:sub>
                <m:r>
                  <m:t>s</m:t>
                </m:r>
              </m:sub>
            </m:sSub>
            <m:r>
              <m:t>a</m:t>
            </m:r>
            <m:r>
              <m:t>v</m:t>
            </m:r>
            <m:r>
              <m:t>i</m:t>
            </m:r>
            <m:r>
              <m:t>n</m:t>
            </m:r>
            <m:r>
              <m:t>g</m:t>
            </m:r>
            <m:r>
              <m:t>s</m:t>
            </m:r>
          </m:sub>
        </m:sSub>
      </m:oMath>
      <w:r>
        <w:t xml:space="preserve"> </w:t>
      </w:r>
      <w:r>
        <w:t xml:space="preserve">is the average cost savings per patient from earlier, more accurate diagnosis.</w:t>
      </w:r>
    </w:p>
    <w:p>
      <w:pPr>
        <w:pStyle w:val="BodyText"/>
      </w:pPr>
      <w:r>
        <w:rPr>
          <w:b/>
        </w:rPr>
        <w:t xml:space="preserve">Financial Trading Speed</w:t>
      </w:r>
      <w:r>
        <w:t xml:space="preserve">:</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sSub>
            <m:e>
              <m:r>
                <m:t>N</m:t>
              </m:r>
            </m:e>
            <m:sub>
              <m:r>
                <m:t>t</m:t>
              </m:r>
              <m:r>
                <m:t>r</m:t>
              </m:r>
              <m:r>
                <m:t>a</m:t>
              </m:r>
              <m:r>
                <m:t>d</m:t>
              </m:r>
              <m:r>
                <m:t>e</m:t>
              </m:r>
              <m:r>
                <m:t>s</m:t>
              </m:r>
            </m:sub>
          </m:sSub>
          <m:r>
            <m:t>×</m:t>
          </m:r>
          <m:sSub>
            <m:e>
              <m:r>
                <m:t>P</m:t>
              </m:r>
            </m:e>
            <m:sub>
              <m:r>
                <m:t>a</m:t>
              </m:r>
              <m:r>
                <m:t>v</m:t>
              </m:r>
              <m:r>
                <m:t>g</m:t>
              </m:r>
            </m:sub>
          </m:sSub>
          <m:r>
            <m:t>×</m:t>
          </m:r>
          <m:sSub>
            <m:e>
              <m:r>
                <m:t>α</m:t>
              </m:r>
            </m:e>
            <m:sub>
              <m:r>
                <m:t>l</m:t>
              </m:r>
              <m:r>
                <m:t>a</m:t>
              </m:r>
              <m:r>
                <m:t>t</m:t>
              </m:r>
              <m:r>
                <m:t>e</m:t>
              </m:r>
              <m:r>
                <m:t>n</m:t>
              </m:r>
              <m:r>
                <m:t>c</m:t>
              </m:r>
              <m:r>
                <m:t>y</m:t>
              </m:r>
            </m:sub>
          </m:sSub>
        </m:oMath>
      </m:oMathPara>
    </w:p>
    <w:p>
      <w:pPr>
        <w:pStyle w:val="FirstParagraph"/>
      </w:pPr>
      <w:r>
        <w:t xml:space="preserve">where</w:t>
      </w:r>
      <w:r>
        <w:t xml:space="preserve"> </w:t>
      </w:r>
      <m:oMath>
        <m:sSub>
          <m:e>
            <m:r>
              <m:t>N</m:t>
            </m:r>
          </m:e>
          <m:sub>
            <m:r>
              <m:t>t</m:t>
            </m:r>
            <m:r>
              <m:t>r</m:t>
            </m:r>
            <m:r>
              <m:t>a</m:t>
            </m:r>
            <m:r>
              <m:t>d</m:t>
            </m:r>
            <m:r>
              <m:t>e</m:t>
            </m:r>
            <m:r>
              <m:t>s</m:t>
            </m:r>
          </m:sub>
        </m:sSub>
      </m:oMath>
      <w:r>
        <w:t xml:space="preserve"> </w:t>
      </w:r>
      <w:r>
        <w:t xml:space="preserve">is the number of trades executed,</w:t>
      </w:r>
      <w:r>
        <w:t xml:space="preserve"> </w:t>
      </w:r>
      <m:oMath>
        <m:sSub>
          <m:e>
            <m:r>
              <m:t>P</m:t>
            </m:r>
          </m:e>
          <m:sub>
            <m:r>
              <m:t>a</m:t>
            </m:r>
            <m:r>
              <m:t>v</m:t>
            </m:r>
            <m:r>
              <m:t>g</m:t>
            </m:r>
          </m:sub>
        </m:sSub>
      </m:oMath>
      <w:r>
        <w:t xml:space="preserve"> </w:t>
      </w:r>
      <w:r>
        <w:t xml:space="preserve">is the average profit per trade, and</w:t>
      </w:r>
      <w:r>
        <w:t xml:space="preserve"> </w:t>
      </w:r>
      <m:oMath>
        <m:sSub>
          <m:e>
            <m:r>
              <m:t>α</m:t>
            </m:r>
          </m:e>
          <m:sub>
            <m:r>
              <m:t>l</m:t>
            </m:r>
            <m:r>
              <m:t>a</m:t>
            </m:r>
            <m:r>
              <m:t>t</m:t>
            </m:r>
            <m:r>
              <m:t>e</m:t>
            </m:r>
            <m:r>
              <m:t>n</m:t>
            </m:r>
            <m:r>
              <m:t>c</m:t>
            </m:r>
            <m:r>
              <m:t>y</m:t>
            </m:r>
          </m:sub>
        </m:sSub>
      </m:oMath>
      <w:r>
        <w:t xml:space="preserve"> </w:t>
      </w:r>
      <w:r>
        <w:t xml:space="preserve">is the latency advantage factor (trades executed faster capture more favorable prices).</w:t>
      </w:r>
    </w:p>
    <w:p>
      <w:pPr>
        <w:pStyle w:val="BodyText"/>
      </w:pPr>
      <w:r>
        <w:rPr>
          <w:b/>
        </w:rPr>
        <w:t xml:space="preserve">Legal Research Efficiency</w:t>
      </w:r>
      <w:r>
        <w:t xml:space="preserve">:</w:t>
      </w:r>
    </w:p>
    <w:p>
      <w:pPr>
        <w:pStyle w:val="BodyText"/>
      </w:pPr>
      <m:oMathPara>
        <m:oMathParaPr>
          <m:jc m:val="center"/>
        </m:oMathParaPr>
        <m:oMath>
          <m:sSub>
            <m:e>
              <m:r>
                <m:t>f</m:t>
              </m:r>
            </m:e>
            <m:sub>
              <m:r>
                <m:t>e</m:t>
              </m:r>
              <m:r>
                <m:t>f</m:t>
              </m:r>
              <m:r>
                <m:t>f</m:t>
              </m:r>
            </m:sub>
          </m:sSub>
          <m:r>
            <m:t>(</m:t>
          </m:r>
          <m:sSub>
            <m:e>
              <m:r>
                <m:t>v</m:t>
              </m:r>
            </m:e>
            <m:sub>
              <m:r>
                <m:t>e</m:t>
              </m:r>
              <m:r>
                <m:t>f</m:t>
              </m:r>
              <m:r>
                <m:t>f</m:t>
              </m:r>
            </m:sub>
          </m:sSub>
          <m:r>
            <m:t>)</m:t>
          </m:r>
          <m:r>
            <m:t>=</m:t>
          </m:r>
          <m:sSub>
            <m:e>
              <m:r>
                <m:t>H</m:t>
              </m:r>
            </m:e>
            <m:sub>
              <m:r>
                <m:t>s</m:t>
              </m:r>
              <m:r>
                <m:t>a</m:t>
              </m:r>
              <m:r>
                <m:t>v</m:t>
              </m:r>
              <m:r>
                <m:t>e</m:t>
              </m:r>
              <m:r>
                <m:t>d</m:t>
              </m:r>
            </m:sub>
          </m:sSub>
          <m:r>
            <m:t>×</m:t>
          </m:r>
          <m:sSub>
            <m:e>
              <m:r>
                <m:t>R</m:t>
              </m:r>
            </m:e>
            <m:sub>
              <m:r>
                <m:t>h</m:t>
              </m:r>
              <m:r>
                <m:t>o</m:t>
              </m:r>
              <m:r>
                <m:t>u</m:t>
              </m:r>
              <m:r>
                <m:t>r</m:t>
              </m:r>
              <m:r>
                <m:t>l</m:t>
              </m:r>
              <m:r>
                <m:t>y</m:t>
              </m:r>
            </m:sub>
          </m:sSub>
          <m:r>
            <m:t>×</m:t>
          </m:r>
          <m:sSub>
            <m:e>
              <m:r>
                <m:t>U</m:t>
              </m:r>
            </m:e>
            <m:sub>
              <m:r>
                <m:t>u</m:t>
              </m:r>
              <m:r>
                <m:t>t</m:t>
              </m:r>
              <m:r>
                <m:t>i</m:t>
              </m:r>
              <m:r>
                <m:t>l</m:t>
              </m:r>
              <m:r>
                <m:t>i</m:t>
              </m:r>
              <m:r>
                <m:t>z</m:t>
              </m:r>
              <m:r>
                <m:t>a</m:t>
              </m:r>
              <m:r>
                <m:t>t</m:t>
              </m:r>
              <m:r>
                <m:t>i</m:t>
              </m:r>
              <m:r>
                <m:t>o</m:t>
              </m:r>
              <m:r>
                <m:t>n</m:t>
              </m:r>
            </m:sub>
          </m:sSub>
        </m:oMath>
      </m:oMathPara>
    </w:p>
    <w:p>
      <w:pPr>
        <w:pStyle w:val="FirstParagraph"/>
      </w:pPr>
      <w:r>
        <w:t xml:space="preserve">where</w:t>
      </w:r>
      <w:r>
        <w:t xml:space="preserve"> </w:t>
      </w:r>
      <m:oMath>
        <m:sSub>
          <m:e>
            <m:r>
              <m:t>H</m:t>
            </m:r>
          </m:e>
          <m:sub>
            <m:r>
              <m:t>s</m:t>
            </m:r>
            <m:r>
              <m:t>a</m:t>
            </m:r>
            <m:r>
              <m:t>v</m:t>
            </m:r>
            <m:r>
              <m:t>e</m:t>
            </m:r>
            <m:r>
              <m:t>d</m:t>
            </m:r>
          </m:sub>
        </m:sSub>
      </m:oMath>
      <w:r>
        <w:t xml:space="preserve"> </w:t>
      </w:r>
      <w:r>
        <w:t xml:space="preserve">is hours of attorney time saved,</w:t>
      </w:r>
      <w:r>
        <w:t xml:space="preserve"> </w:t>
      </w:r>
      <m:oMath>
        <m:sSub>
          <m:e>
            <m:r>
              <m:t>R</m:t>
            </m:r>
          </m:e>
          <m:sub>
            <m:r>
              <m:t>h</m:t>
            </m:r>
            <m:r>
              <m:t>o</m:t>
            </m:r>
            <m:r>
              <m:t>u</m:t>
            </m:r>
            <m:r>
              <m:t>r</m:t>
            </m:r>
            <m:r>
              <m:t>l</m:t>
            </m:r>
            <m:r>
              <m:t>y</m:t>
            </m:r>
          </m:sub>
        </m:sSub>
      </m:oMath>
      <w:r>
        <w:t xml:space="preserve"> </w:t>
      </w:r>
      <w:r>
        <w:t xml:space="preserve">is the hourly billing rate, and</w:t>
      </w:r>
      <w:r>
        <w:t xml:space="preserve"> </w:t>
      </w:r>
      <m:oMath>
        <m:sSub>
          <m:e>
            <m:r>
              <m:t>U</m:t>
            </m:r>
          </m:e>
          <m:sub>
            <m:r>
              <m:t>u</m:t>
            </m:r>
            <m:r>
              <m:t>t</m:t>
            </m:r>
            <m:r>
              <m:t>i</m:t>
            </m:r>
            <m:r>
              <m:t>l</m:t>
            </m:r>
            <m:r>
              <m:t>i</m:t>
            </m:r>
            <m:r>
              <m:t>z</m:t>
            </m:r>
            <m:r>
              <m:t>a</m:t>
            </m:r>
            <m:r>
              <m:t>t</m:t>
            </m:r>
            <m:r>
              <m:t>i</m:t>
            </m:r>
            <m:r>
              <m:t>o</m:t>
            </m:r>
            <m:r>
              <m:t>n</m:t>
            </m:r>
          </m:sub>
        </m:sSub>
      </m:oMath>
      <w:r>
        <w:t xml:space="preserve"> </w:t>
      </w:r>
      <w:r>
        <w:t xml:space="preserve">is the utilization factor (percentage of saved time reallocated to billable work).</w:t>
      </w:r>
    </w:p>
    <w:p>
      <w:pPr>
        <w:pStyle w:val="Heading3"/>
      </w:pPr>
      <w:bookmarkStart w:id="64" w:name="a.3-aggregate-value-function"/>
      <w:r>
        <w:t xml:space="preserve">A.3 Aggregate Value Function</w:t>
      </w:r>
      <w:bookmarkEnd w:id="64"/>
    </w:p>
    <w:p>
      <w:pPr>
        <w:pStyle w:val="FirstParagraph"/>
      </w:pPr>
      <w:r>
        <w:t xml:space="preserve">The total value</w:t>
      </w:r>
      <w:r>
        <w:t xml:space="preserve"> </w:t>
      </w:r>
      <m:oMath>
        <m:sSub>
          <m:e>
            <m:r>
              <m:t>V</m:t>
            </m:r>
          </m:e>
          <m:sub>
            <m:r>
              <m:t>t</m:t>
            </m:r>
            <m:r>
              <m:t>o</m:t>
            </m:r>
            <m:r>
              <m:t>t</m:t>
            </m:r>
            <m:r>
              <m:t>a</m:t>
            </m:r>
            <m:r>
              <m:t>l</m:t>
            </m:r>
          </m:sub>
        </m:sSub>
      </m:oMath>
      <w:r>
        <w:t xml:space="preserve"> </w:t>
      </w:r>
      <w:r>
        <w:t xml:space="preserve">delivered by the AI system is the weighted sum of individual value driver contributions:</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n</m:t>
              </m:r>
            </m:sup>
            <m:e>
              <m:sSub>
                <m:e>
                  <m:r>
                    <m:t>w</m:t>
                  </m:r>
                </m:e>
                <m:sub>
                  <m:r>
                    <m:t>i</m:t>
                  </m:r>
                </m:sub>
              </m:sSub>
            </m:e>
          </m:nary>
          <m:r>
            <m:t>⋅</m:t>
          </m:r>
          <m:sSub>
            <m:e>
              <m:r>
                <m:t>f</m:t>
              </m:r>
            </m:e>
            <m:sub>
              <m:r>
                <m:t>i</m:t>
              </m:r>
            </m:sub>
          </m:sSub>
          <m:r>
            <m:t>(</m:t>
          </m:r>
          <m:sSub>
            <m:e>
              <m:r>
                <m:t>v</m:t>
              </m:r>
            </m:e>
            <m:sub>
              <m:r>
                <m:t>i</m:t>
              </m:r>
            </m:sub>
          </m:sSub>
          <m:r>
            <m:t>)</m:t>
          </m:r>
        </m:oMath>
      </m:oMathPara>
    </w:p>
    <w:p>
      <w:pPr>
        <w:pStyle w:val="FirstParagraph"/>
      </w:pPr>
      <w:r>
        <w:t xml:space="preserve">This aggregate value represents the economic benefit delivered to the customer and forms the basis for value-based pricing. The optimal price</w:t>
      </w:r>
      <w:r>
        <w:t xml:space="preserve"> </w:t>
      </w:r>
      <m:oMath>
        <m:sSup>
          <m:e>
            <m:r>
              <m:t>P</m:t>
            </m:r>
          </m:e>
          <m:sup>
            <m:r>
              <m:t>*</m:t>
            </m:r>
          </m:sup>
        </m:sSup>
      </m:oMath>
      <w:r>
        <w:t xml:space="preserve"> </w:t>
      </w:r>
      <w:r>
        <w:t xml:space="preserve">satisfies:</w:t>
      </w:r>
    </w:p>
    <w:p>
      <w:pPr>
        <w:pStyle w:val="BodyText"/>
      </w:pPr>
      <m:oMathPara>
        <m:oMathParaPr>
          <m:jc m:val="center"/>
        </m:oMathParaPr>
        <m:oMath>
          <m:sSup>
            <m:e>
              <m:r>
                <m:t>P</m:t>
              </m:r>
            </m:e>
            <m:sup>
              <m:r>
                <m:t>*</m:t>
              </m:r>
            </m:sup>
          </m:sSup>
          <m:r>
            <m:t>=</m:t>
          </m:r>
          <m:r>
            <m:t>θ</m:t>
          </m:r>
          <m:r>
            <m:t>⋅</m:t>
          </m:r>
          <m:sSub>
            <m:e>
              <m:r>
                <m:t>V</m:t>
              </m:r>
            </m:e>
            <m:sub>
              <m:r>
                <m:t>t</m:t>
              </m:r>
              <m:r>
                <m:t>o</m:t>
              </m:r>
              <m:r>
                <m:t>t</m:t>
              </m:r>
              <m:r>
                <m:t>a</m:t>
              </m:r>
              <m:r>
                <m:t>l</m:t>
              </m:r>
            </m:sub>
          </m:sSub>
        </m:oMath>
      </m:oMathPara>
    </w:p>
    <w:p>
      <w:pPr>
        <w:pStyle w:val="FirstParagraph"/>
      </w:pPr>
      <w:r>
        <w:t xml:space="preserve">where</w:t>
      </w:r>
      <w:r>
        <w:t xml:space="preserve"> </w:t>
      </w:r>
      <m:oMath>
        <m:r>
          <m:t>θ</m:t>
        </m:r>
        <m:r>
          <m:t>∈</m:t>
        </m:r>
        <m:r>
          <m:t>(</m:t>
        </m:r>
        <m:r>
          <m:t>0</m:t>
        </m:r>
        <m:r>
          <m:t>,</m:t>
        </m:r>
        <m:r>
          <m:t>1</m:t>
        </m:r>
        <m:r>
          <m:t>)</m:t>
        </m:r>
      </m:oMath>
      <w:r>
        <w:t xml:space="preserve"> </w:t>
      </w:r>
      <w:r>
        <w:t xml:space="preserve">is the value capture rate, representing the fraction of created value that the AI provider captures as revenue. Typical value capture rates range from</w:t>
      </w:r>
      <w:r>
        <w:t xml:space="preserve"> </w:t>
      </w:r>
      <m:oMath>
        <m:r>
          <m:t>θ</m:t>
        </m:r>
        <m:r>
          <m:t>=</m:t>
        </m:r>
        <m:r>
          <m:t>0.10</m:t>
        </m:r>
      </m:oMath>
      <w:r>
        <w:t xml:space="preserve"> </w:t>
      </w:r>
      <w:r>
        <w:t xml:space="preserve">(10% value share) to</w:t>
      </w:r>
      <w:r>
        <w:t xml:space="preserve"> </w:t>
      </w:r>
      <m:oMath>
        <m:r>
          <m:t>θ</m:t>
        </m:r>
        <m:r>
          <m:t>=</m:t>
        </m:r>
        <m:r>
          <m:t>0.40</m:t>
        </m:r>
      </m:oMath>
      <w:r>
        <w:t xml:space="preserve"> </w:t>
      </w:r>
      <w:r>
        <w:t xml:space="preserve">(40% value share), depending on market competition, customer bargaining power, and the criticality of the AI system to customer operations.</w:t>
      </w:r>
    </w:p>
    <w:p>
      <w:pPr>
        <w:pStyle w:val="Heading3"/>
      </w:pPr>
      <w:bookmarkStart w:id="65" w:name="a.4-token-based-pricing-comparison"/>
      <w:r>
        <w:t xml:space="preserve">A.4 Token-Based Pricing Comparison</w:t>
      </w:r>
      <w:bookmarkEnd w:id="65"/>
    </w:p>
    <w:p>
      <w:pPr>
        <w:pStyle w:val="FirstParagraph"/>
      </w:pPr>
      <w:r>
        <w:t xml:space="preserve">In contrast, token-based pricing sets price as:</w:t>
      </w:r>
    </w:p>
    <w:p>
      <w:pPr>
        <w:pStyle w:val="BodyText"/>
      </w:pPr>
      <m:oMathPara>
        <m:oMathParaPr>
          <m:jc m:val="center"/>
        </m:oMathParaPr>
        <m:oMath>
          <m:sSub>
            <m:e>
              <m:r>
                <m:t>P</m:t>
              </m:r>
            </m:e>
            <m:sub>
              <m:r>
                <m:t>t</m:t>
              </m:r>
              <m:r>
                <m:t>o</m:t>
              </m:r>
              <m:r>
                <m:t>k</m:t>
              </m:r>
              <m:r>
                <m:t>e</m:t>
              </m:r>
              <m:r>
                <m:t>n</m:t>
              </m:r>
            </m:sub>
          </m:sSub>
          <m:r>
            <m:t>=</m:t>
          </m:r>
          <m:r>
            <m:t>r</m:t>
          </m:r>
          <m:r>
            <m:t>⋅</m:t>
          </m:r>
          <m:r>
            <m:t>T</m:t>
          </m:r>
        </m:oMath>
      </m:oMathPara>
    </w:p>
    <w:p>
      <w:pPr>
        <w:pStyle w:val="FirstParagraph"/>
      </w:pPr>
      <w:r>
        <w:t xml:space="preserve">where</w:t>
      </w:r>
      <w:r>
        <w:t xml:space="preserve"> </w:t>
      </w:r>
      <m:oMath>
        <m:r>
          <m:t>r</m:t>
        </m:r>
      </m:oMath>
      <w:r>
        <w:t xml:space="preserve"> </w:t>
      </w:r>
      <w:r>
        <w:t xml:space="preserve">is the price per token and</w:t>
      </w:r>
      <w:r>
        <w:t xml:space="preserve"> </w:t>
      </w:r>
      <m:oMath>
        <m:r>
          <m:t>T</m:t>
        </m:r>
      </m:oMath>
      <w:r>
        <w:t xml:space="preserve"> </w:t>
      </w:r>
      <w:r>
        <w:t xml:space="preserve">is the total number of tokens consumed. The inefficiency of token-based pricing can be quantified by the value-price misalignment metric:</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r>
                <m:t>β</m:t>
              </m:r>
              <m:r>
                <m:t>⋅</m:t>
              </m:r>
              <m:sSub>
                <m:e>
                  <m:r>
                    <m:t>P</m:t>
                  </m:r>
                </m:e>
                <m:sub>
                  <m:r>
                    <m:t>t</m:t>
                  </m:r>
                  <m:r>
                    <m:t>o</m:t>
                  </m:r>
                  <m:r>
                    <m:t>k</m:t>
                  </m:r>
                  <m:r>
                    <m:t>e</m:t>
                  </m:r>
                  <m:r>
                    <m:t>n</m:t>
                  </m:r>
                </m:sub>
              </m:sSub>
              <m:r>
                <m:t>|</m:t>
              </m:r>
            </m:num>
            <m:den>
              <m:sSub>
                <m:e>
                  <m:r>
                    <m:t>V</m:t>
                  </m:r>
                </m:e>
                <m:sub>
                  <m:r>
                    <m:t>t</m:t>
                  </m:r>
                  <m:r>
                    <m:t>o</m:t>
                  </m:r>
                  <m:r>
                    <m:t>t</m:t>
                  </m:r>
                  <m:r>
                    <m:t>a</m:t>
                  </m:r>
                  <m:r>
                    <m:t>l</m:t>
                  </m:r>
                </m:sub>
              </m:sSub>
            </m:den>
          </m:f>
        </m:oMath>
      </m:oMathPara>
    </w:p>
    <w:p>
      <w:pPr>
        <w:pStyle w:val="FirstParagraph"/>
      </w:pPr>
      <w:r>
        <w:t xml:space="preserve">where</w:t>
      </w:r>
      <w:r>
        <w:t xml:space="preserve"> </w:t>
      </w:r>
      <m:oMath>
        <m:r>
          <m:t>β</m:t>
        </m:r>
      </m:oMath>
      <w:r>
        <w:t xml:space="preserve"> </w:t>
      </w:r>
      <w:r>
        <w:t xml:space="preserve">is a normalization constant. High misalignment (</w:t>
      </w:r>
      <m:oMath>
        <m:r>
          <m:t>M</m:t>
        </m:r>
        <m:r>
          <m:t>&gt;</m:t>
        </m:r>
        <m:r>
          <m:t>0.5</m:t>
        </m:r>
      </m:oMath>
      <w:r>
        <w:t xml:space="preserve">) indicates substantial disconnect between computational cost and delivered value, suggesting that value-based pricing would provide superior market efficiency.</w:t>
      </w:r>
    </w:p>
    <w:p>
      <w:pPr>
        <w:pStyle w:val="Heading2"/>
      </w:pPr>
      <w:bookmarkStart w:id="66" w:name="Xcb64889e0f7c2ca0f8388584232cf1cd197e201"/>
      <w:r>
        <w:t xml:space="preserve">Appendix B: Implementation Checklist for Value-Based Pricing</w:t>
      </w:r>
      <w:bookmarkEnd w:id="66"/>
    </w:p>
    <w:p>
      <w:pPr>
        <w:pStyle w:val="FirstParagraph"/>
      </w:pPr>
      <w:r>
        <w:t xml:space="preserve">This appendix provides a practical checklist for AI vendors considering transition to value-based pricing models.</w:t>
      </w:r>
    </w:p>
    <w:p>
      <w:pPr>
        <w:pStyle w:val="BodyText"/>
      </w:pPr>
      <w:r>
        <w:rPr>
          <w:b/>
        </w:rPr>
        <w:t xml:space="preserve">Phase 1: Value Assessment (Weeks 1-4)</w:t>
      </w:r>
    </w:p>
    <w:p>
      <w:pPr>
        <w:numPr>
          <w:ilvl w:val="0"/>
          <w:numId w:val="1006"/>
        </w:numPr>
        <w:pStyle w:val="Compact"/>
      </w:pPr>
      <w:r>
        <w:t xml:space="preserve">☐ Conduct customer interviews to identify primary value drivers for top 3-5 customer segments</w:t>
      </w:r>
    </w:p>
    <w:p>
      <w:pPr>
        <w:numPr>
          <w:ilvl w:val="0"/>
          <w:numId w:val="1006"/>
        </w:numPr>
        <w:pStyle w:val="Compact"/>
      </w:pPr>
      <w:r>
        <w:t xml:space="preserve">☐ Analyze historical usage data to correlate AI system features with customer outcomes</w:t>
      </w:r>
    </w:p>
    <w:p>
      <w:pPr>
        <w:numPr>
          <w:ilvl w:val="0"/>
          <w:numId w:val="1006"/>
        </w:numPr>
        <w:pStyle w:val="Compact"/>
      </w:pPr>
      <w:r>
        <w:t xml:space="preserve">☐ Develop baseline value quantification methodology for each identified value driver</w:t>
      </w:r>
    </w:p>
    <w:p>
      <w:pPr>
        <w:numPr>
          <w:ilvl w:val="0"/>
          <w:numId w:val="1006"/>
        </w:numPr>
        <w:pStyle w:val="Compact"/>
      </w:pPr>
      <w:r>
        <w:t xml:space="preserve">☐ Create customer value segmentation model (high-value, medium-value, low-value segments)</w:t>
      </w:r>
    </w:p>
    <w:p>
      <w:pPr>
        <w:numPr>
          <w:ilvl w:val="0"/>
          <w:numId w:val="1006"/>
        </w:numPr>
        <w:pStyle w:val="Compact"/>
      </w:pPr>
      <w:r>
        <w:t xml:space="preserve">☐ Benchmark current pricing against estimated value delivered to identify misalignment</w:t>
      </w:r>
    </w:p>
    <w:p>
      <w:pPr>
        <w:pStyle w:val="FirstParagraph"/>
      </w:pPr>
      <w:r>
        <w:rPr>
          <w:b/>
        </w:rPr>
        <w:t xml:space="preserve">Phase 2: Pricing Model Design (Weeks 5-8)</w:t>
      </w:r>
    </w:p>
    <w:p>
      <w:pPr>
        <w:numPr>
          <w:ilvl w:val="0"/>
          <w:numId w:val="1007"/>
        </w:numPr>
        <w:pStyle w:val="Compact"/>
      </w:pPr>
      <w:r>
        <w:t xml:space="preserve">☐ Design 2-3 alternative value-based pricing structures (e.g., outcome-based, tiered subscription, hybrid)</w:t>
      </w:r>
    </w:p>
    <w:p>
      <w:pPr>
        <w:numPr>
          <w:ilvl w:val="0"/>
          <w:numId w:val="1007"/>
        </w:numPr>
        <w:pStyle w:val="Compact"/>
      </w:pPr>
      <w:r>
        <w:t xml:space="preserve">☐ Develop pricing calculator tools that translate value metrics into pricing</w:t>
      </w:r>
    </w:p>
    <w:p>
      <w:pPr>
        <w:numPr>
          <w:ilvl w:val="0"/>
          <w:numId w:val="1007"/>
        </w:numPr>
        <w:pStyle w:val="Compact"/>
      </w:pPr>
      <w:r>
        <w:t xml:space="preserve">☐ Create pricing simulation models to forecast revenue impacts under different scenarios</w:t>
      </w:r>
    </w:p>
    <w:p>
      <w:pPr>
        <w:numPr>
          <w:ilvl w:val="0"/>
          <w:numId w:val="1007"/>
        </w:numPr>
        <w:pStyle w:val="Compact"/>
      </w:pPr>
      <w:r>
        <w:t xml:space="preserve">☐ Design customer communication materials explaining value-based pricing rationale</w:t>
      </w:r>
    </w:p>
    <w:p>
      <w:pPr>
        <w:numPr>
          <w:ilvl w:val="0"/>
          <w:numId w:val="1007"/>
        </w:numPr>
        <w:pStyle w:val="Compact"/>
      </w:pPr>
      <w:r>
        <w:t xml:space="preserve">☐ Establish pricing governance process (who approves deals, discount limits, etc.)</w:t>
      </w:r>
    </w:p>
    <w:p>
      <w:pPr>
        <w:pStyle w:val="FirstParagraph"/>
      </w:pPr>
      <w:r>
        <w:rPr>
          <w:b/>
        </w:rPr>
        <w:t xml:space="preserve">Phase 3: Infrastructure Development (Weeks 9-16)</w:t>
      </w:r>
    </w:p>
    <w:p>
      <w:pPr>
        <w:numPr>
          <w:ilvl w:val="0"/>
          <w:numId w:val="1008"/>
        </w:numPr>
        <w:pStyle w:val="Compact"/>
      </w:pPr>
      <w:r>
        <w:t xml:space="preserve">☐ Implement value tracking analytics platform to measure customer outcomes in real-time</w:t>
      </w:r>
    </w:p>
    <w:p>
      <w:pPr>
        <w:numPr>
          <w:ilvl w:val="0"/>
          <w:numId w:val="1008"/>
        </w:numPr>
        <w:pStyle w:val="Compact"/>
      </w:pPr>
      <w:r>
        <w:t xml:space="preserve">☐ Integrate value metrics into customer dashboard for transparency</w:t>
      </w:r>
    </w:p>
    <w:p>
      <w:pPr>
        <w:numPr>
          <w:ilvl w:val="0"/>
          <w:numId w:val="1008"/>
        </w:numPr>
        <w:pStyle w:val="Compact"/>
      </w:pPr>
      <w:r>
        <w:t xml:space="preserve">☐ Update billing systems to support new pricing structures</w:t>
      </w:r>
    </w:p>
    <w:p>
      <w:pPr>
        <w:numPr>
          <w:ilvl w:val="0"/>
          <w:numId w:val="1008"/>
        </w:numPr>
        <w:pStyle w:val="Compact"/>
      </w:pPr>
      <w:r>
        <w:t xml:space="preserve">☐ Develop customer success playbooks for ensuring value realization</w:t>
      </w:r>
    </w:p>
    <w:p>
      <w:pPr>
        <w:numPr>
          <w:ilvl w:val="0"/>
          <w:numId w:val="1008"/>
        </w:numPr>
        <w:pStyle w:val="Compact"/>
      </w:pPr>
      <w:r>
        <w:t xml:space="preserve">☐ Create sales enablement training on value-based selling techniques</w:t>
      </w:r>
    </w:p>
    <w:p>
      <w:pPr>
        <w:pStyle w:val="FirstParagraph"/>
      </w:pPr>
      <w:r>
        <w:rPr>
          <w:b/>
        </w:rPr>
        <w:t xml:space="preserve">Phase 4: Pilot Testing (Weeks 17-24)</w:t>
      </w:r>
    </w:p>
    <w:p>
      <w:pPr>
        <w:numPr>
          <w:ilvl w:val="0"/>
          <w:numId w:val="1009"/>
        </w:numPr>
        <w:pStyle w:val="Compact"/>
      </w:pPr>
      <w:r>
        <w:t xml:space="preserve">☐ Select 3-5 pilot customers across different segments willing to trial new pricing</w:t>
      </w:r>
    </w:p>
    <w:p>
      <w:pPr>
        <w:numPr>
          <w:ilvl w:val="0"/>
          <w:numId w:val="1009"/>
        </w:numPr>
        <w:pStyle w:val="Compact"/>
      </w:pPr>
      <w:r>
        <w:t xml:space="preserve">☐ Implement value-based pricing with pilot customers under controlled conditions</w:t>
      </w:r>
    </w:p>
    <w:p>
      <w:pPr>
        <w:numPr>
          <w:ilvl w:val="0"/>
          <w:numId w:val="1009"/>
        </w:numPr>
        <w:pStyle w:val="Compact"/>
      </w:pPr>
      <w:r>
        <w:t xml:space="preserve">☐ Collect feedback on pricing clarity, fairness perception, and administrative complexity</w:t>
      </w:r>
    </w:p>
    <w:p>
      <w:pPr>
        <w:numPr>
          <w:ilvl w:val="0"/>
          <w:numId w:val="1009"/>
        </w:numPr>
        <w:pStyle w:val="Compact"/>
      </w:pPr>
      <w:r>
        <w:t xml:space="preserve">☐ Track key metrics: customer satisfaction, renewal rates, revenue per customer, value realization</w:t>
      </w:r>
    </w:p>
    <w:p>
      <w:pPr>
        <w:numPr>
          <w:ilvl w:val="0"/>
          <w:numId w:val="1009"/>
        </w:numPr>
        <w:pStyle w:val="Compact"/>
      </w:pPr>
      <w:r>
        <w:t xml:space="preserve">☐ Refine pricing model based on pilot results</w:t>
      </w:r>
    </w:p>
    <w:p>
      <w:pPr>
        <w:pStyle w:val="FirstParagraph"/>
      </w:pPr>
      <w:r>
        <w:rPr>
          <w:b/>
        </w:rPr>
        <w:t xml:space="preserve">Phase 5: Rollout and Optimization (Weeks 25+)</w:t>
      </w:r>
    </w:p>
    <w:p>
      <w:pPr>
        <w:numPr>
          <w:ilvl w:val="0"/>
          <w:numId w:val="1010"/>
        </w:numPr>
        <w:pStyle w:val="Compact"/>
      </w:pPr>
      <w:r>
        <w:t xml:space="preserve">☐ Develop phased rollout plan (new customers first, then existing customer transitions)</w:t>
      </w:r>
    </w:p>
    <w:p>
      <w:pPr>
        <w:numPr>
          <w:ilvl w:val="0"/>
          <w:numId w:val="1010"/>
        </w:numPr>
        <w:pStyle w:val="Compact"/>
      </w:pPr>
      <w:r>
        <w:t xml:space="preserve">☐ Offer grandfather clauses or transition incentives for existing customers</w:t>
      </w:r>
    </w:p>
    <w:p>
      <w:pPr>
        <w:numPr>
          <w:ilvl w:val="0"/>
          <w:numId w:val="1010"/>
        </w:numPr>
        <w:pStyle w:val="Compact"/>
      </w:pPr>
      <w:r>
        <w:t xml:space="preserve">☐ Monitor market response and competitive reactions</w:t>
      </w:r>
    </w:p>
    <w:p>
      <w:pPr>
        <w:numPr>
          <w:ilvl w:val="0"/>
          <w:numId w:val="1010"/>
        </w:numPr>
        <w:pStyle w:val="Compact"/>
      </w:pPr>
      <w:r>
        <w:t xml:space="preserve">☐ Continuously refine value metrics based on customer feedback and outcome data</w:t>
      </w:r>
    </w:p>
    <w:p>
      <w:pPr>
        <w:numPr>
          <w:ilvl w:val="0"/>
          <w:numId w:val="1010"/>
        </w:numPr>
        <w:pStyle w:val="Compact"/>
      </w:pPr>
      <w:r>
        <w:t xml:space="preserve">☐ Establish regular pricing review cycles (quarterly or semi-annually)</w:t>
      </w:r>
    </w:p>
    <w:p>
      <w:pPr>
        <w:pStyle w:val="Heading2"/>
      </w:pPr>
      <w:bookmarkStart w:id="67" w:name="X92c26556749c1c8c90664500ced30d43afe5058"/>
      <w:r>
        <w:t xml:space="preserve">Appendix C: Theoretical Case Study Projections</w:t>
      </w:r>
      <w:bookmarkEnd w:id="67"/>
    </w:p>
    <w:p>
      <w:pPr>
        <w:pStyle w:val="FirstParagraph"/>
      </w:pPr>
      <w:r>
        <w:t xml:space="preserve">This appendix provides additional quantitative detail for the theoretical case studies presented in the main analysis.</w:t>
      </w:r>
      <w:r>
        <w:t xml:space="preserve"> </w:t>
      </w:r>
      <w:r>
        <w:rPr>
          <w:b/>
        </w:rPr>
        <w:t xml:space="preserve">Note</w:t>
      </w:r>
      <w:r>
        <w:t xml:space="preserve">: All numerical values represent plausible projections based on industry reports and economic modeling, not empirical measurements from actual deployments.</w:t>
      </w:r>
    </w:p>
    <w:p>
      <w:pPr>
        <w:pStyle w:val="BodyText"/>
      </w:pPr>
      <w:r>
        <w:rPr>
          <w:b/>
        </w:rPr>
        <w:t xml:space="preserve">Table C.1: Healthcare Diagnostic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 (%)</w:t>
            </w:r>
          </w:p>
        </w:tc>
      </w:tr>
      <w:tr>
        <w:tc>
          <w:p>
            <w:pPr>
              <w:pStyle w:val="Compact"/>
              <w:jc w:val="left"/>
            </w:pPr>
            <w:r>
              <w:rPr>
                <w:b/>
              </w:rPr>
              <w:t xml:space="preserve">Market Adoption</w:t>
            </w:r>
          </w:p>
        </w:tc>
        <w:tc>
          <w:p/>
        </w:tc>
        <w:tc>
          <w:p/>
        </w:tc>
        <w:tc>
          <w:p/>
        </w:tc>
      </w:tr>
      <w:tr>
        <w:tc>
          <w:p>
            <w:pPr>
              <w:pStyle w:val="Compact"/>
              <w:jc w:val="left"/>
            </w:pPr>
            <w:r>
              <w:t xml:space="preserve">Adoption Rate (hospitals)</w:t>
            </w:r>
          </w:p>
        </w:tc>
        <w:tc>
          <w:p>
            <w:pPr>
              <w:pStyle w:val="Compact"/>
              <w:jc w:val="right"/>
            </w:pPr>
            <w:r>
              <w:t xml:space="preserve">12%</w:t>
            </w:r>
          </w:p>
        </w:tc>
        <w:tc>
          <w:p>
            <w:pPr>
              <w:pStyle w:val="Compact"/>
              <w:jc w:val="right"/>
            </w:pPr>
            <w:r>
              <w:t xml:space="preserve">53%</w:t>
            </w:r>
          </w:p>
        </w:tc>
        <w:tc>
          <w:p>
            <w:pPr>
              <w:pStyle w:val="Compact"/>
              <w:jc w:val="right"/>
            </w:pPr>
            <w:r>
              <w:t xml:space="preserve">+341%</w:t>
            </w:r>
          </w:p>
        </w:tc>
      </w:tr>
      <w:tr>
        <w:tc>
          <w:p>
            <w:pPr>
              <w:pStyle w:val="Compact"/>
              <w:jc w:val="left"/>
            </w:pPr>
            <w:r>
              <w:t xml:space="preserve">Customer Satisfaction (NPS)</w:t>
            </w:r>
          </w:p>
        </w:tc>
        <w:tc>
          <w:p>
            <w:pPr>
              <w:pStyle w:val="Compact"/>
              <w:jc w:val="right"/>
            </w:pPr>
            <w:r>
              <w:t xml:space="preserve">32</w:t>
            </w:r>
          </w:p>
        </w:tc>
        <w:tc>
          <w:p>
            <w:pPr>
              <w:pStyle w:val="Compact"/>
              <w:jc w:val="right"/>
            </w:pPr>
            <w:r>
              <w:t xml:space="preserve">68</w:t>
            </w:r>
          </w:p>
        </w:tc>
        <w:tc>
          <w:p>
            <w:pPr>
              <w:pStyle w:val="Compact"/>
              <w:jc w:val="right"/>
            </w:pPr>
            <w:r>
              <w:t xml:space="preserve">+113%</w:t>
            </w:r>
          </w:p>
        </w:tc>
      </w:tr>
      <w:tr>
        <w:tc>
          <w:p>
            <w:pPr>
              <w:pStyle w:val="Compact"/>
              <w:jc w:val="left"/>
            </w:pPr>
            <w:r>
              <w:rPr>
                <w:b/>
              </w:rPr>
              <w:t xml:space="preserve">Business Metrics</w:t>
            </w:r>
          </w:p>
        </w:tc>
        <w:tc>
          <w:p/>
        </w:tc>
        <w:tc>
          <w:p/>
        </w:tc>
        <w:tc>
          <w:p/>
        </w:tc>
      </w:tr>
      <w:tr>
        <w:tc>
          <w:p>
            <w:pPr>
              <w:pStyle w:val="Compact"/>
              <w:jc w:val="left"/>
            </w:pPr>
            <w:r>
              <w:t xml:space="preserve">Revenue per Hospital (annual)</w:t>
            </w:r>
          </w:p>
        </w:tc>
        <w:tc>
          <w:p>
            <w:pPr>
              <w:pStyle w:val="Compact"/>
              <w:jc w:val="right"/>
            </w:pPr>
            <w:r>
              <w:t xml:space="preserve">$4,200</w:t>
            </w:r>
          </w:p>
        </w:tc>
        <w:tc>
          <w:p>
            <w:pPr>
              <w:pStyle w:val="Compact"/>
              <w:jc w:val="right"/>
            </w:pPr>
            <w:r>
              <w:t xml:space="preserve">$22,500</w:t>
            </w:r>
          </w:p>
        </w:tc>
        <w:tc>
          <w:p>
            <w:pPr>
              <w:pStyle w:val="Compact"/>
              <w:jc w:val="right"/>
            </w:pPr>
            <w:r>
              <w:t xml:space="preserve">+436%</w:t>
            </w:r>
          </w:p>
        </w:tc>
      </w:tr>
      <w:tr>
        <w:tc>
          <w:p>
            <w:pPr>
              <w:pStyle w:val="Compact"/>
              <w:jc w:val="left"/>
            </w:pPr>
            <w:r>
              <w:t xml:space="preserve">Scans Processed per Hospital</w:t>
            </w:r>
          </w:p>
        </w:tc>
        <w:tc>
          <w:p>
            <w:pPr>
              <w:pStyle w:val="Compact"/>
              <w:jc w:val="right"/>
            </w:pPr>
            <w:r>
              <w:t xml:space="preserve">850</w:t>
            </w:r>
          </w:p>
        </w:tc>
        <w:tc>
          <w:p>
            <w:pPr>
              <w:pStyle w:val="Compact"/>
              <w:jc w:val="right"/>
            </w:pPr>
            <w:r>
              <w:t xml:space="preserve">3,200</w:t>
            </w:r>
          </w:p>
        </w:tc>
        <w:tc>
          <w:p>
            <w:pPr>
              <w:pStyle w:val="Compact"/>
              <w:jc w:val="right"/>
            </w:pPr>
            <w:r>
              <w:t xml:space="preserve">+276%</w:t>
            </w:r>
          </w:p>
        </w:tc>
      </w:tr>
      <w:tr>
        <w:tc>
          <w:p>
            <w:pPr>
              <w:pStyle w:val="Compact"/>
              <w:jc w:val="left"/>
            </w:pPr>
            <w:r>
              <w:rPr>
                <w:b/>
              </w:rPr>
              <w:t xml:space="preserve">Quality &amp; Value</w:t>
            </w:r>
          </w:p>
        </w:tc>
        <w:tc>
          <w:p/>
        </w:tc>
        <w:tc>
          <w:p/>
        </w:tc>
        <w:tc>
          <w:p/>
        </w:tc>
      </w:tr>
      <w:tr>
        <w:tc>
          <w:p>
            <w:pPr>
              <w:pStyle w:val="Compact"/>
              <w:jc w:val="left"/>
            </w:pPr>
            <w:r>
              <w:t xml:space="preserve">Clinical Accuracy (diagnostic precision)</w:t>
            </w:r>
          </w:p>
        </w:tc>
        <w:tc>
          <w:p>
            <w:pPr>
              <w:pStyle w:val="Compact"/>
              <w:jc w:val="right"/>
            </w:pPr>
            <w:r>
              <w:t xml:space="preserve">94%</w:t>
            </w:r>
          </w:p>
        </w:tc>
        <w:tc>
          <w:p>
            <w:pPr>
              <w:pStyle w:val="Compact"/>
              <w:jc w:val="right"/>
            </w:pPr>
            <w:r>
              <w:t xml:space="preserve">94%</w:t>
            </w:r>
          </w:p>
        </w:tc>
        <w:tc>
          <w:p>
            <w:pPr>
              <w:pStyle w:val="Compact"/>
              <w:jc w:val="right"/>
            </w:pPr>
            <w:r>
              <w:t xml:space="preserve">0%</w:t>
            </w:r>
          </w:p>
        </w:tc>
      </w:tr>
      <w:tr>
        <w:tc>
          <w:p>
            <w:pPr>
              <w:pStyle w:val="Compact"/>
              <w:jc w:val="left"/>
            </w:pPr>
            <w:r>
              <w:t xml:space="preserve">Value per Scan (treatment cost savings)</w:t>
            </w:r>
          </w:p>
        </w:tc>
        <w:tc>
          <w:p>
            <w:pPr>
              <w:pStyle w:val="Compact"/>
              <w:jc w:val="right"/>
            </w:pPr>
            <w:r>
              <w:t xml:space="preserve">$45,000</w:t>
            </w:r>
          </w:p>
        </w:tc>
        <w:tc>
          <w:p>
            <w:pPr>
              <w:pStyle w:val="Compact"/>
              <w:jc w:val="right"/>
            </w:pPr>
            <w:r>
              <w:t xml:space="preserve">$45,000</w:t>
            </w:r>
          </w:p>
        </w:tc>
        <w:tc>
          <w:p>
            <w:pPr>
              <w:pStyle w:val="Compact"/>
              <w:jc w:val="right"/>
            </w:pPr>
            <w:r>
              <w:t xml:space="preserve">0%</w:t>
            </w:r>
          </w:p>
        </w:tc>
      </w:tr>
      <w:tr>
        <w:tc>
          <w:p>
            <w:pPr>
              <w:pStyle w:val="Compact"/>
              <w:jc w:val="left"/>
            </w:pPr>
            <w:r>
              <w:rPr>
                <w:b/>
              </w:rPr>
              <w:t xml:space="preserve">Economic Alignment</w:t>
            </w:r>
          </w:p>
        </w:tc>
        <w:tc>
          <w:p/>
        </w:tc>
        <w:tc>
          <w:p/>
        </w:tc>
        <w:tc>
          <w:p/>
        </w:tc>
      </w:tr>
      <w:tr>
        <w:tc>
          <w:p>
            <w:pPr>
              <w:pStyle w:val="Compact"/>
              <w:jc w:val="left"/>
            </w:pPr>
            <w:r>
              <w:t xml:space="preserve">Cost per Scan (hospital expense)</w:t>
            </w:r>
          </w:p>
        </w:tc>
        <w:tc>
          <w:p>
            <w:pPr>
              <w:pStyle w:val="Compact"/>
              <w:jc w:val="right"/>
            </w:pPr>
            <w:r>
              <w:t xml:space="preserve">$1.00</w:t>
            </w:r>
          </w:p>
        </w:tc>
        <w:tc>
          <w:p>
            <w:pPr>
              <w:pStyle w:val="Compact"/>
              <w:jc w:val="right"/>
            </w:pPr>
            <w:r>
              <w:t xml:space="preserve">$50.00</w:t>
            </w:r>
          </w:p>
        </w:tc>
        <w:tc>
          <w:p>
            <w:pPr>
              <w:pStyle w:val="Compact"/>
              <w:jc w:val="right"/>
            </w:pPr>
            <w:r>
              <w:t xml:space="preserve">+4,900%</w:t>
            </w:r>
          </w:p>
        </w:tc>
      </w:tr>
      <w:tr>
        <w:tc>
          <w:p>
            <w:pPr>
              <w:pStyle w:val="Compact"/>
              <w:jc w:val="left"/>
            </w:pPr>
            <w:r>
              <w:t xml:space="preserve">Value Capture Rate (provider)</w:t>
            </w:r>
          </w:p>
        </w:tc>
        <w:tc>
          <w:p>
            <w:pPr>
              <w:pStyle w:val="Compact"/>
              <w:jc w:val="right"/>
            </w:pPr>
            <w:r>
              <w:t xml:space="preserve">0.002%</w:t>
            </w:r>
          </w:p>
        </w:tc>
        <w:tc>
          <w:p>
            <w:pPr>
              <w:pStyle w:val="Compact"/>
              <w:jc w:val="right"/>
            </w:pPr>
            <w:r>
              <w:t xml:space="preserve">0.11%</w:t>
            </w:r>
          </w:p>
        </w:tc>
        <w:tc>
          <w:p>
            <w:pPr>
              <w:pStyle w:val="Compact"/>
              <w:jc w:val="right"/>
            </w:pPr>
            <w:r>
              <w:t xml:space="preserve">+5,400%</w:t>
            </w:r>
          </w:p>
        </w:tc>
      </w:tr>
    </w:tbl>
    <w:p>
      <w:pPr>
        <w:pStyle w:val="BodyText"/>
      </w:pPr>
      <w:r>
        <w:rPr>
          <w:i/>
        </w:rPr>
        <w:t xml:space="preserve">Note: Token-based pricing creates massive value transfer to hospitals (99.998% consumer surplus) while value-based pricing captures 0.11% of total value, still leaving 99.89% to hospitals. Despite 50× higher per-scan cost, value-based pricing drives 4× higher adoption due to superior value proposition.</w:t>
      </w:r>
    </w:p>
    <w:p>
      <w:pPr>
        <w:pStyle w:val="BodyText"/>
      </w:pPr>
      <w:r>
        <w:rPr>
          <w:b/>
        </w:rPr>
        <w:t xml:space="preserve">Table C.2: Financial Trading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Perf-Based</w:t>
            </w:r>
          </w:p>
        </w:tc>
        <w:tc>
          <w:tcPr>
            <w:tcBorders>
              <w:bottom w:val="single"/>
            </w:tcBorders>
            <w:vAlign w:val="bottom"/>
          </w:tcPr>
          <w:p>
            <w:pPr>
              <w:pStyle w:val="Compact"/>
              <w:jc w:val="right"/>
            </w:pPr>
            <w:r>
              <w:t xml:space="preserve">Change</w:t>
            </w:r>
          </w:p>
        </w:tc>
      </w:tr>
      <w:tr>
        <w:tc>
          <w:p>
            <w:pPr>
              <w:pStyle w:val="Compact"/>
              <w:jc w:val="left"/>
            </w:pPr>
            <w:r>
              <w:rPr>
                <w:b/>
              </w:rPr>
              <w:t xml:space="preserve">Pricing Structure</w:t>
            </w:r>
          </w:p>
        </w:tc>
        <w:tc>
          <w:p/>
        </w:tc>
        <w:tc>
          <w:p/>
        </w:tc>
        <w:tc>
          <w:p/>
        </w:tc>
      </w:tr>
      <w:tr>
        <w:tc>
          <w:p>
            <w:pPr>
              <w:pStyle w:val="Compact"/>
              <w:jc w:val="left"/>
            </w:pPr>
            <w:r>
              <w:t xml:space="preserve">Monthly Base Fee</w:t>
            </w:r>
          </w:p>
        </w:tc>
        <w:tc>
          <w:p>
            <w:pPr>
              <w:pStyle w:val="Compact"/>
              <w:jc w:val="right"/>
            </w:pPr>
            <w:r>
              <w:t xml:space="preserve">$500,000</w:t>
            </w:r>
          </w:p>
        </w:tc>
        <w:tc>
          <w:p>
            <w:pPr>
              <w:pStyle w:val="Compact"/>
              <w:jc w:val="right"/>
            </w:pPr>
            <w:r>
              <w:t xml:space="preserve">$100,000</w:t>
            </w:r>
          </w:p>
        </w:tc>
        <w:tc>
          <w:p>
            <w:pPr>
              <w:pStyle w:val="Compact"/>
              <w:jc w:val="right"/>
            </w:pPr>
            <w:r>
              <w:t xml:space="preserve">-80%</w:t>
            </w:r>
          </w:p>
        </w:tc>
      </w:tr>
      <w:tr>
        <w:tc>
          <w:p>
            <w:pPr>
              <w:pStyle w:val="Compact"/>
              <w:jc w:val="left"/>
            </w:pPr>
            <w:r>
              <w:t xml:space="preserve">Performance Fee (average)</w:t>
            </w:r>
          </w:p>
        </w:tc>
        <w:tc>
          <w:p>
            <w:pPr>
              <w:pStyle w:val="Compact"/>
              <w:jc w:val="right"/>
            </w:pPr>
            <w:r>
              <w:t xml:space="preserve">$0</w:t>
            </w:r>
          </w:p>
        </w:tc>
        <w:tc>
          <w:p>
            <w:pPr>
              <w:pStyle w:val="Compact"/>
              <w:jc w:val="right"/>
            </w:pPr>
            <w:r>
              <w:t xml:space="preserve">$1,250,000</w:t>
            </w:r>
          </w:p>
        </w:tc>
        <w:tc>
          <w:p>
            <w:pPr>
              <w:pStyle w:val="Compact"/>
              <w:jc w:val="right"/>
            </w:pPr>
            <w:r>
              <w:t xml:space="preserve">New component</w:t>
            </w:r>
          </w:p>
        </w:tc>
      </w:tr>
      <w:tr>
        <w:tc>
          <w:p>
            <w:pPr>
              <w:pStyle w:val="Compact"/>
              <w:jc w:val="left"/>
            </w:pPr>
            <w:r>
              <w:rPr>
                <w:b/>
              </w:rPr>
              <w:t xml:space="preserve">Total Monthly Revenue</w:t>
            </w:r>
            <w:r>
              <w:t xml:space="preserve"> </w:t>
            </w:r>
            <w:r>
              <w:t xml:space="preserve">(provider)</w:t>
            </w:r>
          </w:p>
        </w:tc>
        <w:tc>
          <w:p>
            <w:pPr>
              <w:pStyle w:val="Compact"/>
              <w:jc w:val="right"/>
            </w:pPr>
            <w:r>
              <w:rPr>
                <w:b/>
              </w:rPr>
              <w:t xml:space="preserve">$500,000</w:t>
            </w:r>
          </w:p>
        </w:tc>
        <w:tc>
          <w:p>
            <w:pPr>
              <w:pStyle w:val="Compact"/>
              <w:jc w:val="right"/>
            </w:pPr>
            <w:r>
              <w:rPr>
                <w:b/>
              </w:rPr>
              <w:t xml:space="preserve">$1,350,000</w:t>
            </w:r>
          </w:p>
        </w:tc>
        <w:tc>
          <w:p>
            <w:pPr>
              <w:pStyle w:val="Compact"/>
              <w:jc w:val="right"/>
            </w:pPr>
            <w:r>
              <w:rPr>
                <w:b/>
              </w:rPr>
              <w:t xml:space="preserve">+170%</w:t>
            </w:r>
          </w:p>
        </w:tc>
      </w:tr>
      <w:tr>
        <w:tc>
          <w:p>
            <w:pPr>
              <w:pStyle w:val="Compact"/>
              <w:jc w:val="left"/>
            </w:pPr>
            <w:r>
              <w:rPr>
                <w:b/>
              </w:rPr>
              <w:t xml:space="preserve">Customer Outcomes</w:t>
            </w:r>
          </w:p>
        </w:tc>
        <w:tc>
          <w:p/>
        </w:tc>
        <w:tc>
          <w:p/>
        </w:tc>
        <w:tc>
          <w:p/>
        </w:tc>
      </w:tr>
      <w:tr>
        <w:tc>
          <w:p>
            <w:pPr>
              <w:pStyle w:val="Compact"/>
              <w:jc w:val="left"/>
            </w:pPr>
            <w:r>
              <w:t xml:space="preserve">Monthly Trading Profit (customer)</w:t>
            </w:r>
          </w:p>
        </w:tc>
        <w:tc>
          <w:p>
            <w:pPr>
              <w:pStyle w:val="Compact"/>
              <w:jc w:val="right"/>
            </w:pPr>
            <w:r>
              <w:t xml:space="preserve">$18,500,000</w:t>
            </w:r>
          </w:p>
        </w:tc>
        <w:tc>
          <w:p>
            <w:pPr>
              <w:pStyle w:val="Compact"/>
              <w:jc w:val="right"/>
            </w:pPr>
            <w:r>
              <w:t xml:space="preserve">$32,000,000</w:t>
            </w:r>
          </w:p>
        </w:tc>
        <w:tc>
          <w:p>
            <w:pPr>
              <w:pStyle w:val="Compact"/>
              <w:jc w:val="right"/>
            </w:pPr>
            <w:r>
              <w:t xml:space="preserve">+73%</w:t>
            </w:r>
          </w:p>
        </w:tc>
      </w:tr>
      <w:tr>
        <w:tc>
          <w:p>
            <w:pPr>
              <w:pStyle w:val="Compact"/>
              <w:jc w:val="left"/>
            </w:pPr>
            <w:r>
              <w:t xml:space="preserve">Customer Satisfaction Score (0-10)</w:t>
            </w:r>
          </w:p>
        </w:tc>
        <w:tc>
          <w:p>
            <w:pPr>
              <w:pStyle w:val="Compact"/>
              <w:jc w:val="right"/>
            </w:pPr>
            <w:r>
              <w:t xml:space="preserve">6.2</w:t>
            </w:r>
          </w:p>
        </w:tc>
        <w:tc>
          <w:p>
            <w:pPr>
              <w:pStyle w:val="Compact"/>
              <w:jc w:val="right"/>
            </w:pPr>
            <w:r>
              <w:t xml:space="preserve">8.9</w:t>
            </w:r>
          </w:p>
        </w:tc>
        <w:tc>
          <w:p>
            <w:pPr>
              <w:pStyle w:val="Compact"/>
              <w:jc w:val="right"/>
            </w:pPr>
            <w:r>
              <w:t xml:space="preserve">+44%</w:t>
            </w:r>
          </w:p>
        </w:tc>
      </w:tr>
      <w:tr>
        <w:tc>
          <w:p>
            <w:pPr>
              <w:pStyle w:val="Compact"/>
              <w:jc w:val="left"/>
            </w:pPr>
            <w:r>
              <w:t xml:space="preserve">Customer Renewal Rate</w:t>
            </w:r>
          </w:p>
        </w:tc>
        <w:tc>
          <w:p>
            <w:pPr>
              <w:pStyle w:val="Compact"/>
              <w:jc w:val="right"/>
            </w:pPr>
            <w:r>
              <w:t xml:space="preserve">78%</w:t>
            </w:r>
          </w:p>
        </w:tc>
        <w:tc>
          <w:p>
            <w:pPr>
              <w:pStyle w:val="Compact"/>
              <w:jc w:val="right"/>
            </w:pPr>
            <w:r>
              <w:t xml:space="preserve">96%</w:t>
            </w:r>
          </w:p>
        </w:tc>
        <w:tc>
          <w:p>
            <w:pPr>
              <w:pStyle w:val="Compact"/>
              <w:jc w:val="right"/>
            </w:pPr>
            <w:r>
              <w:t xml:space="preserve">+23%</w:t>
            </w:r>
          </w:p>
        </w:tc>
      </w:tr>
      <w:tr>
        <w:tc>
          <w:p>
            <w:pPr>
              <w:pStyle w:val="Compact"/>
              <w:jc w:val="left"/>
            </w:pPr>
            <w:r>
              <w:rPr>
                <w:b/>
              </w:rPr>
              <w:t xml:space="preserve">Innovation &amp; Quality</w:t>
            </w:r>
          </w:p>
        </w:tc>
        <w:tc>
          <w:p/>
        </w:tc>
        <w:tc>
          <w:p/>
        </w:tc>
        <w:tc>
          <w:p/>
        </w:tc>
      </w:tr>
      <w:tr>
        <w:tc>
          <w:p>
            <w:pPr>
              <w:pStyle w:val="Compact"/>
              <w:jc w:val="left"/>
            </w:pPr>
            <w:r>
              <w:t xml:space="preserve">Algorithm Improvement Velocity (updates/year)</w:t>
            </w:r>
          </w:p>
        </w:tc>
        <w:tc>
          <w:p>
            <w:pPr>
              <w:pStyle w:val="Compact"/>
              <w:jc w:val="right"/>
            </w:pPr>
            <w:r>
              <w:t xml:space="preserve">2.1</w:t>
            </w:r>
          </w:p>
        </w:tc>
        <w:tc>
          <w:p>
            <w:pPr>
              <w:pStyle w:val="Compact"/>
              <w:jc w:val="right"/>
            </w:pPr>
            <w:r>
              <w:t xml:space="preserve">6.8</w:t>
            </w:r>
          </w:p>
        </w:tc>
        <w:tc>
          <w:p>
            <w:pPr>
              <w:pStyle w:val="Compact"/>
              <w:jc w:val="right"/>
            </w:pPr>
            <w:r>
              <w:t xml:space="preserve">+224%</w:t>
            </w:r>
          </w:p>
        </w:tc>
      </w:tr>
    </w:tbl>
    <w:p>
      <w:pPr>
        <w:pStyle w:val="BodyText"/>
      </w:pPr>
      <w:r>
        <w:rPr>
          <w:i/>
        </w:rPr>
        <w:t xml:space="preserve">Note: Performance-based pricing creates strong incentive alignment - the AI provider earns more ($1.35M vs $0.5M) while customers achieve dramatically better outcomes ($32M vs $18.5M monthly profit). The performance-based fee structure drives 3× faster algorithm improvements, demonstrating how value-based incentives accelerate innovation.</w:t>
      </w:r>
    </w:p>
    <w:p>
      <w:pPr>
        <w:pStyle w:val="BodyText"/>
      </w:pPr>
      <w:r>
        <w:rPr>
          <w:b/>
        </w:rPr>
        <w:t xml:space="preserve">Table C.3: Legal Research AI - Projected Adoption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w:t>
            </w:r>
          </w:p>
        </w:tc>
      </w:tr>
      <w:tr>
        <w:tc>
          <w:p>
            <w:pPr>
              <w:pStyle w:val="Compact"/>
              <w:jc w:val="left"/>
            </w:pPr>
            <w:r>
              <w:rPr>
                <w:b/>
              </w:rPr>
              <w:t xml:space="preserve">Market Penetration</w:t>
            </w:r>
          </w:p>
        </w:tc>
        <w:tc>
          <w:p/>
        </w:tc>
        <w:tc>
          <w:p/>
        </w:tc>
        <w:tc>
          <w:p/>
        </w:tc>
      </w:tr>
      <w:tr>
        <w:tc>
          <w:p>
            <w:pPr>
              <w:pStyle w:val="Compact"/>
              <w:jc w:val="left"/>
            </w:pPr>
            <w:r>
              <w:t xml:space="preserve">Law Firms Using AI (market share)</w:t>
            </w:r>
          </w:p>
        </w:tc>
        <w:tc>
          <w:p>
            <w:pPr>
              <w:pStyle w:val="Compact"/>
              <w:jc w:val="right"/>
            </w:pPr>
            <w:r>
              <w:t xml:space="preserve">8%</w:t>
            </w:r>
          </w:p>
        </w:tc>
        <w:tc>
          <w:p>
            <w:pPr>
              <w:pStyle w:val="Compact"/>
              <w:jc w:val="right"/>
            </w:pPr>
            <w:r>
              <w:t xml:space="preserve">34%</w:t>
            </w:r>
          </w:p>
        </w:tc>
        <w:tc>
          <w:p>
            <w:pPr>
              <w:pStyle w:val="Compact"/>
              <w:jc w:val="right"/>
            </w:pPr>
            <w:r>
              <w:t xml:space="preserve">+325%</w:t>
            </w:r>
          </w:p>
        </w:tc>
      </w:tr>
      <w:tr>
        <w:tc>
          <w:p>
            <w:pPr>
              <w:pStyle w:val="Compact"/>
              <w:jc w:val="left"/>
            </w:pPr>
            <w:r>
              <w:t xml:space="preserve">Projects per Firm (annual volume)</w:t>
            </w:r>
          </w:p>
        </w:tc>
        <w:tc>
          <w:p>
            <w:pPr>
              <w:pStyle w:val="Compact"/>
              <w:jc w:val="right"/>
            </w:pPr>
            <w:r>
              <w:t xml:space="preserve">42</w:t>
            </w:r>
          </w:p>
        </w:tc>
        <w:tc>
          <w:p>
            <w:pPr>
              <w:pStyle w:val="Compact"/>
              <w:jc w:val="right"/>
            </w:pPr>
            <w:r>
              <w:t xml:space="preserve">405</w:t>
            </w:r>
          </w:p>
        </w:tc>
        <w:tc>
          <w:p>
            <w:pPr>
              <w:pStyle w:val="Compact"/>
              <w:jc w:val="right"/>
            </w:pPr>
            <w:r>
              <w:t xml:space="preserve">+865%</w:t>
            </w:r>
          </w:p>
        </w:tc>
      </w:tr>
      <w:tr>
        <w:tc>
          <w:p>
            <w:pPr>
              <w:pStyle w:val="Compact"/>
              <w:jc w:val="left"/>
            </w:pPr>
            <w:r>
              <w:rPr>
                <w:b/>
              </w:rPr>
              <w:t xml:space="preserve">Business Economics</w:t>
            </w:r>
          </w:p>
        </w:tc>
        <w:tc>
          <w:p/>
        </w:tc>
        <w:tc>
          <w:p/>
        </w:tc>
        <w:tc>
          <w:p/>
        </w:tc>
      </w:tr>
      <w:tr>
        <w:tc>
          <w:p>
            <w:pPr>
              <w:pStyle w:val="Compact"/>
              <w:jc w:val="left"/>
            </w:pPr>
            <w:r>
              <w:t xml:space="preserve">Revenue per Law Firm (annual)</w:t>
            </w:r>
          </w:p>
        </w:tc>
        <w:tc>
          <w:p>
            <w:pPr>
              <w:pStyle w:val="Compact"/>
              <w:jc w:val="right"/>
            </w:pPr>
            <w:r>
              <w:t xml:space="preserve">$1,280</w:t>
            </w:r>
          </w:p>
        </w:tc>
        <w:tc>
          <w:p>
            <w:pPr>
              <w:pStyle w:val="Compact"/>
              <w:jc w:val="right"/>
            </w:pPr>
            <w:r>
              <w:t xml:space="preserve">$48,600</w:t>
            </w:r>
          </w:p>
        </w:tc>
        <w:tc>
          <w:p>
            <w:pPr>
              <w:pStyle w:val="Compact"/>
              <w:jc w:val="right"/>
            </w:pPr>
            <w:r>
              <w:t xml:space="preserve">+3,697%</w:t>
            </w:r>
          </w:p>
        </w:tc>
      </w:tr>
      <w:tr>
        <w:tc>
          <w:p>
            <w:pPr>
              <w:pStyle w:val="Compact"/>
              <w:jc w:val="left"/>
            </w:pPr>
            <w:r>
              <w:t xml:space="preserve">Law Firm Margin per Project</w:t>
            </w:r>
          </w:p>
        </w:tc>
        <w:tc>
          <w:p>
            <w:pPr>
              <w:pStyle w:val="Compact"/>
              <w:jc w:val="right"/>
            </w:pPr>
            <w:r>
              <w:t xml:space="preserve">-$28 (loss)</w:t>
            </w:r>
          </w:p>
        </w:tc>
        <w:tc>
          <w:p>
            <w:pPr>
              <w:pStyle w:val="Compact"/>
              <w:jc w:val="right"/>
            </w:pPr>
            <w:r>
              <w:t xml:space="preserve">+$450 (profit)</w:t>
            </w:r>
          </w:p>
        </w:tc>
        <w:tc>
          <w:p>
            <w:pPr>
              <w:pStyle w:val="Compact"/>
              <w:jc w:val="right"/>
            </w:pPr>
            <w:r>
              <w:t xml:space="preserve">Profitable</w:t>
            </w:r>
          </w:p>
        </w:tc>
      </w:tr>
      <w:tr>
        <w:tc>
          <w:p>
            <w:pPr>
              <w:pStyle w:val="Compact"/>
              <w:jc w:val="left"/>
            </w:pPr>
            <w:r>
              <w:t xml:space="preserve">Partner Satisfaction Score (0-10)</w:t>
            </w:r>
          </w:p>
        </w:tc>
        <w:tc>
          <w:p>
            <w:pPr>
              <w:pStyle w:val="Compact"/>
              <w:jc w:val="right"/>
            </w:pPr>
            <w:r>
              <w:t xml:space="preserve">4.1</w:t>
            </w:r>
          </w:p>
        </w:tc>
        <w:tc>
          <w:p>
            <w:pPr>
              <w:pStyle w:val="Compact"/>
              <w:jc w:val="right"/>
            </w:pPr>
            <w:r>
              <w:t xml:space="preserve">8.3</w:t>
            </w:r>
          </w:p>
        </w:tc>
        <w:tc>
          <w:p>
            <w:pPr>
              <w:pStyle w:val="Compact"/>
              <w:jc w:val="right"/>
            </w:pPr>
            <w:r>
              <w:t xml:space="preserve">+102%</w:t>
            </w:r>
          </w:p>
        </w:tc>
      </w:tr>
      <w:tr>
        <w:tc>
          <w:p>
            <w:pPr>
              <w:pStyle w:val="Compact"/>
              <w:jc w:val="left"/>
            </w:pPr>
            <w:r>
              <w:rPr>
                <w:b/>
              </w:rPr>
              <w:t xml:space="preserve">Value Delivery</w:t>
            </w:r>
          </w:p>
        </w:tc>
        <w:tc>
          <w:p/>
        </w:tc>
        <w:tc>
          <w:p/>
        </w:tc>
        <w:tc>
          <w:p/>
        </w:tc>
      </w:tr>
      <w:tr>
        <w:tc>
          <w:p>
            <w:pPr>
              <w:pStyle w:val="Compact"/>
              <w:jc w:val="left"/>
            </w:pPr>
            <w:r>
              <w:t xml:space="preserve">Attorney Time Saved per Project (hours)</w:t>
            </w:r>
          </w:p>
        </w:tc>
        <w:tc>
          <w:p>
            <w:pPr>
              <w:pStyle w:val="Compact"/>
              <w:jc w:val="right"/>
            </w:pPr>
            <w:r>
              <w:t xml:space="preserve">70</w:t>
            </w:r>
          </w:p>
        </w:tc>
        <w:tc>
          <w:p>
            <w:pPr>
              <w:pStyle w:val="Compact"/>
              <w:jc w:val="right"/>
            </w:pPr>
            <w:r>
              <w:t xml:space="preserve">70</w:t>
            </w:r>
          </w:p>
        </w:tc>
        <w:tc>
          <w:p>
            <w:pPr>
              <w:pStyle w:val="Compact"/>
              <w:jc w:val="right"/>
            </w:pPr>
            <w:r>
              <w:t xml:space="preserve">0%</w:t>
            </w:r>
          </w:p>
        </w:tc>
      </w:tr>
      <w:tr>
        <w:tc>
          <w:p>
            <w:pPr>
              <w:pStyle w:val="Compact"/>
              <w:jc w:val="left"/>
            </w:pPr>
            <w:r>
              <w:t xml:space="preserve">Client Cost Savings vs. Traditional Research</w:t>
            </w:r>
          </w:p>
        </w:tc>
        <w:tc>
          <w:p>
            <w:pPr>
              <w:pStyle w:val="Compact"/>
              <w:jc w:val="right"/>
            </w:pPr>
            <w:r>
              <w:t xml:space="preserve">95%</w:t>
            </w:r>
          </w:p>
        </w:tc>
        <w:tc>
          <w:p>
            <w:pPr>
              <w:pStyle w:val="Compact"/>
              <w:jc w:val="right"/>
            </w:pPr>
            <w:r>
              <w:t xml:space="preserve">60%</w:t>
            </w:r>
          </w:p>
        </w:tc>
        <w:tc>
          <w:p>
            <w:pPr>
              <w:pStyle w:val="Compact"/>
              <w:jc w:val="right"/>
            </w:pPr>
            <w:r>
              <w:t xml:space="preserve">-37%*</w:t>
            </w:r>
          </w:p>
        </w:tc>
      </w:tr>
    </w:tbl>
    <w:p>
      <w:pPr>
        <w:pStyle w:val="BodyText"/>
      </w:pPr>
      <w:r>
        <w:rPr>
          <w:i/>
        </w:rPr>
        <w:t xml:space="preserve">Note: Token-based pricing creates a paradox - clients save 95% on research costs, but law firms lose $28/project, leading to 8% adoption. Value-based pricing enables sustainable business models: firms charge clients fairly (60% savings), earn healthy margins ($450/project), and achieve 4× higher adoption. The -37%</w:t>
      </w:r>
      <w:r>
        <w:rPr>
          <w:i/>
        </w:rPr>
        <w:t xml:space="preserve"> </w:t>
      </w:r>
      <w:r>
        <w:rPr>
          <w:i/>
        </w:rPr>
        <w:t xml:space="preserve">“</w:t>
      </w:r>
      <w:r>
        <w:rPr>
          <w:i/>
        </w:rPr>
        <w:t xml:space="preserve">reduction</w:t>
      </w:r>
      <w:r>
        <w:rPr>
          <w:i/>
        </w:rPr>
        <w:t xml:space="preserve">”</w:t>
      </w:r>
      <w:r>
        <w:rPr>
          <w:i/>
        </w:rPr>
        <w:t xml:space="preserve"> </w:t>
      </w:r>
      <w:r>
        <w:rPr>
          <w:i/>
        </w:rPr>
        <w:t xml:space="preserve">in client savings actually represents better economic balance - clients still save substantially while enabling provider profitability.</w:t>
      </w:r>
    </w:p>
    <w:p>
      <w:pPr>
        <w:pStyle w:val="BodyText"/>
      </w:pPr>
      <w:r>
        <w:t xml:space="preserve">These data demonstrate consistent patterns across all three case studies: value-based pricing drives higher adoption, increases provider revenue, improves customer outcomes, and enhances satisfaction for both providers and customers. The key mechanism is alignment of incentives—when pricing reflects value delivered, both parties benefit from maximizing AI system performance and utilization.</w:t>
      </w:r>
    </w:p>
    <w:p>
      <w:pPr>
        <w:pStyle w:val="Heading2"/>
      </w:pPr>
      <w:bookmarkStart w:id="68" w:name="X0d177419c45ae5e7cdf759ecc8e6d744dd4da78"/>
      <w:r>
        <w:t xml:space="preserve">Appendix D: Additional References and Resources</w:t>
      </w:r>
      <w:bookmarkEnd w:id="68"/>
    </w:p>
    <w:p>
      <w:pPr>
        <w:pStyle w:val="FirstParagraph"/>
      </w:pPr>
      <w:r>
        <w:rPr>
          <w:b/>
        </w:rPr>
        <w:t xml:space="preserve">Industry Reports</w:t>
      </w:r>
      <w:r>
        <w:t xml:space="preserve">:</w:t>
      </w:r>
    </w:p>
    <w:p>
      <w:pPr>
        <w:numPr>
          <w:ilvl w:val="0"/>
          <w:numId w:val="1011"/>
        </w:numPr>
        <w:pStyle w:val="Compact"/>
      </w:pPr>
      <w:r>
        <w:t xml:space="preserve">Gartner (2024).</w:t>
      </w:r>
      <w:r>
        <w:t xml:space="preserve"> </w:t>
      </w:r>
      <w:r>
        <w:t xml:space="preserve">“</w:t>
      </w:r>
      <w:r>
        <w:t xml:space="preserve">AI Pricing Strategies: Market Analysis and Vendor Landscape</w:t>
      </w:r>
      <w:r>
        <w:t xml:space="preserve">”</w:t>
      </w:r>
    </w:p>
    <w:p>
      <w:pPr>
        <w:numPr>
          <w:ilvl w:val="0"/>
          <w:numId w:val="1011"/>
        </w:numPr>
        <w:pStyle w:val="Compact"/>
      </w:pPr>
      <w:r>
        <w:t xml:space="preserve">McKinsey Global Institute (2023).</w:t>
      </w:r>
      <w:r>
        <w:t xml:space="preserve"> </w:t>
      </w:r>
      <w:r>
        <w:t xml:space="preserve">“</w:t>
      </w:r>
      <w:r>
        <w:t xml:space="preserve">The Economic Potential of Generative AI and Agentic Systems</w:t>
      </w:r>
      <w:r>
        <w:t xml:space="preserve">”</w:t>
      </w:r>
    </w:p>
    <w:p>
      <w:pPr>
        <w:numPr>
          <w:ilvl w:val="0"/>
          <w:numId w:val="1011"/>
        </w:numPr>
        <w:pStyle w:val="Compact"/>
      </w:pPr>
      <w:r>
        <w:t xml:space="preserve">IDC (2024).</w:t>
      </w:r>
      <w:r>
        <w:t xml:space="preserve"> </w:t>
      </w:r>
      <w:r>
        <w:t xml:space="preserve">“</w:t>
      </w:r>
      <w:r>
        <w:t xml:space="preserve">Worldwide AI Services Spending Guide: Pricing Model Evolution</w:t>
      </w:r>
      <w:r>
        <w:t xml:space="preserve">”</w:t>
      </w:r>
    </w:p>
    <w:p>
      <w:pPr>
        <w:numPr>
          <w:ilvl w:val="0"/>
          <w:numId w:val="1011"/>
        </w:numPr>
        <w:pStyle w:val="Compact"/>
      </w:pPr>
      <w:r>
        <w:t xml:space="preserve">Forrester Research (2024).</w:t>
      </w:r>
      <w:r>
        <w:t xml:space="preserve"> </w:t>
      </w:r>
      <w:r>
        <w:t xml:space="preserve">“</w:t>
      </w:r>
      <w:r>
        <w:t xml:space="preserve">The Future of AI Monetization: Beyond Token Economics</w:t>
      </w:r>
      <w:r>
        <w:t xml:space="preserve">”</w:t>
      </w:r>
    </w:p>
    <w:p>
      <w:pPr>
        <w:pStyle w:val="FirstParagraph"/>
      </w:pPr>
      <w:r>
        <w:rPr>
          <w:b/>
        </w:rPr>
        <w:t xml:space="preserve">Technical Specifications</w:t>
      </w:r>
      <w:r>
        <w:t xml:space="preserve">:</w:t>
      </w:r>
    </w:p>
    <w:p>
      <w:pPr>
        <w:numPr>
          <w:ilvl w:val="0"/>
          <w:numId w:val="1012"/>
        </w:numPr>
        <w:pStyle w:val="Compact"/>
      </w:pPr>
      <w:r>
        <w:t xml:space="preserve">OpenAI (2024).</w:t>
      </w:r>
      <w:r>
        <w:t xml:space="preserve"> </w:t>
      </w:r>
      <w:r>
        <w:t xml:space="preserve">“</w:t>
      </w:r>
      <w:r>
        <w:t xml:space="preserve">GPT-4 Technical Documentation and Pricing Methodology</w:t>
      </w:r>
      <w:r>
        <w:t xml:space="preserve">”</w:t>
      </w:r>
    </w:p>
    <w:p>
      <w:pPr>
        <w:numPr>
          <w:ilvl w:val="0"/>
          <w:numId w:val="1012"/>
        </w:numPr>
        <w:pStyle w:val="Compact"/>
      </w:pPr>
      <w:r>
        <w:t xml:space="preserve">Anthropic (2024).</w:t>
      </w:r>
      <w:r>
        <w:t xml:space="preserve"> </w:t>
      </w:r>
      <w:r>
        <w:t xml:space="preserve">“</w:t>
      </w:r>
      <w:r>
        <w:t xml:space="preserve">Claude AI Pricing and Performance Benchmarks</w:t>
      </w:r>
      <w:r>
        <w:t xml:space="preserve">”</w:t>
      </w:r>
    </w:p>
    <w:p>
      <w:pPr>
        <w:numPr>
          <w:ilvl w:val="0"/>
          <w:numId w:val="1012"/>
        </w:numPr>
        <w:pStyle w:val="Compact"/>
      </w:pPr>
      <w:r>
        <w:t xml:space="preserve">Google Cloud (2024).</w:t>
      </w:r>
      <w:r>
        <w:t xml:space="preserve"> </w:t>
      </w:r>
      <w:r>
        <w:t xml:space="preserve">“</w:t>
      </w:r>
      <w:r>
        <w:t xml:space="preserve">Vertex AI Pricing Calculator and Value Estimation Tools</w:t>
      </w:r>
      <w:r>
        <w:t xml:space="preserve">”</w:t>
      </w:r>
    </w:p>
    <w:p>
      <w:pPr>
        <w:numPr>
          <w:ilvl w:val="0"/>
          <w:numId w:val="1012"/>
        </w:numPr>
        <w:pStyle w:val="Compact"/>
      </w:pPr>
      <w:r>
        <w:t xml:space="preserve">Microsoft Azure (2024).</w:t>
      </w:r>
      <w:r>
        <w:t xml:space="preserve"> </w:t>
      </w:r>
      <w:r>
        <w:t xml:space="preserve">“</w:t>
      </w:r>
      <w:r>
        <w:t xml:space="preserve">Azure OpenAI Service: Enterprise Pricing Guidelines</w:t>
      </w:r>
      <w:r>
        <w:t xml:space="preserve">”</w:t>
      </w:r>
    </w:p>
    <w:p>
      <w:pPr>
        <w:pStyle w:val="FirstParagraph"/>
      </w:pPr>
      <w:r>
        <w:rPr>
          <w:b/>
        </w:rPr>
        <w:t xml:space="preserve">Academic Working Papers</w:t>
      </w:r>
      <w:r>
        <w:t xml:space="preserve">:</w:t>
      </w:r>
    </w:p>
    <w:p>
      <w:pPr>
        <w:numPr>
          <w:ilvl w:val="0"/>
          <w:numId w:val="1013"/>
        </w:numPr>
        <w:pStyle w:val="Compact"/>
      </w:pPr>
      <w:r>
        <w:t xml:space="preserve">Athey, S., &amp; Luca, M. (2024).</w:t>
      </w:r>
      <w:r>
        <w:t xml:space="preserve"> </w:t>
      </w:r>
      <w:r>
        <w:t xml:space="preserve">“</w:t>
      </w:r>
      <w:r>
        <w:t xml:space="preserve">Economic Aspects of Artificial Intelligence: Pricing, Competition, and Market Structure</w:t>
      </w:r>
      <w:r>
        <w:t xml:space="preserve">”</w:t>
      </w:r>
      <w:r>
        <w:t xml:space="preserve"> </w:t>
      </w:r>
      <w:r>
        <w:t xml:space="preserve">(Working Paper, Stanford University)</w:t>
      </w:r>
    </w:p>
    <w:p>
      <w:pPr>
        <w:numPr>
          <w:ilvl w:val="0"/>
          <w:numId w:val="1013"/>
        </w:numPr>
        <w:pStyle w:val="Compact"/>
      </w:pPr>
      <w:r>
        <w:t xml:space="preserve">Bajari, P., Chernozhukov, V., Hortaçsu, A., &amp; Suzuki, J. (2024).</w:t>
      </w:r>
      <w:r>
        <w:t xml:space="preserve"> </w:t>
      </w:r>
      <w:r>
        <w:t xml:space="preserve">“</w:t>
      </w:r>
      <w:r>
        <w:t xml:space="preserve">Machine Learning Methods for Demand Estimation and Pricing in Two-Sided Markets</w:t>
      </w:r>
      <w:r>
        <w:t xml:space="preserve">”</w:t>
      </w:r>
      <w:r>
        <w:t xml:space="preserve"> </w:t>
      </w:r>
      <w:r>
        <w:t xml:space="preserve">(NBER Working Paper #31847)</w:t>
      </w:r>
    </w:p>
    <w:p>
      <w:pPr>
        <w:numPr>
          <w:ilvl w:val="0"/>
          <w:numId w:val="1013"/>
        </w:numPr>
        <w:pStyle w:val="Compact"/>
      </w:pPr>
      <w:r>
        <w:t xml:space="preserve">Seamans, R., &amp; Raj, M. (2024).</w:t>
      </w:r>
      <w:r>
        <w:t xml:space="preserve"> </w:t>
      </w:r>
      <w:r>
        <w:t xml:space="preserve">“</w:t>
      </w:r>
      <w:r>
        <w:t xml:space="preserve">AI, Labor, Value Creation, and Appropriation</w:t>
      </w:r>
      <w:r>
        <w:t xml:space="preserve">”</w:t>
      </w:r>
      <w:r>
        <w:t xml:space="preserve"> </w:t>
      </w:r>
      <w:r>
        <w:t xml:space="preserve">(NYU Stern Working Paper)</w:t>
      </w:r>
    </w:p>
    <w:p>
      <w:pPr>
        <w:pStyle w:val="FirstParagraph"/>
      </w:pPr>
      <w:r>
        <w:rPr>
          <w:b/>
        </w:rPr>
        <w:t xml:space="preserve">Industry Whitepapers and Best Practices</w:t>
      </w:r>
      <w:r>
        <w:t xml:space="preserve">:</w:t>
      </w:r>
    </w:p>
    <w:p>
      <w:pPr>
        <w:numPr>
          <w:ilvl w:val="0"/>
          <w:numId w:val="1014"/>
        </w:numPr>
        <w:pStyle w:val="Compact"/>
      </w:pPr>
      <w:r>
        <w:t xml:space="preserve">Professional Pricing Society (2024).</w:t>
      </w:r>
      <w:r>
        <w:t xml:space="preserve"> </w:t>
      </w:r>
      <w:r>
        <w:t xml:space="preserve">“</w:t>
      </w:r>
      <w:r>
        <w:t xml:space="preserve">Value-Based Pricing for AI and Machine Learning Services: Practitioner’s Guide</w:t>
      </w:r>
      <w:r>
        <w:t xml:space="preserve">”</w:t>
      </w:r>
    </w:p>
    <w:p>
      <w:pPr>
        <w:numPr>
          <w:ilvl w:val="0"/>
          <w:numId w:val="1014"/>
        </w:numPr>
        <w:pStyle w:val="Compact"/>
      </w:pPr>
      <w:r>
        <w:t xml:space="preserve">AI Pricing Council (2024).</w:t>
      </w:r>
      <w:r>
        <w:t xml:space="preserve"> </w:t>
      </w:r>
      <w:r>
        <w:t xml:space="preserve">“</w:t>
      </w:r>
      <w:r>
        <w:t xml:space="preserve">Industry Standards for AI Value Metrics and Measurement</w:t>
      </w:r>
      <w:r>
        <w:t xml:space="preserve">”</w:t>
      </w:r>
    </w:p>
    <w:p>
      <w:pPr>
        <w:numPr>
          <w:ilvl w:val="0"/>
          <w:numId w:val="1014"/>
        </w:numPr>
        <w:pStyle w:val="Compact"/>
      </w:pPr>
      <w:r>
        <w:t xml:space="preserve">Enterprise AI Forum (2024).</w:t>
      </w:r>
      <w:r>
        <w:t xml:space="preserve"> </w:t>
      </w:r>
      <w:r>
        <w:t xml:space="preserve">“</w:t>
      </w:r>
      <w:r>
        <w:t xml:space="preserve">Procurement Guidelines for AI Services: Evaluating Pricing Models</w:t>
      </w:r>
      <w:r>
        <w:t xml:space="preserve">”</w:t>
      </w:r>
    </w:p>
    <w:p>
      <w:pPr>
        <w:pStyle w:val="Heading2"/>
      </w:pPr>
      <w:bookmarkStart w:id="69" w:name="appendix-e-glossary-of-terms"/>
      <w:r>
        <w:t xml:space="preserve">Appendix E: Glossary of Terms</w:t>
      </w:r>
      <w:bookmarkEnd w:id="69"/>
    </w:p>
    <w:p>
      <w:pPr>
        <w:pStyle w:val="FirstParagraph"/>
      </w:pPr>
      <w:r>
        <w:rPr>
          <w:b/>
        </w:rPr>
        <w:t xml:space="preserve">Agentic AI System</w:t>
      </w:r>
      <w:r>
        <w:t xml:space="preserve">: An artificial intelligence system capable of autonomous decision-making, goal-directed behavior, and adaptive learning within defined parameters.</w:t>
      </w:r>
    </w:p>
    <w:p>
      <w:pPr>
        <w:pStyle w:val="BodyText"/>
      </w:pPr>
      <w:r>
        <w:rPr>
          <w:b/>
        </w:rPr>
        <w:t xml:space="preserve">Token</w:t>
      </w:r>
      <w:r>
        <w:t xml:space="preserve">: The fundamental unit of text data processed by large language models, typically representing a word or sub-word unit. Token-based pricing charges customers based on the number of tokens consumed in AI interactions.</w:t>
      </w:r>
    </w:p>
    <w:p>
      <w:pPr>
        <w:pStyle w:val="BodyText"/>
      </w:pPr>
      <w:r>
        <w:rPr>
          <w:b/>
        </w:rPr>
        <w:t xml:space="preserve">Value Driver</w:t>
      </w:r>
      <w:r>
        <w:t xml:space="preserve">: A specific attribute or capability of an AI system that generates measurable economic benefit for customers (e.g., accuracy, speed, reliability).</w:t>
      </w:r>
    </w:p>
    <w:p>
      <w:pPr>
        <w:pStyle w:val="BodyText"/>
      </w:pPr>
      <w:r>
        <w:rPr>
          <w:b/>
        </w:rPr>
        <w:t xml:space="preserve">Value Capture Rate (</w:t>
      </w:r>
      <m:oMath>
        <m:r>
          <m:t>θ</m:t>
        </m:r>
      </m:oMath>
      <w:r>
        <w:rPr>
          <w:b/>
        </w:rPr>
        <w:t xml:space="preserve">)</w:t>
      </w:r>
      <w:r>
        <w:t xml:space="preserve">: The percentage of total economic value created by an AI system that the provider captures as revenue. Typical ranges: 10-40%.</w:t>
      </w:r>
    </w:p>
    <w:p>
      <w:pPr>
        <w:pStyle w:val="BodyText"/>
      </w:pPr>
      <w:r>
        <w:rPr>
          <w:b/>
        </w:rPr>
        <w:t xml:space="preserve">Consumer Surplus</w:t>
      </w:r>
      <w:r>
        <w:t xml:space="preserve">: The difference between the value a customer receives from an AI system and the price they pay for it. Represents customer benefit from the transaction.</w:t>
      </w:r>
    </w:p>
    <w:p>
      <w:pPr>
        <w:pStyle w:val="BodyText"/>
      </w:pPr>
      <w:r>
        <w:rPr>
          <w:b/>
        </w:rPr>
        <w:t xml:space="preserve">Willingness to Pay (WTP)</w:t>
      </w:r>
      <w:r>
        <w:t xml:space="preserve">: The maximum price a customer would pay for an AI system, theoretically equal to the total value they expect to receive.</w:t>
      </w:r>
    </w:p>
    <w:p>
      <w:pPr>
        <w:pStyle w:val="BodyText"/>
      </w:pPr>
      <w:r>
        <w:rPr>
          <w:b/>
        </w:rPr>
        <w:t xml:space="preserve">Price Discrimination</w:t>
      </w:r>
      <w:r>
        <w:t xml:space="preserve">: The practice of charging different prices to different customers for the same product based on their willingness to pay or value received.</w:t>
      </w:r>
    </w:p>
    <w:p>
      <w:pPr>
        <w:pStyle w:val="BodyText"/>
      </w:pPr>
      <w:r>
        <w:rPr>
          <w:b/>
        </w:rPr>
        <w:t xml:space="preserve">Hybrid Pricing Model</w:t>
      </w:r>
      <w:r>
        <w:t xml:space="preserve">: A pricing approach combining elements of token-based, subscription, and value-based models to balance simplicity, predictability, and value alignment.</w:t>
      </w:r>
    </w:p>
    <w:p>
      <w:pPr>
        <w:pStyle w:val="BodyText"/>
      </w:pPr>
      <w:r>
        <w:rPr>
          <w:b/>
        </w:rPr>
        <w:t xml:space="preserve">Performance-Based Pricing</w:t>
      </w:r>
      <w:r>
        <w:t xml:space="preserve">: A value-based pricing variant where payment depends on measurable outcomes achieved by the AI system (e.g., trading profits, cost savings, accuracy improvements).</w:t>
      </w:r>
    </w:p>
    <w:p>
      <w:r>
        <w:pict>
          <v:rect style="width:0;height:1.5pt" o:hralign="center" o:hrstd="t" o:hr="t"/>
        </w:pict>
      </w:r>
    </w:p>
    <w:p>
      <w:pPr>
        <w:pStyle w:val="Heading2"/>
      </w:pPr>
      <w:bookmarkStart w:id="70" w:name="references"/>
      <w:r>
        <w:t xml:space="preserve">References</w:t>
      </w:r>
      <w:bookmarkEnd w:id="70"/>
    </w:p>
    <w:p>
      <w:pPr>
        <w:pStyle w:val="FirstParagraph"/>
      </w:pPr>
      <w:r>
        <w:t xml:space="preserve">Acemoglu, D., &amp; Restrepo, P. (2018). Artificial intelligence, automation, and work.</w:t>
      </w:r>
      <w:r>
        <w:t xml:space="preserve"> </w:t>
      </w:r>
      <w:r>
        <w:rPr>
          <w:i/>
        </w:rPr>
        <w:t xml:space="preserve">National Bureau of Economic Research Working Paper Series</w:t>
      </w:r>
      <w:r>
        <w:t xml:space="preserve">. https://doi.org/10.3386/w24196</w:t>
      </w:r>
    </w:p>
    <w:p>
      <w:pPr>
        <w:pStyle w:val="BodyText"/>
      </w:pPr>
      <w:r>
        <w:t xml:space="preserve">Agrawal, A., Gans, J., &amp; Goldfarb, A. (2018).</w:t>
      </w:r>
      <w:r>
        <w:t xml:space="preserve"> </w:t>
      </w:r>
      <w:r>
        <w:rPr>
          <w:i/>
        </w:rPr>
        <w:t xml:space="preserve">Prediction machines: The simple economics of artificial intelligence</w:t>
      </w:r>
      <w:r>
        <w:t xml:space="preserve">. Harvard Business Review Press.</w:t>
      </w:r>
    </w:p>
    <w:p>
      <w:pPr>
        <w:pStyle w:val="BodyText"/>
      </w:pPr>
      <w:r>
        <w:t xml:space="preserve">Amodei, D., Olah, C., Steinhardt, J., Christiano, P., Schulman, J., &amp; Mané, D. (2016). Concrete problems in AI safety.</w:t>
      </w:r>
      <w:r>
        <w:t xml:space="preserve"> </w:t>
      </w:r>
      <w:r>
        <w:rPr>
          <w:i/>
        </w:rPr>
        <w:t xml:space="preserve">arXiv preprint arXiv:1606.06565</w:t>
      </w:r>
      <w:r>
        <w:t xml:space="preserve">.</w:t>
      </w:r>
    </w:p>
    <w:p>
      <w:pPr>
        <w:pStyle w:val="BodyText"/>
      </w:pPr>
      <w:r>
        <w:t xml:space="preserve">Anderson, C. (2004). The long tail.</w:t>
      </w:r>
      <w:r>
        <w:t xml:space="preserve"> </w:t>
      </w:r>
      <w:r>
        <w:rPr>
          <w:i/>
        </w:rPr>
        <w:t xml:space="preserve">Wired Magazine, 12</w:t>
      </w:r>
      <w:r>
        <w:t xml:space="preserve">(10), 170-177.</w:t>
      </w:r>
    </w:p>
    <w:p>
      <w:pPr>
        <w:pStyle w:val="BodyText"/>
      </w:pPr>
      <w:r>
        <w:t xml:space="preserve">Anderson, C. (2006).</w:t>
      </w:r>
      <w:r>
        <w:t xml:space="preserve"> </w:t>
      </w:r>
      <w:r>
        <w:rPr>
          <w:i/>
        </w:rPr>
        <w:t xml:space="preserve">The long tail: Why the future of business is selling less of more</w:t>
      </w:r>
      <w:r>
        <w:t xml:space="preserve">. Hyperion.</w:t>
      </w:r>
    </w:p>
    <w:p>
      <w:pPr>
        <w:pStyle w:val="BodyText"/>
      </w:pPr>
      <w:r>
        <w:t xml:space="preserve">Anderson, J. C., &amp; Anderson, J. A. (2007).</w:t>
      </w:r>
      <w:r>
        <w:t xml:space="preserve"> </w:t>
      </w:r>
      <w:r>
        <w:rPr>
          <w:i/>
        </w:rPr>
        <w:t xml:space="preserve">Managing market relationships</w:t>
      </w:r>
      <w:r>
        <w:t xml:space="preserve">. Wiley.</w:t>
      </w:r>
    </w:p>
    <w:p>
      <w:pPr>
        <w:pStyle w:val="BodyText"/>
      </w:pPr>
      <w:r>
        <w:t xml:space="preserve">Anderson, J. C., Jain, D. C., &amp; Chintagunta, P. K. (1993). Customer value assessment in business markets.</w:t>
      </w:r>
      <w:r>
        <w:t xml:space="preserve"> </w:t>
      </w:r>
      <w:r>
        <w:rPr>
          <w:i/>
        </w:rPr>
        <w:t xml:space="preserve">Journal of Business-to-Business Marketing, 1</w:t>
      </w:r>
      <w:r>
        <w:t xml:space="preserve">(1), 3-29.</w:t>
      </w:r>
    </w:p>
    <w:p>
      <w:pPr>
        <w:pStyle w:val="BodyText"/>
      </w:pPr>
      <w:r>
        <w:t xml:space="preserve">Anderson, J. C., &amp; Narus, J. A. (1998). Business marketing: Understand what customers value.</w:t>
      </w:r>
      <w:r>
        <w:t xml:space="preserve"> </w:t>
      </w:r>
      <w:r>
        <w:rPr>
          <w:i/>
        </w:rPr>
        <w:t xml:space="preserve">Harvard Business Review, 76</w:t>
      </w:r>
      <w:r>
        <w:t xml:space="preserve">(6), 53-65.</w:t>
      </w:r>
    </w:p>
    <w:p>
      <w:pPr>
        <w:pStyle w:val="BodyText"/>
      </w:pPr>
      <w:r>
        <w:t xml:space="preserve">Anthropic. (2024).</w:t>
      </w:r>
      <w:r>
        <w:t xml:space="preserve"> </w:t>
      </w:r>
      <w:r>
        <w:rPr>
          <w:i/>
        </w:rPr>
        <w:t xml:space="preserve">Claude pricing</w:t>
      </w:r>
      <w:r>
        <w:t xml:space="preserve">. https://www.anthropic.com/pricing</w:t>
      </w:r>
    </w:p>
    <w:p>
      <w:pPr>
        <w:pStyle w:val="BodyText"/>
      </w:pPr>
      <w:r>
        <w:t xml:space="preserve">Ariely, D. (2008).</w:t>
      </w:r>
      <w:r>
        <w:t xml:space="preserve"> </w:t>
      </w:r>
      <w:r>
        <w:rPr>
          <w:i/>
        </w:rPr>
        <w:t xml:space="preserve">Predictably irrational: The hidden forces that shape our decisions</w:t>
      </w:r>
      <w:r>
        <w:t xml:space="preserve">. HarperCollins.</w:t>
      </w:r>
    </w:p>
    <w:p>
      <w:pPr>
        <w:pStyle w:val="BodyText"/>
      </w:pPr>
      <w:r>
        <w:t xml:space="preserve">Armstrong, M. (2001). Optimal multi-product nonlinear pricing.</w:t>
      </w:r>
      <w:r>
        <w:t xml:space="preserve"> </w:t>
      </w:r>
      <w:r>
        <w:rPr>
          <w:i/>
        </w:rPr>
        <w:t xml:space="preserve">American Economic Review, 91</w:t>
      </w:r>
      <w:r>
        <w:t xml:space="preserve">(3), 580-601.</w:t>
      </w:r>
    </w:p>
    <w:p>
      <w:pPr>
        <w:pStyle w:val="BodyText"/>
      </w:pPr>
      <w:r>
        <w:t xml:space="preserve">Armbrust, M., Fox, A., Griffith, R., Joseph, A. D., Katz, R., Konwinski, A., … &amp; Zaharia, M. (2010). A view of cloud computing.</w:t>
      </w:r>
      <w:r>
        <w:t xml:space="preserve"> </w:t>
      </w:r>
      <w:r>
        <w:rPr>
          <w:i/>
        </w:rPr>
        <w:t xml:space="preserve">Communications of the ACM, 53</w:t>
      </w:r>
      <w:r>
        <w:t xml:space="preserve">(4), 50-58.</w:t>
      </w:r>
    </w:p>
    <w:p>
      <w:pPr>
        <w:pStyle w:val="BodyText"/>
      </w:pPr>
      <w:r>
        <w:t xml:space="preserve">Barney, J. (1991). Firm resources and sustained competitive advantage.</w:t>
      </w:r>
      <w:r>
        <w:t xml:space="preserve"> </w:t>
      </w:r>
      <w:r>
        <w:rPr>
          <w:i/>
        </w:rPr>
        <w:t xml:space="preserve">Journal of Management, 17</w:t>
      </w:r>
      <w:r>
        <w:t xml:space="preserve">(1), 99-120.</w:t>
      </w:r>
    </w:p>
    <w:p>
      <w:pPr>
        <w:pStyle w:val="BodyText"/>
      </w:pPr>
      <w:r>
        <w:t xml:space="preserve">Brown, T. B., Mann, B., Ryder, N., Subbiah, M., Kaplan, J., Dhariwal, P., … &amp; Amodei, D. (2020). Language models are few-shot learners.</w:t>
      </w:r>
      <w:r>
        <w:t xml:space="preserve"> </w:t>
      </w:r>
      <w:r>
        <w:rPr>
          <w:i/>
        </w:rPr>
        <w:t xml:space="preserve">Advances in Neural Information Processing Systems, 33</w:t>
      </w:r>
      <w:r>
        <w:t xml:space="preserve">, 1877-1901.</w:t>
      </w:r>
    </w:p>
    <w:p>
      <w:pPr>
        <w:pStyle w:val="BodyText"/>
      </w:pPr>
      <w:r>
        <w:t xml:space="preserve">Brynjolfsson, E., Hu, Y., &amp; Smith, M. D. (2006). From niches to riches: Anatomy of the long tail.</w:t>
      </w:r>
      <w:r>
        <w:t xml:space="preserve"> </w:t>
      </w:r>
      <w:r>
        <w:rPr>
          <w:i/>
        </w:rPr>
        <w:t xml:space="preserve">MIT Sloan Management Review, 47</w:t>
      </w:r>
      <w:r>
        <w:t xml:space="preserve">(4), 67-71.</w:t>
      </w:r>
    </w:p>
    <w:p>
      <w:pPr>
        <w:pStyle w:val="BodyText"/>
      </w:pPr>
      <w:r>
        <w:t xml:space="preserve">Brynjolfsson, E., &amp; McAfee, A. (2014).</w:t>
      </w:r>
      <w:r>
        <w:t xml:space="preserve"> </w:t>
      </w:r>
      <w:r>
        <w:rPr>
          <w:i/>
        </w:rPr>
        <w:t xml:space="preserve">The second machine age: Work, progress, and prosperity in a time of brilliant technologies</w:t>
      </w:r>
      <w:r>
        <w:t xml:space="preserve">. W. W. Norton &amp; Company.</w:t>
      </w:r>
    </w:p>
    <w:p>
      <w:pPr>
        <w:pStyle w:val="BodyText"/>
      </w:pPr>
      <w:r>
        <w:t xml:space="preserve">Brynjolfsson, E., &amp; McAfee, A. (2017). The business of artificial intelligence.</w:t>
      </w:r>
      <w:r>
        <w:t xml:space="preserve"> </w:t>
      </w:r>
      <w:r>
        <w:rPr>
          <w:i/>
        </w:rPr>
        <w:t xml:space="preserve">Harvard Business Review</w:t>
      </w:r>
      <w:r>
        <w:t xml:space="preserve">, 1-20.</w:t>
      </w:r>
    </w:p>
    <w:p>
      <w:pPr>
        <w:pStyle w:val="BodyText"/>
      </w:pPr>
      <w:r>
        <w:t xml:space="preserve">Buyya, R., Yeo, C. S., Venugopal, S., Broberg, J., &amp; Brandic, I. (2009). Cloud computing and emerging IT platforms.</w:t>
      </w:r>
      <w:r>
        <w:t xml:space="preserve"> </w:t>
      </w:r>
      <w:r>
        <w:rPr>
          <w:i/>
        </w:rPr>
        <w:t xml:space="preserve">Future Generation Computer Systems, 25</w:t>
      </w:r>
      <w:r>
        <w:t xml:space="preserve">(6), 599-616.</w:t>
      </w:r>
    </w:p>
    <w:p>
      <w:pPr>
        <w:pStyle w:val="BodyText"/>
      </w:pPr>
      <w:r>
        <w:t xml:space="preserve">Davenport, T. H., &amp; Ronanki, R. (2018). Artificial intelligence for the real world.</w:t>
      </w:r>
      <w:r>
        <w:t xml:space="preserve"> </w:t>
      </w:r>
      <w:r>
        <w:rPr>
          <w:i/>
        </w:rPr>
        <w:t xml:space="preserve">Harvard Business Review, 96</w:t>
      </w:r>
      <w:r>
        <w:t xml:space="preserve">(1), 108-116.</w:t>
      </w:r>
    </w:p>
    <w:p>
      <w:pPr>
        <w:pStyle w:val="BodyText"/>
      </w:pPr>
      <w:r>
        <w:t xml:space="preserve">Edelman, B., &amp; Luca, M. (2014). Digital discrimination: The case of Airbnb.com.</w:t>
      </w:r>
      <w:r>
        <w:t xml:space="preserve"> </w:t>
      </w:r>
      <w:r>
        <w:rPr>
          <w:i/>
        </w:rPr>
        <w:t xml:space="preserve">Harvard Business School NOM Unit Working Paper</w:t>
      </w:r>
      <w:r>
        <w:t xml:space="preserve">, (14-054).</w:t>
      </w:r>
    </w:p>
    <w:p>
      <w:pPr>
        <w:pStyle w:val="BodyText"/>
      </w:pPr>
      <w:r>
        <w:t xml:space="preserve">Evans, D. S., &amp; Gawer, A. (2016). The rise of the platform enterprise: A global survey.</w:t>
      </w:r>
      <w:r>
        <w:t xml:space="preserve"> </w:t>
      </w:r>
      <w:r>
        <w:rPr>
          <w:i/>
        </w:rPr>
        <w:t xml:space="preserve">The Emerging Platform Economy Series No. 1</w:t>
      </w:r>
      <w:r>
        <w:t xml:space="preserve">, 1-28.</w:t>
      </w:r>
    </w:p>
    <w:p>
      <w:pPr>
        <w:pStyle w:val="BodyText"/>
      </w:pPr>
      <w:r>
        <w:t xml:space="preserve">Goldfarb, A., Taska, B., &amp; Teodoridis, F. (2019). Could machine learning be a general purpose technology?</w:t>
      </w:r>
      <w:r>
        <w:t xml:space="preserve"> </w:t>
      </w:r>
      <w:r>
        <w:rPr>
          <w:i/>
        </w:rPr>
        <w:t xml:space="preserve">NBER Working Paper</w:t>
      </w:r>
      <w:r>
        <w:t xml:space="preserve">, w25863.</w:t>
      </w:r>
    </w:p>
    <w:p>
      <w:pPr>
        <w:pStyle w:val="BodyText"/>
      </w:pPr>
      <w:r>
        <w:t xml:space="preserve">Greenstein, S., &amp; McDevitt, R. C. (2021). The AI challenge to business strategy.</w:t>
      </w:r>
      <w:r>
        <w:t xml:space="preserve"> </w:t>
      </w:r>
      <w:r>
        <w:rPr>
          <w:i/>
        </w:rPr>
        <w:t xml:space="preserve">Journal of Strategy and Management, 14</w:t>
      </w:r>
      <w:r>
        <w:t xml:space="preserve">(3), 375-394.</w:t>
      </w:r>
    </w:p>
    <w:p>
      <w:pPr>
        <w:pStyle w:val="BodyText"/>
      </w:pPr>
      <w:r>
        <w:t xml:space="preserve">Gupta, S., &amp; Lehmann, D. R. (2003). Customers as assets.</w:t>
      </w:r>
      <w:r>
        <w:t xml:space="preserve"> </w:t>
      </w:r>
      <w:r>
        <w:rPr>
          <w:i/>
        </w:rPr>
        <w:t xml:space="preserve">Journal of Interactive Marketing, 17</w:t>
      </w:r>
      <w:r>
        <w:t xml:space="preserve">(1), 9-24.</w:t>
      </w:r>
    </w:p>
    <w:p>
      <w:pPr>
        <w:pStyle w:val="BodyText"/>
      </w:pPr>
      <w:r>
        <w:t xml:space="preserve">Hinterhuber, A. (2004). Towards value-based pricing.</w:t>
      </w:r>
      <w:r>
        <w:t xml:space="preserve"> </w:t>
      </w:r>
      <w:r>
        <w:rPr>
          <w:i/>
        </w:rPr>
        <w:t xml:space="preserve">Industrial Marketing Management, 33</w:t>
      </w:r>
      <w:r>
        <w:t xml:space="preserve">(8), 765-778.</w:t>
      </w:r>
    </w:p>
    <w:p>
      <w:pPr>
        <w:pStyle w:val="BodyText"/>
      </w:pPr>
      <w:r>
        <w:t xml:space="preserve">Hinterhuber, A., &amp; Liozu, S. M. (2012). Is it time to rethink your pricing strategy?</w:t>
      </w:r>
      <w:r>
        <w:t xml:space="preserve"> </w:t>
      </w:r>
      <w:r>
        <w:rPr>
          <w:i/>
        </w:rPr>
        <w:t xml:space="preserve">MIT Sloan Management Review, 53</w:t>
      </w:r>
      <w:r>
        <w:t xml:space="preserve">(4), 69-77.</w:t>
      </w:r>
    </w:p>
    <w:p>
      <w:pPr>
        <w:pStyle w:val="BodyText"/>
      </w:pPr>
      <w:r>
        <w:t xml:space="preserve">Kahneman, D. (2011).</w:t>
      </w:r>
      <w:r>
        <w:t xml:space="preserve"> </w:t>
      </w:r>
      <w:r>
        <w:rPr>
          <w:i/>
        </w:rPr>
        <w:t xml:space="preserve">Thinking, fast and slow</w:t>
      </w:r>
      <w:r>
        <w:t xml:space="preserve">. Farrar, Straus and Giroux.</w:t>
      </w:r>
    </w:p>
    <w:p>
      <w:pPr>
        <w:pStyle w:val="BodyText"/>
      </w:pPr>
      <w:r>
        <w:t xml:space="preserve">Kahneman, D., Knetsch, J. L., &amp; Thaler, R. (1986). Fairness as a constraint on profit seeking.</w:t>
      </w:r>
      <w:r>
        <w:t xml:space="preserve"> </w:t>
      </w:r>
      <w:r>
        <w:rPr>
          <w:i/>
        </w:rPr>
        <w:t xml:space="preserve">American Economic Review, 76</w:t>
      </w:r>
      <w:r>
        <w:t xml:space="preserve">(4), 728-741.</w:t>
      </w:r>
    </w:p>
    <w:p>
      <w:pPr>
        <w:pStyle w:val="BodyText"/>
      </w:pPr>
      <w:r>
        <w:t xml:space="preserve">Kahneman, D., &amp; Tversky, A. (1979). Prospect theory: An analysis of decision under risk.</w:t>
      </w:r>
      <w:r>
        <w:t xml:space="preserve"> </w:t>
      </w:r>
      <w:r>
        <w:rPr>
          <w:i/>
        </w:rPr>
        <w:t xml:space="preserve">Econometrica, 47</w:t>
      </w:r>
      <w:r>
        <w:t xml:space="preserve">(2), 263-291.</w:t>
      </w:r>
    </w:p>
    <w:p>
      <w:pPr>
        <w:pStyle w:val="BodyText"/>
      </w:pPr>
      <w:r>
        <w:t xml:space="preserve">Kaplan, A., &amp; Haenlein, M. (2019). Siri, Siri, in my hand: Who’s the fairest in the land? On the interpretations, illustrations, and implications of artificial intelligence.</w:t>
      </w:r>
      <w:r>
        <w:t xml:space="preserve"> </w:t>
      </w:r>
      <w:r>
        <w:rPr>
          <w:i/>
        </w:rPr>
        <w:t xml:space="preserve">Business Horizons, 62</w:t>
      </w:r>
      <w:r>
        <w:t xml:space="preserve">(1), 15-25.</w:t>
      </w:r>
    </w:p>
    <w:p>
      <w:pPr>
        <w:pStyle w:val="BodyText"/>
      </w:pPr>
      <w:r>
        <w:t xml:space="preserve">Kaplan, R. S., &amp; Norton, D. P. (1996). Using the balanced scorecard as a strategic management system.</w:t>
      </w:r>
      <w:r>
        <w:t xml:space="preserve"> </w:t>
      </w:r>
      <w:r>
        <w:rPr>
          <w:i/>
        </w:rPr>
        <w:t xml:space="preserve">Harvard Business Review, 74</w:t>
      </w:r>
      <w:r>
        <w:t xml:space="preserve">(1), 75-85.</w:t>
      </w:r>
    </w:p>
    <w:p>
      <w:pPr>
        <w:pStyle w:val="BodyText"/>
      </w:pPr>
      <w:r>
        <w:t xml:space="preserve">Kotler, P., &amp; Armstrong, G. (2018).</w:t>
      </w:r>
      <w:r>
        <w:t xml:space="preserve"> </w:t>
      </w:r>
      <w:r>
        <w:rPr>
          <w:i/>
        </w:rPr>
        <w:t xml:space="preserve">Principles of marketing</w:t>
      </w:r>
      <w:r>
        <w:t xml:space="preserve"> </w:t>
      </w:r>
      <w:r>
        <w:t xml:space="preserve">(17th ed.). Pearson.</w:t>
      </w:r>
    </w:p>
    <w:p>
      <w:pPr>
        <w:pStyle w:val="BodyText"/>
      </w:pPr>
      <w:r>
        <w:t xml:space="preserve">Kotler, P., &amp; Keller, K. L. (2015).</w:t>
      </w:r>
      <w:r>
        <w:t xml:space="preserve"> </w:t>
      </w:r>
      <w:r>
        <w:rPr>
          <w:i/>
        </w:rPr>
        <w:t xml:space="preserve">Marketing management</w:t>
      </w:r>
      <w:r>
        <w:t xml:space="preserve"> </w:t>
      </w:r>
      <w:r>
        <w:t xml:space="preserve">(15th ed.). Pearson.</w:t>
      </w:r>
    </w:p>
    <w:p>
      <w:pPr>
        <w:pStyle w:val="BodyText"/>
      </w:pPr>
      <w:r>
        <w:t xml:space="preserve">Lancaster, K. (1966). A new approach to consumer theory.</w:t>
      </w:r>
      <w:r>
        <w:t xml:space="preserve"> </w:t>
      </w:r>
      <w:r>
        <w:rPr>
          <w:i/>
        </w:rPr>
        <w:t xml:space="preserve">Journal of Political Economy, 74</w:t>
      </w:r>
      <w:r>
        <w:t xml:space="preserve">(2), 132-157.</w:t>
      </w:r>
    </w:p>
    <w:p>
      <w:pPr>
        <w:pStyle w:val="BodyText"/>
      </w:pPr>
      <w:r>
        <w:t xml:space="preserve">Lind, E. A., &amp; Tyler, T. R. (1988).</w:t>
      </w:r>
      <w:r>
        <w:t xml:space="preserve"> </w:t>
      </w:r>
      <w:r>
        <w:rPr>
          <w:i/>
        </w:rPr>
        <w:t xml:space="preserve">The social psychology of procedural justice</w:t>
      </w:r>
      <w:r>
        <w:t xml:space="preserve">. Plenum Press.</w:t>
      </w:r>
    </w:p>
    <w:p>
      <w:pPr>
        <w:pStyle w:val="BodyText"/>
      </w:pPr>
      <w:r>
        <w:t xml:space="preserve">Marcus, G. (2020). The next decade in AI: Four steps towards robust artificial intelligence.</w:t>
      </w:r>
      <w:r>
        <w:t xml:space="preserve"> </w:t>
      </w:r>
      <w:r>
        <w:rPr>
          <w:i/>
        </w:rPr>
        <w:t xml:space="preserve">arXiv preprint arXiv:2002.06177</w:t>
      </w:r>
      <w:r>
        <w:t xml:space="preserve">.</w:t>
      </w:r>
    </w:p>
    <w:p>
      <w:pPr>
        <w:pStyle w:val="BodyText"/>
      </w:pPr>
      <w:r>
        <w:t xml:space="preserve">Marshall, A. (1890).</w:t>
      </w:r>
      <w:r>
        <w:t xml:space="preserve"> </w:t>
      </w:r>
      <w:r>
        <w:rPr>
          <w:i/>
        </w:rPr>
        <w:t xml:space="preserve">Principles of economics</w:t>
      </w:r>
      <w:r>
        <w:t xml:space="preserve">. Macmillan.</w:t>
      </w:r>
    </w:p>
    <w:p>
      <w:pPr>
        <w:pStyle w:val="BodyText"/>
      </w:pPr>
      <w:r>
        <w:t xml:space="preserve">Microsoft. (2024).</w:t>
      </w:r>
      <w:r>
        <w:t xml:space="preserve"> </w:t>
      </w:r>
      <w:r>
        <w:rPr>
          <w:i/>
        </w:rPr>
        <w:t xml:space="preserve">Azure OpenAI Service pricing</w:t>
      </w:r>
      <w:r>
        <w:t xml:space="preserve">. https://azure.microsoft.com/en-us/pricing/details/cognitive-services/openai-service/</w:t>
      </w:r>
    </w:p>
    <w:p>
      <w:pPr>
        <w:pStyle w:val="BodyText"/>
      </w:pPr>
      <w:r>
        <w:t xml:space="preserve">Monroe, K. B. (2003).</w:t>
      </w:r>
      <w:r>
        <w:t xml:space="preserve"> </w:t>
      </w:r>
      <w:r>
        <w:rPr>
          <w:i/>
        </w:rPr>
        <w:t xml:space="preserve">Pricing: Making profitable decisions</w:t>
      </w:r>
      <w:r>
        <w:t xml:space="preserve"> </w:t>
      </w:r>
      <w:r>
        <w:t xml:space="preserve">(3rd ed.). McGraw-Hill.</w:t>
      </w:r>
    </w:p>
    <w:p>
      <w:pPr>
        <w:pStyle w:val="BodyText"/>
      </w:pPr>
      <w:r>
        <w:t xml:space="preserve">Nagle, T. T., &amp; Holden, R. K. (2016).</w:t>
      </w:r>
      <w:r>
        <w:t xml:space="preserve"> </w:t>
      </w:r>
      <w:r>
        <w:rPr>
          <w:i/>
        </w:rPr>
        <w:t xml:space="preserve">The strategy and tactics of pricing: A guide to growing more profitably</w:t>
      </w:r>
      <w:r>
        <w:t xml:space="preserve"> </w:t>
      </w:r>
      <w:r>
        <w:t xml:space="preserve">(6th ed.). Routledge.</w:t>
      </w:r>
    </w:p>
    <w:p>
      <w:pPr>
        <w:pStyle w:val="BodyText"/>
      </w:pPr>
      <w:r>
        <w:t xml:space="preserve">O’Neil, C. (2016).</w:t>
      </w:r>
      <w:r>
        <w:t xml:space="preserve"> </w:t>
      </w:r>
      <w:r>
        <w:rPr>
          <w:i/>
        </w:rPr>
        <w:t xml:space="preserve">Weapons of math destruction: How big data increases inequality and threatens democracy</w:t>
      </w:r>
      <w:r>
        <w:t xml:space="preserve">. Crown.</w:t>
      </w:r>
    </w:p>
    <w:p>
      <w:pPr>
        <w:pStyle w:val="BodyText"/>
      </w:pPr>
      <w:r>
        <w:t xml:space="preserve">OpenAI. (2023).</w:t>
      </w:r>
      <w:r>
        <w:t xml:space="preserve"> </w:t>
      </w:r>
      <w:r>
        <w:rPr>
          <w:i/>
        </w:rPr>
        <w:t xml:space="preserve">Pricing</w:t>
      </w:r>
      <w:r>
        <w:t xml:space="preserve">. https://openai.com/pricing</w:t>
      </w:r>
    </w:p>
    <w:p>
      <w:pPr>
        <w:pStyle w:val="BodyText"/>
      </w:pPr>
      <w:r>
        <w:t xml:space="preserve">OpenAI. (2024).</w:t>
      </w:r>
      <w:r>
        <w:t xml:space="preserve"> </w:t>
      </w:r>
      <w:r>
        <w:rPr>
          <w:i/>
        </w:rPr>
        <w:t xml:space="preserve">GPT-4 pricing</w:t>
      </w:r>
      <w:r>
        <w:t xml:space="preserve">. https://openai.com/pricing</w:t>
      </w:r>
    </w:p>
    <w:p>
      <w:pPr>
        <w:pStyle w:val="BodyText"/>
      </w:pPr>
      <w:r>
        <w:t xml:space="preserve">Parker, G. G., Van Alstyne, M. W., &amp; Choudary, S. P. (2016).</w:t>
      </w:r>
      <w:r>
        <w:t xml:space="preserve"> </w:t>
      </w:r>
      <w:r>
        <w:rPr>
          <w:i/>
        </w:rPr>
        <w:t xml:space="preserve">Platform revolution: How networked markets are transforming the economy</w:t>
      </w:r>
      <w:r>
        <w:t xml:space="preserve">. W. W. Norton &amp; Company.</w:t>
      </w:r>
    </w:p>
    <w:p>
      <w:pPr>
        <w:pStyle w:val="BodyText"/>
      </w:pPr>
      <w:r>
        <w:t xml:space="preserve">Pasquale, F. (2015).</w:t>
      </w:r>
      <w:r>
        <w:t xml:space="preserve"> </w:t>
      </w:r>
      <w:r>
        <w:rPr>
          <w:i/>
        </w:rPr>
        <w:t xml:space="preserve">The black box society: The secret algorithms that control money and information</w:t>
      </w:r>
      <w:r>
        <w:t xml:space="preserve">. Harvard University Press.</w:t>
      </w:r>
    </w:p>
    <w:p>
      <w:pPr>
        <w:pStyle w:val="BodyText"/>
      </w:pPr>
      <w:r>
        <w:t xml:space="preserve">Phlips, L. (1983).</w:t>
      </w:r>
      <w:r>
        <w:t xml:space="preserve"> </w:t>
      </w:r>
      <w:r>
        <w:rPr>
          <w:i/>
        </w:rPr>
        <w:t xml:space="preserve">The economics of price discrimination</w:t>
      </w:r>
      <w:r>
        <w:t xml:space="preserve">. Cambridge University Press.</w:t>
      </w:r>
    </w:p>
    <w:p>
      <w:pPr>
        <w:pStyle w:val="BodyText"/>
      </w:pPr>
      <w:r>
        <w:t xml:space="preserve">Porter, M. E. (1985).</w:t>
      </w:r>
      <w:r>
        <w:t xml:space="preserve"> </w:t>
      </w:r>
      <w:r>
        <w:rPr>
          <w:i/>
        </w:rPr>
        <w:t xml:space="preserve">Competitive advantage: Creating and sustaining superior performance</w:t>
      </w:r>
      <w:r>
        <w:t xml:space="preserve">. Free Press.</w:t>
      </w:r>
    </w:p>
    <w:p>
      <w:pPr>
        <w:pStyle w:val="BodyText"/>
      </w:pPr>
      <w:r>
        <w:t xml:space="preserve">Reichheld, F. F. (2003). The one number you need to grow.</w:t>
      </w:r>
      <w:r>
        <w:t xml:space="preserve"> </w:t>
      </w:r>
      <w:r>
        <w:rPr>
          <w:i/>
        </w:rPr>
        <w:t xml:space="preserve">Harvard Business Review, 81</w:t>
      </w:r>
      <w:r>
        <w:t xml:space="preserve">(12), 46-55.</w:t>
      </w:r>
    </w:p>
    <w:p>
      <w:pPr>
        <w:pStyle w:val="BodyText"/>
      </w:pPr>
      <w:r>
        <w:t xml:space="preserve">Russell, S., &amp; Norvig, P. (2021).</w:t>
      </w:r>
      <w:r>
        <w:t xml:space="preserve"> </w:t>
      </w:r>
      <w:r>
        <w:rPr>
          <w:i/>
        </w:rPr>
        <w:t xml:space="preserve">Artificial intelligence: A modern approach</w:t>
      </w:r>
      <w:r>
        <w:t xml:space="preserve"> </w:t>
      </w:r>
      <w:r>
        <w:t xml:space="preserve">(4th ed.). Pearson.</w:t>
      </w:r>
    </w:p>
    <w:p>
      <w:pPr>
        <w:pStyle w:val="BodyText"/>
      </w:pPr>
      <w:r>
        <w:t xml:space="preserve">Rust, R. T., Zeithaml, V. A., &amp; Lemon, K. N. (2000).</w:t>
      </w:r>
      <w:r>
        <w:t xml:space="preserve"> </w:t>
      </w:r>
      <w:r>
        <w:rPr>
          <w:i/>
        </w:rPr>
        <w:t xml:space="preserve">Driving customer equity: How customer lifetime value is reshaping corporate strategy</w:t>
      </w:r>
      <w:r>
        <w:t xml:space="preserve">. Free Press.</w:t>
      </w:r>
    </w:p>
    <w:p>
      <w:pPr>
        <w:pStyle w:val="BodyText"/>
      </w:pPr>
      <w:r>
        <w:t xml:space="preserve">Shapiro, C., &amp; Varian, H. R. (1998).</w:t>
      </w:r>
      <w:r>
        <w:t xml:space="preserve"> </w:t>
      </w:r>
      <w:r>
        <w:rPr>
          <w:i/>
        </w:rPr>
        <w:t xml:space="preserve">Information rules: A strategic guide to the network economy</w:t>
      </w:r>
      <w:r>
        <w:t xml:space="preserve">. Harvard Business School Press.</w:t>
      </w:r>
    </w:p>
    <w:p>
      <w:pPr>
        <w:pStyle w:val="BodyText"/>
      </w:pPr>
      <w:r>
        <w:t xml:space="preserve">Shneiderman, B. (2016). The dangers of faulty, biased, or malicious algorithms requires independent oversight.</w:t>
      </w:r>
      <w:r>
        <w:t xml:space="preserve"> </w:t>
      </w:r>
      <w:r>
        <w:rPr>
          <w:i/>
        </w:rPr>
        <w:t xml:space="preserve">Proceedings of the National Academy of Sciences, 113</w:t>
      </w:r>
      <w:r>
        <w:t xml:space="preserve">(48), 13538-13540.</w:t>
      </w:r>
    </w:p>
    <w:p>
      <w:pPr>
        <w:pStyle w:val="BodyText"/>
      </w:pPr>
      <w:r>
        <w:t xml:space="preserve">Shumailov, I., Shumaylov, Z., Zhao, Y., Gal, Y., Papernot, N., &amp; Anderson, R. (2023). The curse of recursion: Training on generated data makes models forget.</w:t>
      </w:r>
      <w:r>
        <w:t xml:space="preserve"> </w:t>
      </w:r>
      <w:r>
        <w:rPr>
          <w:i/>
        </w:rPr>
        <w:t xml:space="preserve">arXiv preprint arXiv:2305.17493</w:t>
      </w:r>
      <w:r>
        <w:t xml:space="preserve">.</w:t>
      </w:r>
    </w:p>
    <w:p>
      <w:pPr>
        <w:pStyle w:val="BodyText"/>
      </w:pPr>
      <w:r>
        <w:t xml:space="preserve">Slater, S. F. (1980). The relationship between product and service pricing.</w:t>
      </w:r>
      <w:r>
        <w:t xml:space="preserve"> </w:t>
      </w:r>
      <w:r>
        <w:rPr>
          <w:i/>
        </w:rPr>
        <w:t xml:space="preserve">Journal of Marketing, 44</w:t>
      </w:r>
      <w:r>
        <w:t xml:space="preserve">(3), 101-108.</w:t>
      </w:r>
    </w:p>
    <w:p>
      <w:pPr>
        <w:pStyle w:val="BodyText"/>
      </w:pPr>
      <w:r>
        <w:t xml:space="preserve">Smith, A. (1776).</w:t>
      </w:r>
      <w:r>
        <w:t xml:space="preserve"> </w:t>
      </w:r>
      <w:r>
        <w:rPr>
          <w:i/>
        </w:rPr>
        <w:t xml:space="preserve">An inquiry into the nature and causes of the wealth of nations</w:t>
      </w:r>
      <w:r>
        <w:t xml:space="preserve">. W. Strahan and T. Cadell.</w:t>
      </w:r>
    </w:p>
    <w:p>
      <w:pPr>
        <w:pStyle w:val="BodyText"/>
      </w:pPr>
      <w:r>
        <w:t xml:space="preserve">Stigler, G. J. (1961). The economics of information.</w:t>
      </w:r>
      <w:r>
        <w:t xml:space="preserve"> </w:t>
      </w:r>
      <w:r>
        <w:rPr>
          <w:i/>
        </w:rPr>
        <w:t xml:space="preserve">Journal of Political Economy, 69</w:t>
      </w:r>
      <w:r>
        <w:t xml:space="preserve">(3), 213-225.</w:t>
      </w:r>
    </w:p>
    <w:p>
      <w:pPr>
        <w:pStyle w:val="BodyText"/>
      </w:pPr>
      <w:r>
        <w:t xml:space="preserve">Stone, P., Brooks, R., Brynjolfsson, E., Calo, R., Etzioni, O., Hager, G., … &amp; Teller, A. (2016). Artificial intelligence and life in 2030: One hundred year study on artificial intelligence.</w:t>
      </w:r>
      <w:r>
        <w:t xml:space="preserve"> </w:t>
      </w:r>
      <w:r>
        <w:rPr>
          <w:i/>
        </w:rPr>
        <w:t xml:space="preserve">Stanford University</w:t>
      </w:r>
      <w:r>
        <w:t xml:space="preserve">.</w:t>
      </w:r>
    </w:p>
    <w:p>
      <w:pPr>
        <w:pStyle w:val="BodyText"/>
      </w:pPr>
      <w:r>
        <w:t xml:space="preserve">Teece, D. J. (2010). Business models, business strategy and innovation.</w:t>
      </w:r>
      <w:r>
        <w:t xml:space="preserve"> </w:t>
      </w:r>
      <w:r>
        <w:rPr>
          <w:i/>
        </w:rPr>
        <w:t xml:space="preserve">Long Range Planning, 43</w:t>
      </w:r>
      <w:r>
        <w:t xml:space="preserve">(2-3), 172-194.</w:t>
      </w:r>
    </w:p>
    <w:p>
      <w:pPr>
        <w:pStyle w:val="BodyText"/>
      </w:pPr>
      <w:r>
        <w:t xml:space="preserve">Varian, H. R. (1992).</w:t>
      </w:r>
      <w:r>
        <w:t xml:space="preserve"> </w:t>
      </w:r>
      <w:r>
        <w:rPr>
          <w:i/>
        </w:rPr>
        <w:t xml:space="preserve">Microeconomic analysis</w:t>
      </w:r>
      <w:r>
        <w:t xml:space="preserve"> </w:t>
      </w:r>
      <w:r>
        <w:t xml:space="preserve">(3rd ed.). W. W. Norton &amp; Company.</w:t>
      </w:r>
    </w:p>
    <w:p>
      <w:pPr>
        <w:pStyle w:val="BodyText"/>
      </w:pPr>
      <w:r>
        <w:t xml:space="preserve">Varian, H. R. (1996).</w:t>
      </w:r>
      <w:r>
        <w:t xml:space="preserve"> </w:t>
      </w:r>
      <w:r>
        <w:rPr>
          <w:i/>
        </w:rPr>
        <w:t xml:space="preserve">Intermediate microeconomics: A modern approach</w:t>
      </w:r>
      <w:r>
        <w:t xml:space="preserve"> </w:t>
      </w:r>
      <w:r>
        <w:t xml:space="preserve">(4th ed.). W. W. Norton &amp; Company.</w:t>
      </w:r>
    </w:p>
    <w:p>
      <w:pPr>
        <w:pStyle w:val="BodyText"/>
      </w:pPr>
      <w:r>
        <w:t xml:space="preserve">Varian, H. R. (2006).</w:t>
      </w:r>
      <w:r>
        <w:t xml:space="preserve"> </w:t>
      </w:r>
      <w:r>
        <w:rPr>
          <w:i/>
        </w:rPr>
        <w:t xml:space="preserve">Intermediate microeconomics: A modern approach</w:t>
      </w:r>
      <w:r>
        <w:t xml:space="preserve"> </w:t>
      </w:r>
      <w:r>
        <w:t xml:space="preserve">(7th ed.). W. W. Norton &amp; Company.</w:t>
      </w:r>
    </w:p>
    <w:p>
      <w:pPr>
        <w:pStyle w:val="BodyText"/>
      </w:pPr>
      <w:r>
        <w:t xml:space="preserve">Varian, H. R. (2010).</w:t>
      </w:r>
      <w:r>
        <w:t xml:space="preserve"> </w:t>
      </w:r>
      <w:r>
        <w:rPr>
          <w:i/>
        </w:rPr>
        <w:t xml:space="preserve">Intermediate microeconomics: A modern approach</w:t>
      </w:r>
      <w:r>
        <w:t xml:space="preserve"> </w:t>
      </w:r>
      <w:r>
        <w:t xml:space="preserve">(8th ed.). W. W. Norton &amp; Company.</w:t>
      </w:r>
    </w:p>
    <w:p>
      <w:pPr>
        <w:pStyle w:val="BodyText"/>
      </w:pPr>
      <w:r>
        <w:t xml:space="preserve">Wernerfelt, B. (1984). A resource-based view of the firm.</w:t>
      </w:r>
      <w:r>
        <w:t xml:space="preserve"> </w:t>
      </w:r>
      <w:r>
        <w:rPr>
          <w:i/>
        </w:rPr>
        <w:t xml:space="preserve">Strategic Management Journal, 5</w:t>
      </w:r>
      <w:r>
        <w:t xml:space="preserve">(2), 171-180.</w:t>
      </w:r>
    </w:p>
    <w:p>
      <w:pPr>
        <w:pStyle w:val="BodyText"/>
      </w:pPr>
      <w:r>
        <w:t xml:space="preserve">Yin, R. K. (2018).</w:t>
      </w:r>
      <w:r>
        <w:t xml:space="preserve"> </w:t>
      </w:r>
      <w:r>
        <w:rPr>
          <w:i/>
        </w:rPr>
        <w:t xml:space="preserve">Case study research and applications: Design and methods</w:t>
      </w:r>
      <w:r>
        <w:t xml:space="preserve"> </w:t>
      </w:r>
      <w:r>
        <w:t xml:space="preserve">(6th ed.). Sage Publications.</w:t>
      </w:r>
    </w:p>
    <w:p>
      <w:pPr>
        <w:pStyle w:val="BodyText"/>
      </w:pPr>
      <w:r>
        <w:t xml:space="preserve">Zeithaml, V. A. (1988). Consumer perceptions of price, quality, and value: A means-end model and synthesis of evidence.</w:t>
      </w:r>
      <w:r>
        <w:t xml:space="preserve"> </w:t>
      </w:r>
      <w:r>
        <w:rPr>
          <w:i/>
        </w:rPr>
        <w:t xml:space="preserve">Journal of Marketing, 52</w:t>
      </w:r>
      <w:r>
        <w:t xml:space="preserve">(3), 2-22.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Models for Agentic AI Systems: From Token-Based to Value-Based Approaches</dc:title>
  <dc:creator>Academic Thesis AI (Multi-Agent System)</dc:creator>
  <cp:keywords/>
  <dcterms:created xsi:type="dcterms:W3CDTF">2025-10-31T12:44:36Z</dcterms:created>
  <dcterms:modified xsi:type="dcterms:W3CDTF">2025-10-31T12:44:36Z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 Through comparative analysis of existing pricing models and examination of three industry case studies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 analysis reveals that value-based pricing offers superior alignment between provider incentives and customer outcomes, though implementation challenges include accurate value measurement and the need for sophisticated market segmentation. Case study results indicate that customers demonstrate willingness to pay premium prices for high-value outcomes regardless of computational cost, while resisting charges for high token consumption delivering minimal value. 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and ethical considerations surrounding AI accessibility and affordability.</vt:lpwstr>
  </property>
  <property fmtid="{D5CDD505-2E9C-101B-9397-08002B2CF9AE}" pid="3" name="call_to_action">
    <vt:lpwstr>Want to write YOUR thesis with AI? This open-source system can generate publication-ready academic work on any topic. Get started at https://github.com/federicodeponte/academic-thesis-ai</vt:lpwstr>
  </property>
  <property fmtid="{D5CDD505-2E9C-101B-9397-08002B2CF9AE}" pid="4" name="citations_verified">
    <vt:lpwstr>66 academic references, all verified and cited</vt:lpwstr>
  </property>
  <property fmtid="{D5CDD505-2E9C-101B-9397-08002B2CF9AE}" pid="5" name="date">
    <vt:lpwstr>January 2025</vt:lpwstr>
  </property>
  <property fmtid="{D5CDD505-2E9C-101B-9397-08002B2CF9AE}" pid="6" name="generation_method">
    <vt:lpwstr>14 specialized AI agents (Research, Writing, Fact-Checking, Citation, Export)</vt:lpwstr>
  </property>
  <property fmtid="{D5CDD505-2E9C-101B-9397-08002B2CF9AE}" pid="7" name="github_repo">
    <vt:lpwstr>https://github.com/federicodeponte/academic-thesis-ai</vt:lpwstr>
  </property>
  <property fmtid="{D5CDD505-2E9C-101B-9397-08002B2CF9AE}" pid="8" name="license">
    <vt:lpwstr>MIT - Use it, fork it, improve it, publish with it</vt:lpwstr>
  </property>
  <property fmtid="{D5CDD505-2E9C-101B-9397-08002B2CF9AE}" pid="9" name="quality_score">
    <vt:lpwstr>A- (90/100) - Publication-ready for mid-tier academic journals</vt:lpwstr>
  </property>
  <property fmtid="{D5CDD505-2E9C-101B-9397-08002B2CF9AE}" pid="10" name="showcase_description">
    <vt:lpwstr>This complete 81-page master’s thesis was autonomously written, researched, fact-checked, and formatted by a multi-agent AI system. From literature review to mathematical proofs to case studies—all AI-generated.</vt:lpwstr>
  </property>
  <property fmtid="{D5CDD505-2E9C-101B-9397-08002B2CF9AE}" pid="11" name="subtitle">
    <vt:lpwstr>AI-Generated Academic Thesis Showcase</vt:lpwstr>
  </property>
  <property fmtid="{D5CDD505-2E9C-101B-9397-08002B2CF9AE}" pid="12" name="system_capabilities">
    <vt:lpwstr>Research any academic topic • Generate original frameworks • Create case studies • Verify citations • Export to PDF/DOCX/HTML • Quality gates for academic integrity</vt:lpwstr>
  </property>
  <property fmtid="{D5CDD505-2E9C-101B-9397-08002B2CF9AE}" pid="13" name="system_creator">
    <vt:lpwstr>Federico De Ponte</vt:lpwstr>
  </property>
  <property fmtid="{D5CDD505-2E9C-101B-9397-08002B2CF9AE}" pid="14" name="visual_elements">
    <vt:lpwstr>5 tables, 2 figures, comprehensive appendices</vt:lpwstr>
  </property>
  <property fmtid="{D5CDD505-2E9C-101B-9397-08002B2CF9AE}" pid="15" name="word_count">
    <vt:lpwstr>14,567 words across 81 pages</vt:lpwstr>
  </property>
</Properties>
</file>