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m:t>
        </m:r>
        <m:r>
          <m:t>6</m:t>
        </m:r>
        <m:r>
          <m:t>,</m:t>
        </m:r>
        <m:r>
          <m:t>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m:t>
          </m:r>
          <m:r>
            <m:t>000</m:t>
          </m:r>
          <m:r>
            <m:t>×</m:t>
          </m:r>
          <m:r>
            <m:t>0.07</m:t>
          </m:r>
          <m:r>
            <m:t>×</m:t>
          </m:r>
          <m:r>
            <m:t>$</m:t>
          </m:r>
          <m:r>
            <m:t>6</m:t>
          </m:r>
          <m:r>
            <m:t>,</m:t>
          </m:r>
          <m:r>
            <m:t>500</m:t>
          </m:r>
          <m:r>
            <m:t>=</m:t>
          </m:r>
          <m:r>
            <m:t>$</m:t>
          </m:r>
          <m:r>
            <m:t>2</m:t>
          </m:r>
          <m:r>
            <m:t>,</m:t>
          </m:r>
          <m:r>
            <m:t>275</m:t>
          </m:r>
          <m:r>
            <m:t>,</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w:t>
      </w:r>
      <w:r>
        <w:t xml:space="preserve"> </w:t>
      </w:r>
      <m:oMath>
        <m:r>
          <m:t>$</m:t>
        </m:r>
        <m:r>
          <m:t>180</m:t>
        </m:r>
        <m:r>
          <m:t>/</m:t>
        </m:r>
        <m:r>
          <m:t>h</m:t>
        </m:r>
        <m:r>
          <m:t>o</m:t>
        </m:r>
        <m:r>
          <m:t>u</m:t>
        </m:r>
        <m:r>
          <m:t>r</m:t>
        </m:r>
      </m:oMath>
      <w:r>
        <w:t xml:space="preserve">,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m:t>
          </m:r>
          <m:r>
            <m:t>000</m:t>
          </m:r>
          <m:r>
            <m:t>×</m:t>
          </m:r>
          <m:r>
            <m:t>(</m:t>
          </m:r>
          <m:r>
            <m:t>12</m:t>
          </m:r>
          <m:r>
            <m:t>−</m:t>
          </m:r>
          <m:r>
            <m:t>3</m:t>
          </m:r>
          <m:r>
            <m:t>)</m:t>
          </m:r>
          <m:r>
            <m:t>/</m:t>
          </m:r>
          <m:r>
            <m:t>60</m:t>
          </m:r>
          <m:r>
            <m:t>×</m:t>
          </m:r>
          <m:r>
            <m:t>$</m:t>
          </m:r>
          <m:r>
            <m:t>180</m:t>
          </m:r>
          <m:r>
            <m:t>=</m:t>
          </m:r>
          <m:r>
            <m:t>5</m:t>
          </m:r>
          <m:r>
            <m:t>,</m:t>
          </m:r>
          <m:r>
            <m:t>000</m:t>
          </m:r>
          <m:r>
            <m:t>×</m:t>
          </m:r>
          <m:r>
            <m:t>0.15</m:t>
          </m:r>
          <m:r>
            <m:t>×</m:t>
          </m:r>
          <m:r>
            <m:t>$</m:t>
          </m:r>
          <m:r>
            <m:t>180</m:t>
          </m:r>
          <m:r>
            <m:t>=</m:t>
          </m:r>
          <m:r>
            <m:t>$</m:t>
          </m:r>
          <m:r>
            <m:t>135</m:t>
          </m:r>
          <m:r>
            <m:t>,</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w:t>
      </w:r>
      <w:r>
        <w:t xml:space="preserve"> </w:t>
      </w:r>
      <m:oMath>
        <m:r>
          <m:t>$</m:t>
        </m:r>
        <m:r>
          <m:t>400</m:t>
        </m:r>
      </m:oMath>
      <w:r>
        <w:t xml:space="preserve"> </w:t>
      </w:r>
      <w:r>
        <w:t xml:space="preserve">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m:t>
          </m:r>
          <m:r>
            <m:t>400</m:t>
          </m:r>
          <m:r>
            <m:t>=</m:t>
          </m:r>
          <m:r>
            <m:t>$</m:t>
          </m:r>
          <m:r>
            <m:t>90</m:t>
          </m:r>
          <m:r>
            <m:t>,</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w:t>
      </w:r>
      <w:r>
        <w:t xml:space="preserve"> </w:t>
      </w:r>
      <m:oMath>
        <m:r>
          <m:t>$</m:t>
        </m:r>
        <m:r>
          <m:t>25</m:t>
        </m:r>
        <m:r>
          <m:t>,</m:t>
        </m:r>
        <m:r>
          <m:t>000</m:t>
        </m:r>
      </m:oMath>
      <w:r>
        <w:t xml:space="preserve"> </w:t>
      </w:r>
      <w:r>
        <w:t xml:space="preserve">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m:t>
          </m:r>
          <m:r>
            <m:t>25</m:t>
          </m:r>
          <m:r>
            <m:t>,</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m:t>
          </m:r>
          <m:r>
            <m:t>2</m:t>
          </m:r>
          <m:r>
            <m:t>,</m:t>
          </m:r>
          <m:r>
            <m:t>275</m:t>
          </m:r>
          <m:r>
            <m:t>,</m:t>
          </m:r>
          <m:r>
            <m:t>000</m:t>
          </m:r>
          <m:r>
            <m:t>)</m:t>
          </m:r>
          <m:r>
            <m:t>+</m:t>
          </m:r>
          <m:r>
            <m:t>0.25</m:t>
          </m:r>
          <m:r>
            <m:t>(</m:t>
          </m:r>
          <m:r>
            <m:t>$</m:t>
          </m:r>
          <m:r>
            <m:t>135</m:t>
          </m:r>
          <m:r>
            <m:t>,</m:t>
          </m:r>
          <m:r>
            <m:t>000</m:t>
          </m:r>
          <m:r>
            <m:t>)</m:t>
          </m:r>
          <m:r>
            <m:t>+</m:t>
          </m:r>
          <m:r>
            <m:t>0.20</m:t>
          </m:r>
          <m:r>
            <m:t>(</m:t>
          </m:r>
          <m:r>
            <m:t>$</m:t>
          </m:r>
          <m:r>
            <m:t>90</m:t>
          </m:r>
          <m:r>
            <m:t>,</m:t>
          </m:r>
          <m:r>
            <m:t>000</m:t>
          </m:r>
          <m:r>
            <m:t>)</m:t>
          </m:r>
          <m:r>
            <m:t>+</m:t>
          </m:r>
          <m:r>
            <m:t>0.10</m:t>
          </m:r>
          <m:r>
            <m:t>(</m:t>
          </m:r>
          <m:r>
            <m:t>$</m:t>
          </m:r>
          <m:r>
            <m:t>25</m:t>
          </m:r>
          <m:r>
            <m:t>,</m:t>
          </m:r>
          <m:r>
            <m:t>000</m:t>
          </m:r>
          <m:r>
            <m:t>)</m:t>
          </m:r>
        </m:oMath>
      </m:oMathPara>
    </w:p>
    <w:p>
      <w:pPr>
        <w:pStyle w:val="FirstParagraph"/>
      </w:pPr>
      <m:oMathPara>
        <m:oMathParaPr>
          <m:jc m:val="center"/>
        </m:oMathParaPr>
        <m:oMath>
          <m:sSub>
            <m:e>
              <m:r>
                <m:t>V</m:t>
              </m:r>
            </m:e>
            <m:sub>
              <m:r>
                <m:t>t</m:t>
              </m:r>
              <m:r>
                <m:t>o</m:t>
              </m:r>
              <m:r>
                <m:t>t</m:t>
              </m:r>
              <m:r>
                <m:t>a</m:t>
              </m:r>
              <m:r>
                <m:t>l</m:t>
              </m:r>
            </m:sub>
          </m:sSub>
          <m:r>
            <m:t>=</m:t>
          </m:r>
          <m:r>
            <m:t>$</m:t>
          </m:r>
          <m:r>
            <m:t>1</m:t>
          </m:r>
          <m:r>
            <m:t>,</m:t>
          </m:r>
          <m:r>
            <m:t>023</m:t>
          </m:r>
          <m:r>
            <m:t>,</m:t>
          </m:r>
          <m:r>
            <m:t>750</m:t>
          </m:r>
          <m:r>
            <m:t>+</m:t>
          </m:r>
          <m:r>
            <m:t>$</m:t>
          </m:r>
          <m:r>
            <m:t>33</m:t>
          </m:r>
          <m:r>
            <m:t>,</m:t>
          </m:r>
          <m:r>
            <m:t>750</m:t>
          </m:r>
          <m:r>
            <m:t>+</m:t>
          </m:r>
          <m:r>
            <m:t>$</m:t>
          </m:r>
          <m:r>
            <m:t>18</m:t>
          </m:r>
          <m:r>
            <m:t>,</m:t>
          </m:r>
          <m:r>
            <m:t>000</m:t>
          </m:r>
          <m:r>
            <m:t>+</m:t>
          </m:r>
          <m:r>
            <m:t>$</m:t>
          </m:r>
          <m:r>
            <m:t>2</m:t>
          </m:r>
          <m:r>
            <m:t>,</m:t>
          </m:r>
          <m:r>
            <m:t>500</m:t>
          </m:r>
          <m:r>
            <m:t>=</m:t>
          </m:r>
          <m:r>
            <m:t>$</m:t>
          </m:r>
          <m:r>
            <m:t>1</m:t>
          </m:r>
          <m:r>
            <m:t>,</m:t>
          </m:r>
          <m:r>
            <m:t>078</m:t>
          </m:r>
          <m:r>
            <m:t>,</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m:t>
          </m:r>
          <m:r>
            <m:t>1</m:t>
          </m:r>
          <m:r>
            <m:t>,</m:t>
          </m:r>
          <m:r>
            <m:t>078</m:t>
          </m:r>
          <m:r>
            <m:t>,</m:t>
          </m:r>
          <m:r>
            <m:t>000</m:t>
          </m:r>
          <m:r>
            <m:t>=</m:t>
          </m:r>
          <m:r>
            <m:t>$</m:t>
          </m:r>
          <m:r>
            <m:t>161</m:t>
          </m:r>
          <m:r>
            <m:t>,</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m:t>
          </m:r>
          <m:r>
            <m:t>1</m:t>
          </m:r>
          <m:r>
            <m:t>,</m:t>
          </m:r>
          <m:r>
            <m:t>078</m:t>
          </m:r>
          <m:r>
            <m:t>,</m:t>
          </m:r>
          <m:r>
            <m:t>000</m:t>
          </m:r>
          <m:r>
            <m:t>=</m:t>
          </m:r>
          <m:r>
            <m:t>$</m:t>
          </m:r>
          <m:r>
            <m:t>237</m:t>
          </m:r>
          <m:r>
            <m:t>,</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m:t>
          </m:r>
          <m:r>
            <m:t>1</m:t>
          </m:r>
          <m:r>
            <m:t>,</m:t>
          </m:r>
          <m:r>
            <m:t>078</m:t>
          </m:r>
          <m:r>
            <m:t>,</m:t>
          </m:r>
          <m:r>
            <m:t>000</m:t>
          </m:r>
          <m:r>
            <m:t>=</m:t>
          </m:r>
          <m:r>
            <m:t>$</m:t>
          </m:r>
          <m:r>
            <m:t>323</m:t>
          </m:r>
          <m:r>
            <m:t>,</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w:t>
      </w:r>
      <w:r>
        <w:t xml:space="preserve"> </w:t>
      </w:r>
      <m:oMath>
        <m:r>
          <m:t>$</m:t>
        </m:r>
        <m:r>
          <m:t>0.02</m:t>
        </m:r>
      </m:oMath>
      <w:r>
        <w:t xml:space="preserve"> </w:t>
      </w:r>
      <w:r>
        <w:t xml:space="preserve">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m:t>
          </m:r>
          <m:r>
            <m:t>000</m:t>
          </m:r>
          <m:r>
            <m:rPr>
              <m:nor/>
              <m:sty m:val="p"/>
            </m:rPr>
            <m:t> scans</m:t>
          </m:r>
          <m:r>
            <m:t>×</m:t>
          </m:r>
          <m:r>
            <m:t>50</m:t>
          </m:r>
          <m:r>
            <m:rPr>
              <m:nor/>
              <m:sty m:val="p"/>
            </m:rPr>
            <m:t> (thousand tokens)</m:t>
          </m:r>
          <m:r>
            <m:t>×</m:t>
          </m:r>
          <m:r>
            <m:t>$</m:t>
          </m:r>
          <m:r>
            <m:t>0.02</m:t>
          </m:r>
          <m:r>
            <m:t>=</m:t>
          </m:r>
          <m:r>
            <m:t>$</m:t>
          </m:r>
          <m:r>
            <m:t>5</m:t>
          </m:r>
          <m:r>
            <m:t>,</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m:t>
              </m:r>
              <m:r>
                <m:t>1</m:t>
              </m:r>
              <m:r>
                <m:t>,</m:t>
              </m:r>
              <m:r>
                <m:t>078</m:t>
              </m:r>
              <m:r>
                <m:t>,</m:t>
              </m:r>
              <m:r>
                <m:t>000</m:t>
              </m:r>
              <m:r>
                <m:t>−</m:t>
              </m:r>
              <m:r>
                <m:t>$</m:t>
              </m:r>
              <m:r>
                <m:t>5</m:t>
              </m:r>
              <m:r>
                <m:t>,</m:t>
              </m:r>
              <m:r>
                <m:t>000</m:t>
              </m:r>
              <m:r>
                <m:t>|</m:t>
              </m:r>
            </m:num>
            <m:den>
              <m:r>
                <m:t>$</m:t>
              </m:r>
              <m:r>
                <m:t>1</m:t>
              </m:r>
              <m:r>
                <m:t>,</m:t>
              </m:r>
              <m:r>
                <m:t>078</m:t>
              </m:r>
              <m:r>
                <m:t>,</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w:t>
      </w:r>
      <w:r>
        <w:t xml:space="preserve"> </w:t>
      </w:r>
      <m:oMath>
        <m:r>
          <m:t>$</m:t>
        </m:r>
        <m:r>
          <m:t>1</m:t>
        </m:r>
        <m:r>
          <m:t>,</m:t>
        </m:r>
        <m:r>
          <m:t>073</m:t>
        </m:r>
        <m:r>
          <m:t>,</m:t>
        </m:r>
        <m:r>
          <m:t>000</m:t>
        </m:r>
      </m:oMath>
      <w:r>
        <w:t xml:space="preserve"> </w:t>
      </w:r>
      <w:r>
        <w:t xml:space="preserve">in consumer surplus under token-based pricing but may never adopt due to budget allocation challenges, while value-based pricing at</w:t>
      </w:r>
      <w:r>
        <w:t xml:space="preserve"> </w:t>
      </w:r>
      <m:oMath>
        <m:r>
          <m:t>$</m:t>
        </m:r>
        <m:r>
          <m:t>237</m:t>
        </m:r>
        <m:r>
          <m:t>,</m:t>
        </m:r>
        <m:r>
          <m:t>160</m:t>
        </m:r>
      </m:oMath>
      <w:r>
        <w:t xml:space="preserve"> </w:t>
      </w:r>
      <w:r>
        <w:t xml:space="preserve">(moderate</w:t>
      </w:r>
      <w:r>
        <w:t xml:space="preserve"> </w:t>
      </w:r>
      <m:oMath>
        <m:r>
          <m:t>θ</m:t>
        </m:r>
      </m:oMath>
      <w:r>
        <w:t xml:space="preserve">) captures meaningful provider revenue while leaving</w:t>
      </w:r>
      <w:r>
        <w:t xml:space="preserve"> </w:t>
      </w:r>
      <m:oMath>
        <m:r>
          <m:t>$</m:t>
        </m:r>
        <m:r>
          <m:t>840</m:t>
        </m:r>
        <m:r>
          <m:t>,</m:t>
        </m:r>
        <m:r>
          <m:t>840</m:t>
        </m:r>
      </m:oMath>
      <w:r>
        <w:t xml:space="preserve"> </w:t>
      </w:r>
      <w:r>
        <w:t xml:space="preserve">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appendix-supplementary-materials"/>
      <w:r>
        <w:t xml:space="preserve">Appendix: Supplementary Materials</w:t>
      </w:r>
      <w:bookmarkEnd w:id="61"/>
    </w:p>
    <w:p>
      <w:pPr>
        <w:pStyle w:val="Heading2"/>
      </w:pPr>
      <w:bookmarkStart w:id="62" w:name="Xd6187284888b1bffb5b17ecc25fea4d1ccb23df"/>
      <w:r>
        <w:t xml:space="preserve">Appendix A: Comparative Pricing Model Framework</w:t>
      </w:r>
      <w:bookmarkEnd w:id="62"/>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3" w:name="a.1-value-driver-identification-matrix"/>
      <w:r>
        <w:t xml:space="preserve">A.1 Value Driver Identification Matrix</w:t>
      </w:r>
      <w:bookmarkEnd w:id="63"/>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4" w:name="a.2-value-quantification-functions"/>
      <w:r>
        <w:t xml:space="preserve">A.2 Value Quantification Functions</w:t>
      </w:r>
      <w:bookmarkEnd w:id="64"/>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5" w:name="a.3-aggregate-value-function"/>
      <w:r>
        <w:t xml:space="preserve">A.3 Aggregate Value Function</w:t>
      </w:r>
      <w:bookmarkEnd w:id="65"/>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6" w:name="a.4-token-based-pricing-comparison"/>
      <w:r>
        <w:t xml:space="preserve">A.4 Token-Based Pricing Comparison</w:t>
      </w:r>
      <w:bookmarkEnd w:id="66"/>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7" w:name="Xcb64889e0f7c2ca0f8388584232cf1cd197e201"/>
      <w:r>
        <w:t xml:space="preserve">Appendix B: Implementation Checklist for Value-Based Pricing</w:t>
      </w:r>
      <w:bookmarkEnd w:id="67"/>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8" w:name="X92c26556749c1c8c90664500ced30d43afe5058"/>
      <w:r>
        <w:t xml:space="preserve">Appendix C: Theoretical Case Study Projections</w:t>
      </w:r>
      <w:bookmarkEnd w:id="68"/>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9" w:name="X0d177419c45ae5e7cdf759ecc8e6d744dd4da78"/>
      <w:r>
        <w:t xml:space="preserve">Appendix D: Additional References and Resources</w:t>
      </w:r>
      <w:bookmarkEnd w:id="69"/>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70" w:name="appendix-e-glossary-of-terms"/>
      <w:r>
        <w:t xml:space="preserve">Appendix E: Glossary of Terms</w:t>
      </w:r>
      <w:bookmarkEnd w:id="70"/>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1" w:name="references"/>
      <w:r>
        <w:t xml:space="preserve">References</w:t>
      </w:r>
      <w:bookmarkEnd w:id="71"/>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2025-10-31T10:27:02Z</dcterms:created>
  <dcterms:modified xsi:type="dcterms:W3CDTF">2025-10-31T10:27:02Z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14,567 words across 80 pages</vt:lpwstr>
  </property>
</Properties>
</file>