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AI-Powered Value-Based Procurement: An Empirical Study</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 Thesis AI Framework</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Value-Based Procurement: An Empirical Study</dc:title>
  <dc:creator>Academic Thesis AI Framework</dc:creator>
  <cp:keywords/>
  <dcterms:created xsi:type="dcterms:W3CDTF">2025-10-31T17:02:07Z</dcterms:created>
  <dcterms:modified xsi:type="dcterms:W3CDTF">2025-10-31T17:02:07Z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