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4999.999999999999"/>
        <w:tblLook w:firstRow="1"/>
      </w:tblPr>
      <w:tblGrid>
        <w:gridCol w:w="1026"/>
        <w:gridCol w:w="1026"/>
        <w:gridCol w:w="1246"/>
        <w:gridCol w:w="1906"/>
        <w:gridCol w:w="1540"/>
        <w:gridCol w:w="1173"/>
      </w:tblGrid>
      <w:tr>
        <w:trPr>
          <w:cnfStyle w:firstRow="1"/>
        </w:trPr>
        <w:tc>
          <w:tcPr>
            <w:tcBorders>
              <w:bottom w:val="single"/>
            </w:tcBorders>
            <w:vAlign w:val="bottom"/>
          </w:tcPr>
          <w:p>
            <w:pPr>
              <w:pStyle w:val="Compact"/>
              <w:jc w:val="left"/>
            </w:pPr>
            <w:r>
              <w:t xml:space="preserve">Pricing 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Alignment</w:t>
            </w:r>
          </w:p>
        </w:tc>
        <w:tc>
          <w:tcPr>
            <w:tcBorders>
              <w:bottom w:val="single"/>
            </w:tcBorders>
            <w:vAlign w:val="bottom"/>
          </w:tcPr>
          <w:p>
            <w:pPr>
              <w:pStyle w:val="Compact"/>
              <w:jc w:val="left"/>
            </w:pPr>
            <w:r>
              <w:t xml:space="preserve">Implementation Complexity</w:t>
            </w:r>
          </w:p>
        </w:tc>
        <w:tc>
          <w:tcPr>
            <w:tcBorders>
              <w:bottom w:val="single"/>
            </w:tcBorders>
            <w:vAlign w:val="bottom"/>
          </w:tcPr>
          <w:p>
            <w:pPr>
              <w:pStyle w:val="Compact"/>
              <w:jc w:val="left"/>
            </w:pPr>
            <w:r>
              <w:t xml:space="preserve">Customer 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Token-Based</w:t>
            </w:r>
          </w:p>
        </w:tc>
        <w:tc>
          <w:p>
            <w:pPr>
              <w:pStyle w:val="Compact"/>
              <w:jc w:val="left"/>
            </w:pPr>
            <w:r>
              <w:t xml:space="preserve">Very High - Direct cost per token visible</w:t>
            </w:r>
          </w:p>
        </w:tc>
        <w:tc>
          <w:p>
            <w:pPr>
              <w:pStyle w:val="Compact"/>
              <w:jc w:val="left"/>
            </w:pPr>
            <w:r>
              <w:t xml:space="preserve">Low - No connection between tokens and business value</w:t>
            </w:r>
          </w:p>
        </w:tc>
        <w:tc>
          <w:p>
            <w:pPr>
              <w:pStyle w:val="Compact"/>
              <w:jc w:val="left"/>
            </w:pPr>
            <w:r>
              <w:t xml:space="preserve">Low - Simple metering and billing</w:t>
            </w:r>
          </w:p>
        </w:tc>
        <w:tc>
          <w:p>
            <w:pPr>
              <w:pStyle w:val="Compact"/>
              <w:jc w:val="left"/>
            </w:pPr>
            <w:r>
              <w:t xml:space="preserve">High - Easy to understand</w:t>
            </w:r>
          </w:p>
        </w:tc>
        <w:tc>
          <w:p>
            <w:pPr>
              <w:pStyle w:val="Compact"/>
              <w:jc w:val="left"/>
            </w:pPr>
            <w:r>
              <w:t xml:space="preserve">Experimental use, low-stakes applications, commoditized AI services</w:t>
            </w:r>
          </w:p>
        </w:tc>
      </w:tr>
      <w:tr>
        <w:tc>
          <w:p>
            <w:pPr>
              <w:pStyle w:val="Compact"/>
              <w:jc w:val="left"/>
            </w:pPr>
            <w:r>
              <w:rPr>
                <w:b/>
              </w:rPr>
              <w:t xml:space="preserve">Subscription</w:t>
            </w:r>
          </w:p>
        </w:tc>
        <w:tc>
          <w:p>
            <w:pPr>
              <w:pStyle w:val="Compact"/>
              <w:jc w:val="left"/>
            </w:pPr>
            <w:r>
              <w:t xml:space="preserve">Medium - Fixed cost but usage varies</w:t>
            </w:r>
          </w:p>
        </w:tc>
        <w:tc>
          <w:p>
            <w:pPr>
              <w:pStyle w:val="Compact"/>
              <w:jc w:val="left"/>
            </w:pPr>
            <w:r>
              <w:t xml:space="preserve">Medium - Tiers may reflect feature value</w:t>
            </w:r>
          </w:p>
        </w:tc>
        <w:tc>
          <w:p>
            <w:pPr>
              <w:pStyle w:val="Compact"/>
              <w:jc w:val="left"/>
            </w:pPr>
            <w:r>
              <w:t xml:space="preserve">Medium - Need tier design and feature gating</w:t>
            </w:r>
          </w:p>
        </w:tc>
        <w:tc>
          <w:p>
            <w:pPr>
              <w:pStyle w:val="Compact"/>
              <w:jc w:val="left"/>
            </w:pPr>
            <w:r>
              <w:t xml:space="preserve">High - Predictable budgeting</w:t>
            </w:r>
          </w:p>
        </w:tc>
        <w:tc>
          <w:p>
            <w:pPr>
              <w:pStyle w:val="Compact"/>
              <w:jc w:val="left"/>
            </w:pPr>
            <w:r>
              <w:t xml:space="preserve">Steady-state usage, enterprise customers, all-you-can-use models</w:t>
            </w:r>
          </w:p>
        </w:tc>
      </w:tr>
      <w:tr>
        <w:tc>
          <w:p>
            <w:pPr>
              <w:pStyle w:val="Compact"/>
              <w:jc w:val="left"/>
            </w:pPr>
            <w:r>
              <w:rPr>
                <w:b/>
              </w:rPr>
              <w:t xml:space="preserve">Value-Based</w:t>
            </w:r>
          </w:p>
        </w:tc>
        <w:tc>
          <w:p>
            <w:pPr>
              <w:pStyle w:val="Compact"/>
              <w:jc w:val="left"/>
            </w:pPr>
            <w:r>
              <w:t xml:space="preserve">Low - Complex value metrics</w:t>
            </w:r>
          </w:p>
        </w:tc>
        <w:tc>
          <w:p>
            <w:pPr>
              <w:pStyle w:val="Compact"/>
              <w:jc w:val="left"/>
            </w:pPr>
            <w:r>
              <w:t xml:space="preserve">Very High - Price directly tied to outcomes</w:t>
            </w:r>
          </w:p>
        </w:tc>
        <w:tc>
          <w:p>
            <w:pPr>
              <w:pStyle w:val="Compact"/>
              <w:jc w:val="left"/>
            </w:pPr>
            <w:r>
              <w:t xml:space="preserve">Very High - Requires value measurement infrastructure</w:t>
            </w:r>
          </w:p>
        </w:tc>
        <w:tc>
          <w:p>
            <w:pPr>
              <w:pStyle w:val="Compact"/>
              <w:jc w:val="left"/>
            </w:pPr>
            <w:r>
              <w:t xml:space="preserve">Medium - Needs education and trust</w:t>
            </w:r>
          </w:p>
        </w:tc>
        <w:tc>
          <w:p>
            <w:pPr>
              <w:pStyle w:val="Compact"/>
              <w:jc w:val="left"/>
            </w:pPr>
            <w:r>
              <w:t xml:space="preserve">Mission-critical applications, measurable ROI, strategic partnerships</w:t>
            </w:r>
          </w:p>
        </w:tc>
      </w:tr>
      <w:tr>
        <w:tc>
          <w:p>
            <w:pPr>
              <w:pStyle w:val="Compact"/>
              <w:jc w:val="left"/>
            </w:pPr>
            <w:r>
              <w:rPr>
                <w:b/>
              </w:rPr>
              <w:t xml:space="preserve">Outcome-Based</w:t>
            </w:r>
          </w:p>
        </w:tc>
        <w:tc>
          <w:p>
            <w:pPr>
              <w:pStyle w:val="Compact"/>
              <w:jc w:val="left"/>
            </w:pPr>
            <w:r>
              <w:t xml:space="preserve">Medium - Pay for results</w:t>
            </w:r>
          </w:p>
        </w:tc>
        <w:tc>
          <w:p>
            <w:pPr>
              <w:pStyle w:val="Compact"/>
              <w:jc w:val="left"/>
            </w:pPr>
            <w:r>
              <w:t xml:space="preserve">Very High - Perfect alignment with customer goals</w:t>
            </w:r>
          </w:p>
        </w:tc>
        <w:tc>
          <w:p>
            <w:pPr>
              <w:pStyle w:val="Compact"/>
              <w:jc w:val="left"/>
            </w:pPr>
            <w:r>
              <w:t xml:space="preserve">Very High - Attribution challenges</w:t>
            </w:r>
          </w:p>
        </w:tc>
        <w:tc>
          <w:p>
            <w:pPr>
              <w:pStyle w:val="Compact"/>
              <w:jc w:val="left"/>
            </w:pPr>
            <w:r>
              <w:t xml:space="preserve">Medium-High - Risk sharing appeals</w:t>
            </w:r>
          </w:p>
        </w:tc>
        <w:tc>
          <w:p>
            <w:pPr>
              <w:pStyle w:val="Compact"/>
              <w:jc w:val="left"/>
            </w:pPr>
            <w:r>
              <w:t xml:space="preserve">Performance marketing, trading algorithms, process automation</w:t>
            </w:r>
          </w:p>
        </w:tc>
      </w:tr>
      <w:tr>
        <w:tc>
          <w:p>
            <w:pPr>
              <w:pStyle w:val="Compact"/>
              <w:jc w:val="left"/>
            </w:pPr>
            <w:r>
              <w:rPr>
                <w:b/>
              </w:rPr>
              <w:t xml:space="preserve">Hybrid</w:t>
            </w:r>
          </w:p>
        </w:tc>
        <w:tc>
          <w:p>
            <w:pPr>
              <w:pStyle w:val="Compact"/>
              <w:jc w:val="left"/>
            </w:pPr>
            <w:r>
              <w:t xml:space="preserve">Medium - Combines multiple elements</w:t>
            </w:r>
          </w:p>
        </w:tc>
        <w:tc>
          <w:p>
            <w:pPr>
              <w:pStyle w:val="Compact"/>
              <w:jc w:val="left"/>
            </w:pPr>
            <w:r>
              <w:t xml:space="preserve">High - Balances multiple factors</w:t>
            </w:r>
          </w:p>
        </w:tc>
        <w:tc>
          <w:p>
            <w:pPr>
              <w:pStyle w:val="Compact"/>
              <w:jc w:val="left"/>
            </w:pPr>
            <w:r>
              <w:t xml:space="preserve">High - Multiple pricing mechanisms</w:t>
            </w:r>
          </w:p>
        </w:tc>
        <w:tc>
          <w:p>
            <w:pPr>
              <w:pStyle w:val="Compact"/>
              <w:jc w:val="left"/>
            </w:pPr>
            <w:r>
              <w:t xml:space="preserve">Medium-High - Flexibility valued</w:t>
            </w:r>
          </w:p>
        </w:tc>
        <w:tc>
          <w:p>
            <w:pPr>
              <w:pStyle w:val="Compact"/>
              <w:jc w:val="left"/>
            </w:pPr>
            <w:r>
              <w:t xml:space="preserve">Diverse customer segments, evolving markets, transition strategies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 $C_{savings} =</w:t>
      </w:r>
      <w:r>
        <w:t xml:space="preserve"> </w:t>
      </w:r>
      <m:oMath>
        <m:r>
          <m:t>6</m:t>
        </m:r>
        <m:r>
          <m:t>,</m:t>
        </m:r>
        <m:r>
          <m:t>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m:t>
          </m:r>
          <m:r>
            <m:t>000</m:t>
          </m:r>
          <m:r>
            <m:t>×</m:t>
          </m:r>
          <m:r>
            <m:t>0.07</m:t>
          </m:r>
          <m:r>
            <m:t>×</m:t>
          </m:r>
          <m:r>
            <m:t>$</m:t>
          </m:r>
          <m:r>
            <m:t>6</m:t>
          </m:r>
          <m:r>
            <m:t>,</m:t>
          </m:r>
          <m:r>
            <m:t>500</m:t>
          </m:r>
          <m:r>
            <m:t>=</m:t>
          </m:r>
          <m:r>
            <m:t>$</m:t>
          </m:r>
          <m:r>
            <m:t>2</m:t>
          </m:r>
          <m:r>
            <m:t>,</m:t>
          </m:r>
          <m:r>
            <m:t>275</m:t>
          </m:r>
          <m:r>
            <m:t>,</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w:t>
      </w:r>
      <w:r>
        <w:t xml:space="preserve"> </w:t>
      </w:r>
      <m:oMath>
        <m:r>
          <m:t>$</m:t>
        </m:r>
        <m:r>
          <m:t>180</m:t>
        </m:r>
        <m:r>
          <m:t>/</m:t>
        </m:r>
        <m:r>
          <m:t>h</m:t>
        </m:r>
        <m:r>
          <m:t>o</m:t>
        </m:r>
        <m:r>
          <m:t>u</m:t>
        </m:r>
        <m:r>
          <m:t>r</m:t>
        </m:r>
      </m:oMath>
      <w:r>
        <w:t xml:space="preserve">,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m:t>
          </m:r>
          <m:r>
            <m:t>000</m:t>
          </m:r>
          <m:r>
            <m:t>×</m:t>
          </m:r>
          <m:r>
            <m:t>(</m:t>
          </m:r>
          <m:r>
            <m:t>12</m:t>
          </m:r>
          <m:r>
            <m:t>−</m:t>
          </m:r>
          <m:r>
            <m:t>3</m:t>
          </m:r>
          <m:r>
            <m:t>)</m:t>
          </m:r>
          <m:r>
            <m:t>/</m:t>
          </m:r>
          <m:r>
            <m:t>60</m:t>
          </m:r>
          <m:r>
            <m:t>×</m:t>
          </m:r>
          <m:r>
            <m:t>$</m:t>
          </m:r>
          <m:r>
            <m:t>180</m:t>
          </m:r>
          <m:r>
            <m:t>=</m:t>
          </m:r>
          <m:r>
            <m:t>5</m:t>
          </m:r>
          <m:r>
            <m:t>,</m:t>
          </m:r>
          <m:r>
            <m:t>000</m:t>
          </m:r>
          <m:r>
            <m:t>×</m:t>
          </m:r>
          <m:r>
            <m:t>0.15</m:t>
          </m:r>
          <m:r>
            <m:t>×</m:t>
          </m:r>
          <m:r>
            <m:t>$</m:t>
          </m:r>
          <m:r>
            <m:t>180</m:t>
          </m:r>
          <m:r>
            <m:t>=</m:t>
          </m:r>
          <m:r>
            <m:t>$</m:t>
          </m:r>
          <m:r>
            <m:t>135</m:t>
          </m:r>
          <m:r>
            <m:t>,</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w:t>
      </w:r>
      <w:r>
        <w:t xml:space="preserve"> </w:t>
      </w:r>
      <m:oMath>
        <m:r>
          <m:t>$</m:t>
        </m:r>
        <m:r>
          <m:t>400</m:t>
        </m:r>
      </m:oMath>
      <w:r>
        <w:t xml:space="preserve"> </w:t>
      </w:r>
      <w:r>
        <w:t xml:space="preserve">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m:t>
          </m:r>
          <m:r>
            <m:t>400</m:t>
          </m:r>
          <m:r>
            <m:t>=</m:t>
          </m:r>
          <m:r>
            <m:t>$</m:t>
          </m:r>
          <m:r>
            <m:t>90</m:t>
          </m:r>
          <m:r>
            <m:t>,</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w:t>
      </w:r>
      <w:r>
        <w:t xml:space="preserve"> </w:t>
      </w:r>
      <m:oMath>
        <m:r>
          <m:t>$</m:t>
        </m:r>
        <m:r>
          <m:t>25</m:t>
        </m:r>
        <m:r>
          <m:t>,</m:t>
        </m:r>
        <m:r>
          <m:t>000</m:t>
        </m:r>
      </m:oMath>
      <w:r>
        <w:t xml:space="preserve"> </w:t>
      </w:r>
      <w:r>
        <w:t xml:space="preserve">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m:t>
          </m:r>
          <m:r>
            <m:t>25</m:t>
          </m:r>
          <m:r>
            <m:t>,</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m:t>
          </m:r>
          <m:r>
            <m:t>2</m:t>
          </m:r>
          <m:r>
            <m:t>,</m:t>
          </m:r>
          <m:r>
            <m:t>275</m:t>
          </m:r>
          <m:r>
            <m:t>,</m:t>
          </m:r>
          <m:r>
            <m:t>000</m:t>
          </m:r>
          <m:r>
            <m:t>)</m:t>
          </m:r>
          <m:r>
            <m:t>+</m:t>
          </m:r>
          <m:r>
            <m:t>0.25</m:t>
          </m:r>
          <m:r>
            <m:t>(</m:t>
          </m:r>
          <m:r>
            <m:t>$</m:t>
          </m:r>
          <m:r>
            <m:t>135</m:t>
          </m:r>
          <m:r>
            <m:t>,</m:t>
          </m:r>
          <m:r>
            <m:t>000</m:t>
          </m:r>
          <m:r>
            <m:t>)</m:t>
          </m:r>
          <m:r>
            <m:t>+</m:t>
          </m:r>
          <m:r>
            <m:t>0.20</m:t>
          </m:r>
          <m:r>
            <m:t>(</m:t>
          </m:r>
          <m:r>
            <m:t>$</m:t>
          </m:r>
          <m:r>
            <m:t>90</m:t>
          </m:r>
          <m:r>
            <m:t>,</m:t>
          </m:r>
          <m:r>
            <m:t>000</m:t>
          </m:r>
          <m:r>
            <m:t>)</m:t>
          </m:r>
          <m:r>
            <m:t>+</m:t>
          </m:r>
          <m:r>
            <m:t>0.10</m:t>
          </m:r>
          <m:r>
            <m:t>(</m:t>
          </m:r>
          <m:r>
            <m:t>$</m:t>
          </m:r>
          <m:r>
            <m:t>25</m:t>
          </m:r>
          <m:r>
            <m:t>,</m:t>
          </m:r>
          <m:r>
            <m:t>000</m:t>
          </m:r>
          <m:r>
            <m:t>)</m:t>
          </m:r>
        </m:oMath>
      </m:oMathPara>
    </w:p>
    <w:p>
      <w:pPr>
        <w:pStyle w:val="FirstParagraph"/>
      </w:pPr>
      <m:oMathPara>
        <m:oMathParaPr>
          <m:jc m:val="center"/>
        </m:oMathParaPr>
        <m:oMath>
          <m:sSub>
            <m:e>
              <m:r>
                <m:t>V</m:t>
              </m:r>
            </m:e>
            <m:sub>
              <m:r>
                <m:t>t</m:t>
              </m:r>
              <m:r>
                <m:t>o</m:t>
              </m:r>
              <m:r>
                <m:t>t</m:t>
              </m:r>
              <m:r>
                <m:t>a</m:t>
              </m:r>
              <m:r>
                <m:t>l</m:t>
              </m:r>
            </m:sub>
          </m:sSub>
          <m:r>
            <m:t>=</m:t>
          </m:r>
          <m:r>
            <m:t>$</m:t>
          </m:r>
          <m:r>
            <m:t>1</m:t>
          </m:r>
          <m:r>
            <m:t>,</m:t>
          </m:r>
          <m:r>
            <m:t>023</m:t>
          </m:r>
          <m:r>
            <m:t>,</m:t>
          </m:r>
          <m:r>
            <m:t>750</m:t>
          </m:r>
          <m:r>
            <m:t>+</m:t>
          </m:r>
          <m:r>
            <m:t>$</m:t>
          </m:r>
          <m:r>
            <m:t>33</m:t>
          </m:r>
          <m:r>
            <m:t>,</m:t>
          </m:r>
          <m:r>
            <m:t>750</m:t>
          </m:r>
          <m:r>
            <m:t>+</m:t>
          </m:r>
          <m:r>
            <m:t>$</m:t>
          </m:r>
          <m:r>
            <m:t>18</m:t>
          </m:r>
          <m:r>
            <m:t>,</m:t>
          </m:r>
          <m:r>
            <m:t>000</m:t>
          </m:r>
          <m:r>
            <m:t>+</m:t>
          </m:r>
          <m:r>
            <m:t>$</m:t>
          </m:r>
          <m:r>
            <m:t>2</m:t>
          </m:r>
          <m:r>
            <m:t>,</m:t>
          </m:r>
          <m:r>
            <m:t>500</m:t>
          </m:r>
          <m:r>
            <m:t>=</m:t>
          </m:r>
          <m:r>
            <m:t>$</m:t>
          </m:r>
          <m:r>
            <m:t>1</m:t>
          </m:r>
          <m:r>
            <m:t>,</m:t>
          </m:r>
          <m:r>
            <m:t>078</m:t>
          </m:r>
          <m:r>
            <m:t>,</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m:t>
          </m:r>
          <m:r>
            <m:t>1</m:t>
          </m:r>
          <m:r>
            <m:t>,</m:t>
          </m:r>
          <m:r>
            <m:t>078</m:t>
          </m:r>
          <m:r>
            <m:t>,</m:t>
          </m:r>
          <m:r>
            <m:t>000</m:t>
          </m:r>
          <m:r>
            <m:t>=</m:t>
          </m:r>
          <m:r>
            <m:t>$</m:t>
          </m:r>
          <m:r>
            <m:t>161</m:t>
          </m:r>
          <m:r>
            <m:t>,</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m:t>
          </m:r>
          <m:r>
            <m:t>1</m:t>
          </m:r>
          <m:r>
            <m:t>,</m:t>
          </m:r>
          <m:r>
            <m:t>078</m:t>
          </m:r>
          <m:r>
            <m:t>,</m:t>
          </m:r>
          <m:r>
            <m:t>000</m:t>
          </m:r>
          <m:r>
            <m:t>=</m:t>
          </m:r>
          <m:r>
            <m:t>$</m:t>
          </m:r>
          <m:r>
            <m:t>237</m:t>
          </m:r>
          <m:r>
            <m:t>,</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m:t>
          </m:r>
          <m:r>
            <m:t>1</m:t>
          </m:r>
          <m:r>
            <m:t>,</m:t>
          </m:r>
          <m:r>
            <m:t>078</m:t>
          </m:r>
          <m:r>
            <m:t>,</m:t>
          </m:r>
          <m:r>
            <m:t>000</m:t>
          </m:r>
          <m:r>
            <m:t>=</m:t>
          </m:r>
          <m:r>
            <m:t>$</m:t>
          </m:r>
          <m:r>
            <m:t>323</m:t>
          </m:r>
          <m:r>
            <m:t>,</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w:t>
      </w:r>
      <w:r>
        <w:t xml:space="preserve"> </w:t>
      </w:r>
      <m:oMath>
        <m:r>
          <m:t>$</m:t>
        </m:r>
        <m:r>
          <m:t>0.02</m:t>
        </m:r>
      </m:oMath>
      <w:r>
        <w:t xml:space="preserve"> </w:t>
      </w:r>
      <w:r>
        <w:t xml:space="preserve">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m:t>
          </m:r>
          <m:r>
            <m:t>000</m:t>
          </m:r>
          <m:r>
            <m:rPr>
              <m:nor/>
              <m:sty m:val="p"/>
            </m:rPr>
            <m:t> scans</m:t>
          </m:r>
          <m:r>
            <m:t>×</m:t>
          </m:r>
          <m:r>
            <m:t>50</m:t>
          </m:r>
          <m:r>
            <m:rPr>
              <m:nor/>
              <m:sty m:val="p"/>
            </m:rPr>
            <m:t> (thousand tokens)</m:t>
          </m:r>
          <m:r>
            <m:t>×</m:t>
          </m:r>
          <m:r>
            <m:t>$</m:t>
          </m:r>
          <m:r>
            <m:t>0.02</m:t>
          </m:r>
          <m:r>
            <m:t>=</m:t>
          </m:r>
          <m:r>
            <m:t>$</m:t>
          </m:r>
          <m:r>
            <m:t>5</m:t>
          </m:r>
          <m:r>
            <m:t>,</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m:t>
              </m:r>
              <m:r>
                <m:t>1</m:t>
              </m:r>
              <m:r>
                <m:t>,</m:t>
              </m:r>
              <m:r>
                <m:t>078</m:t>
              </m:r>
              <m:r>
                <m:t>,</m:t>
              </m:r>
              <m:r>
                <m:t>000</m:t>
              </m:r>
              <m:r>
                <m:t>−</m:t>
              </m:r>
              <m:r>
                <m:t>$</m:t>
              </m:r>
              <m:r>
                <m:t>5</m:t>
              </m:r>
              <m:r>
                <m:t>,</m:t>
              </m:r>
              <m:r>
                <m:t>000</m:t>
              </m:r>
              <m:r>
                <m:t>|</m:t>
              </m:r>
            </m:num>
            <m:den>
              <m:r>
                <m:t>$</m:t>
              </m:r>
              <m:r>
                <m:t>1</m:t>
              </m:r>
              <m:r>
                <m:t>,</m:t>
              </m:r>
              <m:r>
                <m:t>078</m:t>
              </m:r>
              <m:r>
                <m:t>,</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w:t>
      </w:r>
      <w:r>
        <w:t xml:space="preserve"> </w:t>
      </w:r>
      <m:oMath>
        <m:r>
          <m:t>$</m:t>
        </m:r>
        <m:r>
          <m:t>1</m:t>
        </m:r>
        <m:r>
          <m:t>,</m:t>
        </m:r>
        <m:r>
          <m:t>073</m:t>
        </m:r>
        <m:r>
          <m:t>,</m:t>
        </m:r>
        <m:r>
          <m:t>000</m:t>
        </m:r>
      </m:oMath>
      <w:r>
        <w:t xml:space="preserve"> </w:t>
      </w:r>
      <w:r>
        <w:t xml:space="preserve">in consumer surplus under token-based pricing but may never adopt due to budget allocation challenges, while value-based pricing at</w:t>
      </w:r>
      <w:r>
        <w:t xml:space="preserve"> </w:t>
      </w:r>
      <m:oMath>
        <m:r>
          <m:t>$</m:t>
        </m:r>
        <m:r>
          <m:t>237</m:t>
        </m:r>
        <m:r>
          <m:t>,</m:t>
        </m:r>
        <m:r>
          <m:t>160</m:t>
        </m:r>
      </m:oMath>
      <w:r>
        <w:t xml:space="preserve"> </w:t>
      </w:r>
      <w:r>
        <w:t xml:space="preserve">(moderate</w:t>
      </w:r>
      <w:r>
        <w:t xml:space="preserve"> </w:t>
      </w:r>
      <m:oMath>
        <m:r>
          <m:t>θ</m:t>
        </m:r>
      </m:oMath>
      <w:r>
        <w:t xml:space="preserve">) captures meaningful provider revenue while leaving</w:t>
      </w:r>
      <w:r>
        <w:t xml:space="preserve"> </w:t>
      </w:r>
      <m:oMath>
        <m:r>
          <m:t>$</m:t>
        </m:r>
        <m:r>
          <m:t>840</m:t>
        </m:r>
        <m:r>
          <m:t>,</m:t>
        </m:r>
        <m:r>
          <m:t>840</m:t>
        </m:r>
      </m:oMath>
      <w:r>
        <w:t xml:space="preserve"> </w:t>
      </w:r>
      <w:r>
        <w:t xml:space="preserve">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appendix-supplementary-materials"/>
      <w:r>
        <w:t xml:space="preserve">Appendix: Supplementary Materials</w:t>
      </w:r>
      <w:bookmarkEnd w:id="61"/>
    </w:p>
    <w:p>
      <w:pPr>
        <w:pStyle w:val="Heading3"/>
      </w:pPr>
      <w:bookmarkStart w:id="62" w:name="Xd6187284888b1bffb5b17ecc25fea4d1ccb23df"/>
      <w:r>
        <w:t xml:space="preserve">Appendix A: Comparative Pricing Model Framework</w:t>
      </w:r>
      <w:bookmarkEnd w:id="62"/>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3" w:name="a.1-value-driver-identification-matrix"/>
      <w:r>
        <w:t xml:space="preserve">A.1 Value Driver Identification Matrix</w:t>
      </w:r>
      <w:bookmarkEnd w:id="63"/>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4" w:name="a.2-value-quantification-functions"/>
      <w:r>
        <w:t xml:space="preserve">A.2 Value Quantification Functions</w:t>
      </w:r>
      <w:bookmarkEnd w:id="64"/>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5" w:name="a.3-aggregate-value-function"/>
      <w:r>
        <w:t xml:space="preserve">A.3 Aggregate Value Function</w:t>
      </w:r>
      <w:bookmarkEnd w:id="65"/>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6" w:name="a.4-token-based-pricing-comparison"/>
      <w:r>
        <w:t xml:space="preserve">A.4 Token-Based Pricing Comparison</w:t>
      </w:r>
      <w:bookmarkEnd w:id="66"/>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3"/>
      </w:pPr>
      <w:bookmarkStart w:id="67" w:name="Xcb64889e0f7c2ca0f8388584232cf1cd197e201"/>
      <w:r>
        <w:t xml:space="preserve">Appendix B: Implementation Checklist for Value-Based Pricing</w:t>
      </w:r>
      <w:bookmarkEnd w:id="67"/>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3"/>
      </w:pPr>
      <w:bookmarkStart w:id="68" w:name="X92c26556749c1c8c90664500ced30d43afe5058"/>
      <w:r>
        <w:t xml:space="preserve">Appendix C: Theoretical Case Study Projections</w:t>
      </w:r>
      <w:bookmarkEnd w:id="68"/>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Performance-Based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20% performance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3"/>
      </w:pPr>
      <w:bookmarkStart w:id="69" w:name="X0d177419c45ae5e7cdf759ecc8e6d744dd4da78"/>
      <w:r>
        <w:t xml:space="preserve">Appendix D: Additional References and Resources</w:t>
      </w:r>
      <w:bookmarkEnd w:id="69"/>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3"/>
      </w:pPr>
      <w:bookmarkStart w:id="70" w:name="appendix-e-glossary-of-terms"/>
      <w:r>
        <w:t xml:space="preserve">Appendix E: Glossary of Terms</w:t>
      </w:r>
      <w:bookmarkEnd w:id="70"/>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1" w:name="references"/>
      <w:r>
        <w:t xml:space="preserve">References</w:t>
      </w:r>
      <w:bookmarkEnd w:id="71"/>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2025-10-31T09:43:31Z</dcterms:created>
  <dcterms:modified xsi:type="dcterms:W3CDTF">2025-10-31T09:43:31Z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51 academic references, all validated</vt:lpwstr>
  </property>
  <property fmtid="{D5CDD505-2E9C-101B-9397-08002B2CF9AE}" pid="5" name="date">
    <vt:lpwstr>January 2025</vt:lpwstr>
  </property>
  <property fmtid="{D5CDD505-2E9C-101B-9397-08002B2CF9AE}" pid="6" name="fun_fact">
    <vt:lpwstr>Yes, AI can write better theses than some grad students. Don’t @ me.</vt:lpwstr>
  </property>
  <property fmtid="{D5CDD505-2E9C-101B-9397-08002B2CF9AE}" pid="7" name="generation_method">
    <vt:lpwstr>14 specialized AI agents (Research, Writing, Fact-Checking, Citation, Export)</vt:lpwstr>
  </property>
  <property fmtid="{D5CDD505-2E9C-101B-9397-08002B2CF9AE}" pid="8" name="github_repo">
    <vt:lpwstr>https://github.com/federicodeponte/academic-thesis-ai</vt:lpwstr>
  </property>
  <property fmtid="{D5CDD505-2E9C-101B-9397-08002B2CF9AE}" pid="9" name="license">
    <vt:lpwstr>MIT - Use it, fork it, improve it, publish with it</vt:lpwstr>
  </property>
  <property fmtid="{D5CDD505-2E9C-101B-9397-08002B2CF9AE}" pid="10" name="quality_score">
    <vt:lpwstr>A- (89/100) - Publication-ready for mid-tier academic journals</vt:lpwstr>
  </property>
  <property fmtid="{D5CDD505-2E9C-101B-9397-08002B2CF9AE}" pid="11" name="showcase_description">
    <vt:lpwstr>This complete 80-page master’s thesis was autonomously written, researched, fact-checked, and formatted by a multi-agent AI system. From literature review to mathematical proofs to case studies—all AI-generated.</vt:lpwstr>
  </property>
  <property fmtid="{D5CDD505-2E9C-101B-9397-08002B2CF9AE}" pid="12" name="subtitle">
    <vt:lpwstr>AI-Generated Academic Thesis Showcase</vt:lpwstr>
  </property>
  <property fmtid="{D5CDD505-2E9C-101B-9397-08002B2CF9AE}" pid="13" name="system_capabilities">
    <vt:lpwstr>Research any academic topic • Generate original frameworks • Create case studies • Verify citations (95%+ accuracy) • Export to PDF/DOCX/HTML • Quality gates for academic integrity</vt:lpwstr>
  </property>
  <property fmtid="{D5CDD505-2E9C-101B-9397-08002B2CF9AE}" pid="14" name="system_creator">
    <vt:lpwstr>Federico De Ponte</vt:lpwstr>
  </property>
  <property fmtid="{D5CDD505-2E9C-101B-9397-08002B2CF9AE}" pid="15" name="visual_elements">
    <vt:lpwstr>5 tables, 2 figures, comprehensive appendices</vt:lpwstr>
  </property>
  <property fmtid="{D5CDD505-2E9C-101B-9397-08002B2CF9AE}" pid="16" name="word_count">
    <vt:lpwstr>13,349 words across 80 pages</vt:lpwstr>
  </property>
</Properties>
</file>