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Pricing</w:t>
      </w:r>
      <w:r>
        <w:t xml:space="preserve"> </w:t>
      </w:r>
      <w:r>
        <w:t xml:space="preserve">Models</w:t>
      </w:r>
      <w:r>
        <w:t xml:space="preserve"> </w:t>
      </w:r>
      <w:r>
        <w:t xml:space="preserve">for</w:t>
      </w:r>
      <w:r>
        <w:t xml:space="preserve"> </w:t>
      </w:r>
      <w:r>
        <w:t xml:space="preserve">Agentic</w:t>
      </w:r>
      <w:r>
        <w:t xml:space="preserve"> </w:t>
      </w:r>
      <w:r>
        <w:t xml:space="preserve">AI</w:t>
      </w:r>
      <w:r>
        <w:t xml:space="preserve"> </w:t>
      </w:r>
      <w:r>
        <w:t xml:space="preserve">Systems:</w:t>
      </w:r>
      <w:r>
        <w:t xml:space="preserve"> </w:t>
      </w:r>
      <w:r>
        <w:t xml:space="preserve">From</w:t>
      </w:r>
      <w:r>
        <w:t xml:space="preserve"> </w:t>
      </w:r>
      <w:r>
        <w:t xml:space="preserve">Token-Based</w:t>
      </w:r>
      <w:r>
        <w:t xml:space="preserve"> </w:t>
      </w:r>
      <w:r>
        <w:t xml:space="preserve">to</w:t>
      </w:r>
      <w:r>
        <w:t xml:space="preserve"> </w:t>
      </w:r>
      <w:r>
        <w:t xml:space="preserve">Value-Based</w:t>
      </w:r>
      <w:r>
        <w:t xml:space="preserve"> </w:t>
      </w:r>
      <w:r>
        <w:t xml:space="preserve">Approaches</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Table of Contents"/>
          <w:docPartUnique/>
        </w:docPartObj>
      </w:sdtPr>
      <w:sdtContent>
        <w:p>
          <w:pPr>
            <w:pageBreakBefore/>
            <w:pStyle w:val="TOCHeading"/>
            <w:jc w:val="center"/>
          </w:pPr>
          <w:r>
            <w:rPr>
              <w:b/>
              <w:sz w:val="28"/>
              <w:rFonts w:ascii="Times New Roman" w:hAnsi="Times New Roman"/>
            </w:rPr>
            <w:t>Table of Contents</w:t>
          </w:r>
        </w:p>
        <w:p>
          <w:r>
            <w:fldChar w:fldCharType="begin" w:dirty="true"/>
            <w:instrText xml:space="preserve">TOC \o "1-3" \h \z \u</w:instrText>
            <w:fldChar w:fldCharType="separate"/>
            <w:fldChar w:fldCharType="end"/>
          </w:r>
        </w:p>
      </w:sdtContent>
    </w:sdt>
    <w:p>
      <w:pPr>
        <w:pStyle w:val="Heading2"/>
        <w:pageBreakBefore/>
      </w:pPr>
      <w:bookmarkStart w:id="20" w:name="abstract"/>
      <w:r>
        <w:t xml:space="preserve">Abstract</w:t>
      </w:r>
      <w:bookmarkEnd w:id="20"/>
    </w:p>
    <w:p>
      <w:pPr>
        <w:pStyle w:val="FirstParagraph"/>
        <w:spacing w:line="480" w:lineRule="auto"/>
        <w:ind w:firstLine="720"/>
        <w:jc w:val="both"/>
      </w:pPr>
      <w:r>
        <w:rPr>
          <w:b/>
        </w:rPr>
        <w:t xml:space="preserve">Research Problem and Approach:</w:t>
      </w:r>
      <w:r>
        <w:t xml:space="preserve"> </w:t>
      </w:r>
      <w:r>
        <w:t xml:space="preserve">The rapid evolution of AI into autonomous agentic systems presents a significant challenge to traditional pricing models. This thesis addresses the critical gap in economic frameworks by exploring how to appropriately price the dynamic utility and opaque capabilities of intelligent AI agents, moving beyond conventional metrics.</w:t>
      </w:r>
    </w:p>
    <w:p>
      <w:pPr>
        <w:pStyle w:val="BodyText"/>
        <w:spacing w:line="480" w:lineRule="auto"/>
        <w:ind w:firstLine="720"/>
        <w:jc w:val="both"/>
      </w:pPr>
      <w:r>
        <w:rPr>
          <w:b/>
        </w:rPr>
        <w:t xml:space="preserve">Methodology and Findings:</w:t>
      </w:r>
      <w:r>
        <w:t xml:space="preserve"> </w:t>
      </w:r>
      <w:r>
        <w:t xml:space="preserve">Employing a qualitative, comparative analysis method underpinned by a multi-dimensional framework, this study dissects token-based, usage-based, and value-based pricing paradigms. Findings reveal that while token and usage models offer granularity and flexibility, they struggle with opacity and value capture. Value-based models, though ideal, face quantification challenges, leading to a prevalent trend towards hybrid strategies.</w:t>
      </w:r>
    </w:p>
    <w:p>
      <w:pPr>
        <w:pStyle w:val="BodyText"/>
        <w:spacing w:line="480" w:lineRule="auto"/>
        <w:ind w:firstLine="720"/>
        <w:jc w:val="both"/>
      </w:pPr>
      <w:r>
        <w:rPr>
          <w:b/>
        </w:rPr>
        <w:t xml:space="preserve">Key Contributions:</w:t>
      </w:r>
      <w:r>
        <w:t xml:space="preserve"> </w:t>
      </w:r>
      <w:r>
        <w:t xml:space="preserve">(1) A comprehensive multi-dimensional framework for evaluating AI pricing models; (2) Detailed comparative analysis of token, usage, and value-based pricing, highlighting their trade-offs; (3) Identification of emergent hybrid pricing strategies and their strategic implications; (4) Integration of ethical and societal factors into AI monetization discourse.</w:t>
      </w:r>
    </w:p>
    <w:p>
      <w:pPr>
        <w:pStyle w:val="BodyText"/>
        <w:spacing w:line="480" w:lineRule="auto"/>
        <w:ind w:firstLine="720"/>
        <w:jc w:val="both"/>
      </w:pPr>
      <w:r>
        <w:rPr>
          <w:b/>
        </w:rPr>
        <w:t xml:space="preserve">Implications:</w:t>
      </w:r>
      <w:r>
        <w:t xml:space="preserve"> </w:t>
      </w:r>
      <w:r>
        <w:t xml:space="preserve">This research provides crucial insights for AI providers to design sustainable, equitable pricing models, and for policymakers to develop robust regulatory frameworks. It underscores the necessity of balancing economic viability with transparency, fairness, and long-term societal impact in the burgeoning AI economy.</w:t>
      </w:r>
    </w:p>
    <w:p>
      <w:pPr>
        <w:pStyle w:val="BodyText"/>
        <w:spacing w:line="480" w:lineRule="auto"/>
        <w:ind w:firstLine="720"/>
        <w:jc w:val="both"/>
      </w:pPr>
      <w:r>
        <w:rPr>
          <w:b/>
        </w:rPr>
        <w:t xml:space="preserve">Keywords:</w:t>
      </w:r>
      <w:r>
        <w:t xml:space="preserve"> </w:t>
      </w:r>
      <w:r>
        <w:t xml:space="preserve">AI pricing, agentic AI, token-based pricing, value-based pricing, usage-based pricing, hybrid pricing, AI economics, ethical AI, monetization strategies, digital platforms, machine learning, generative AI, cloud AI, dynamic pricing, economic frameworks</w:t>
      </w:r>
    </w:p>
    <w:p>
      <w:pPr>
        <w:pStyle w:val="Heading2"/>
        <w:pageBreakBefore/>
      </w:pPr>
      <w:bookmarkStart w:id="21" w:name="introduction"/>
      <w:r>
        <w:t xml:space="preserve">Introduction</w:t>
      </w:r>
      <w:bookmarkEnd w:id="21"/>
    </w:p>
    <w:p>
      <w:pPr>
        <w:pStyle w:val="FirstParagraph"/>
        <w:spacing w:line="480" w:lineRule="auto"/>
        <w:ind w:firstLine="720"/>
        <w:jc w:val="both"/>
      </w:pPr>
      <w:r>
        <w:t xml:space="preserve">Artificial intelligence (AI) has undergone a swift transformation (Korinek, 2025). It’s evolved from static algorithms into dynamic, autonomous agentic systems. These advanced AI agents can make independent decisions, learn, and interact with complex environments. They’re now integrated across diverse sectors. This promises remarkable efficiencies and innovation (Kshirsagar et al., 2021).</w:t>
      </w:r>
    </w:p>
    <w:p>
      <w:pPr>
        <w:pStyle w:val="BodyText"/>
        <w:spacing w:line="480" w:lineRule="auto"/>
        <w:ind w:firstLine="720"/>
        <w:jc w:val="both"/>
      </w:pPr>
      <w:r>
        <w:t xml:space="preserve">From automating intricate business processes to enhancing scientific discovery and personal assistance, agentic AI’s societal and economic impact is considerable and growing (Korinek, 2025). However, as these systems become more sophisticated and pervasive, the traditional ways we value and price technological services face significant hurdles. The core question—how to appropriately price the utility and capabilities of an intelligent, adaptive, and often opaque AI agent—remains largely unanswered. This creates a critical gap in the economic frameworks surrounding this burgeoning field.</w:t>
      </w:r>
    </w:p>
    <w:p>
      <w:pPr>
        <w:pStyle w:val="BodyText"/>
        <w:spacing w:line="480" w:lineRule="auto"/>
        <w:ind w:firstLine="720"/>
        <w:jc w:val="both"/>
      </w:pPr>
      <w:r>
        <w:t xml:space="preserve">Historically, software and digital services were priced based on clear metrics: licensing fees, subscription models, or usage-based charges tied to computational resources, data volume, or fixed feature sets (De, 2017). While effective for conventional software, this approach struggles to capture the nuanced value proposition of agentic AI. Unlike static tools, AI agents are characterized by their capacity for continuous learning, adaptation, and emergent behaviors. This can lead to non-linear value generation and unpredictable performance trajectories (Barbere et al., 2024). Further complicating matters is the inherent</w:t>
      </w:r>
      <w:r>
        <w:t xml:space="preserve"> </w:t>
      </w:r>
      <w:r>
        <w:t xml:space="preserve">‘</w:t>
      </w:r>
      <w:r>
        <w:t xml:space="preserve">black-box</w:t>
      </w:r>
      <w:r>
        <w:t xml:space="preserve">’</w:t>
      </w:r>
      <w:r>
        <w:t xml:space="preserve"> </w:t>
      </w:r>
      <w:r>
        <w:t xml:space="preserve">nature of many advanced AI models. Their internal decision-making processes aren’t readily interpretable. This makes it difficult to attribute specific outcomes to particular inputs or computational efforts (Mirghaderi et al., 2023). This combination of dynamic capabilities, opacity, and the potential for autonomous action demands a re-evaluation of current economic models.</w:t>
      </w:r>
    </w:p>
    <w:p>
      <w:pPr>
        <w:pStyle w:val="Heading2"/>
        <w:pageBreakBefore/>
      </w:pPr>
      <w:bookmarkStart w:id="22" w:name="literature-review"/>
      <w:r>
        <w:t xml:space="preserve">Literature Review</w:t>
      </w:r>
      <w:bookmarkEnd w:id="22"/>
    </w:p>
    <w:p>
      <w:pPr>
        <w:pStyle w:val="FirstParagraph"/>
        <w:spacing w:line="480" w:lineRule="auto"/>
        <w:ind w:firstLine="720"/>
        <w:jc w:val="both"/>
      </w:pPr>
      <w:r>
        <w:t xml:space="preserve">The rapid advancement and pervasive integration of artificial intelligence (AI) across diverse sectors have fundamentally reshaped economic landscapes and business models. As AI transitions from a nascent research field to a critical utility, the methods by which these sophisticated services are valued, priced, and monetized have become subjects of intense academic and practical scrutiny. This literature review delves into the foundational theories and contemporary practices governing the economic models and pricing strategies for AI services and digital platforms, aiming to synthesize existing knowledge, identify emergent trends, and delineate critical gaps in current understanding. The review is structured around three primary pricing paradigms—token-based, usage-based, and value-based—culminating in a comparative analysis that highlights their respective strengths, limitations, and the implications for market dynamics.</w:t>
      </w:r>
    </w:p>
    <w:p>
      <w:pPr>
        <w:pStyle w:val="BodyText"/>
        <w:spacing w:line="480" w:lineRule="auto"/>
        <w:ind w:firstLine="720"/>
        <w:jc w:val="both"/>
      </w:pPr>
      <w:r>
        <w:t xml:space="preserve">The evolution of software and service pricing has undergone a significant transformation over the past decades. Historically, software was predominantly sold as a perpetual license, a one-time purchase granting indefinite usage rights (Ladas et al., 2019). This model, while straightforward, often failed to account for ongoing development, maintenance, and the inherent scalability of digital products. The advent of the internet and cloud computing catalyzed a shift towards subscription-based and</w:t>
      </w:r>
      <w:r>
        <w:t xml:space="preserve"> </w:t>
      </w:r>
      <w:r>
        <w:t xml:space="preserve">“</w:t>
      </w:r>
      <w:r>
        <w:t xml:space="preserve">Software-as-a-Service</w:t>
      </w:r>
      <w:r>
        <w:t xml:space="preserve">”</w:t>
      </w:r>
      <w:r>
        <w:t xml:space="preserve"> </w:t>
      </w:r>
      <w:r>
        <w:t xml:space="preserve">(SaaS) models, where users pay recurring fees for access to software hosted remotely. This paradigm introduced flexibility, reduced upfront costs for consumers, and ensured a steady revenue stream for providers. However, AI services, particularly those powered by large language models (LLMs) and complex machine learning algorithms, present unique challenges that necessitate even more granular and dynamic pricing approaches. Unlike traditional software, AI capabilities are often consumed incrementally, involve significant computational resources, and can deliver highly variable outputs, making fixed subscriptions or simple usage metrics insufficient for capturing their true economic value. The complexity of AI models, the dynamism of their development, and the varying degrees of value they provide to different users have spurred the development of specialized pricing frameworks (Kshirsagar et al., 2021).</w:t>
      </w:r>
    </w:p>
    <w:p>
      <w:pPr>
        <w:pStyle w:val="BodyText"/>
        <w:spacing w:line="480" w:lineRule="auto"/>
        <w:ind w:firstLine="720"/>
        <w:jc w:val="both"/>
      </w:pPr>
      <w:r>
        <w:t xml:space="preserve">The economic implications of AI extend beyond mere pricing structures. AI agents are increasingly being recognized as powerful tools for economic research, capable of analyzing vast datasets and identifying complex patterns that might elude human analysis, thereby influencing the very models and theories used to understand market behavior (Korinek, 2025). This reciprocal relationship—where AI influences economic models, and economic models shape AI pricing—underscores the critical importance of a robust theoretical framework for AI monetization. Furthermore, the ethical dimensions of digital platforms and AI services, encompassing issues of transparency, fairness, and potential for market abuse, are inextricably linked to their pricing strategies (Mirghaderi et al., 2023)(Ayata, 2020). Understanding these multifaceted considerations is paramount for developing sustainable and equitable economic models for AI.</w:t>
      </w:r>
    </w:p>
    <w:p>
      <w:pPr>
        <w:pStyle w:val="Heading2"/>
      </w:pPr>
      <w:bookmarkStart w:id="23" w:name="X19540cf0a66aee09377a64a9b7fc8d6d12f96e6"/>
      <w:r>
        <w:t xml:space="preserve">Token-Based Pricing Models for Generative AI</w:t>
      </w:r>
      <w:bookmarkEnd w:id="23"/>
    </w:p>
    <w:p>
      <w:pPr>
        <w:pStyle w:val="FirstParagraph"/>
        <w:spacing w:line="480" w:lineRule="auto"/>
        <w:ind w:firstLine="720"/>
        <w:jc w:val="both"/>
      </w:pPr>
      <w:r>
        <w:t xml:space="preserve">The emergence of generative AI, particularly large language models (LLMs), has introduced a novel and increasingly prevalent pricing mechanism: token-based pricing. This model has become the de facto standard for many leading AI providers, including OpenAI and Anthropic, reflecting a direct correlation between the computational effort expended and the charge levied. Understanding the intricacies of tokenization, its practical implementations, and its economic implications is crucial for comprehending the current landscape of AI service monetization.</w:t>
      </w:r>
    </w:p>
    <w:p>
      <w:pPr>
        <w:pStyle w:val="Heading3"/>
      </w:pPr>
      <w:bookmarkStart w:id="24" w:name="origins-and-mechanics-of-tokenization"/>
      <w:r>
        <w:t xml:space="preserve">Origins and Mechanics of Tokenization</w:t>
      </w:r>
      <w:bookmarkEnd w:id="24"/>
    </w:p>
    <w:p>
      <w:pPr>
        <w:pStyle w:val="FirstParagraph"/>
        <w:spacing w:line="480" w:lineRule="auto"/>
        <w:ind w:firstLine="720"/>
        <w:jc w:val="both"/>
      </w:pPr>
      <w:r>
        <w:t xml:space="preserve">At its core, token-based pricing is predicated on the concept of</w:t>
      </w:r>
      <w:r>
        <w:t xml:space="preserve"> </w:t>
      </w:r>
      <w:r>
        <w:t xml:space="preserve">“</w:t>
      </w:r>
      <w:r>
        <w:t xml:space="preserve">tokens,</w:t>
      </w:r>
      <w:r>
        <w:t xml:space="preserve">”</w:t>
      </w:r>
      <w:r>
        <w:t xml:space="preserve"> </w:t>
      </w:r>
      <w:r>
        <w:t xml:space="preserve">which represent the fundamental units of text or data processed by an LLM. A token can be a word, a subword, or even a single character, depending on the tokenizer used by the specific model. For instance, in English, a typical word might correspond to one or two tokens, while more complex words or foreign language characters might require more. When a user submits a query or prompt to an LLM, the input text is first broken down into these tokens. The model then processes these input tokens to generate an an output, which is also composed of tokens. The total cost of an interaction is typically calculated based on the sum of input tokens and output tokens, often priced per 1,000 tokens. This granular approach allows providers to directly link usage to the underlying computational resources—primarily GPU cycles and memory—required to run these large, complex models (Barbere et al., 2024).</w:t>
      </w:r>
    </w:p>
    <w:p>
      <w:pPr>
        <w:pStyle w:val="BodyText"/>
        <w:spacing w:line="480" w:lineRule="auto"/>
        <w:ind w:firstLine="720"/>
        <w:jc w:val="both"/>
      </w:pPr>
      <w:r>
        <w:t xml:space="preserve">The rationale behind tokenization as a pricing unit stems from the operational mechanics of LLMs. Training and inference for these models are computationally intensive, with costs scaling significantly with the length of the input context and the desired output length. Longer prompts require more memory to hold the context and more processing time to analyze. Similarly, generating longer responses demands more iterative processing steps. By pricing per token, providers can accurately reflect these variable computational costs. This model ensures that users who require more extensive interactions or generate verbose outputs contribute proportionally to the operational expenses of the AI service. The concept of</w:t>
      </w:r>
      <w:r>
        <w:t xml:space="preserve"> </w:t>
      </w:r>
      <w:r>
        <w:t xml:space="preserve">“</w:t>
      </w:r>
      <w:r>
        <w:t xml:space="preserve">context window</w:t>
      </w:r>
      <w:r>
        <w:t xml:space="preserve">”</w:t>
      </w:r>
      <w:r>
        <w:t xml:space="preserve"> </w:t>
      </w:r>
      <w:r>
        <w:t xml:space="preserve">is also critical here; it refers to the maximum number of tokens an LLM can consider at any given time for both input and output. Larger context windows, while enabling more sophisticated and coherent long-form interactions, inherently consume more resources and are often priced at a premium (Barbere et al., 2024). The management of these token hierarchies is an active area of research, aiming to enhance the efficiency and cost-effectiveness of LLMs (Barbere et al., 2024).</w:t>
      </w:r>
    </w:p>
    <w:p>
      <w:pPr>
        <w:pStyle w:val="Heading3"/>
      </w:pPr>
      <w:bookmarkStart w:id="25" w:name="Xd91d1098fc08b10d5ad2e039192702fbe956ce5"/>
      <w:r>
        <w:t xml:space="preserve">Dominant Implementations: OpenAI and Anthropic</w:t>
      </w:r>
      <w:bookmarkEnd w:id="25"/>
    </w:p>
    <w:p>
      <w:pPr>
        <w:pStyle w:val="FirstParagraph"/>
        <w:spacing w:line="480" w:lineRule="auto"/>
        <w:ind w:firstLine="720"/>
        <w:jc w:val="both"/>
      </w:pPr>
      <w:r>
        <w:t xml:space="preserve">OpenAI, a pioneer in generative AI, has largely popularized and refined token-based pricing. Their flagship models, such as GPT-3.5 and GPT-4, are offered through an API where costs are meticulously calculated per 1,000 tokens. OpenAI often differentiates pricing between input (prompt) tokens and output (completion) tokens, with output tokens typically being more expensive due to the additional computational effort involved in generation. For example, a common pricing structure might charge a few cents per 1,000 input tokens and slightly more per 1,000 output tokens for a standard model. More advanced models, possessing greater capabilities, larger context windows, or superior performance, naturally command higher prices per token. The</w:t>
      </w:r>
      <w:r>
        <w:t xml:space="preserve"> </w:t>
      </w:r>
      <w:r>
        <w:rPr>
          <w:rStyle w:val="VerbatimChar"/>
        </w:rPr>
        <w:t xml:space="preserve">openai</w:t>
      </w:r>
      <w:r>
        <w:t xml:space="preserve"> </w:t>
      </w:r>
      <w:r>
        <w:t xml:space="preserve">R wrapper, for instance, facilitates interaction with these APIs, enabling developers to integrate OpenAI’s models into their applications while managing token usage and associated costs (Rudnytskyi, 2022).</w:t>
      </w:r>
    </w:p>
    <w:p>
      <w:pPr>
        <w:pStyle w:val="BodyText"/>
        <w:spacing w:line="480" w:lineRule="auto"/>
        <w:ind w:firstLine="720"/>
        <w:jc w:val="both"/>
      </w:pPr>
      <w:r>
        <w:t xml:space="preserve">Anthropic, another leading AI research and safety company, employs a similar token-based pricing strategy for its Claude series of models. Like OpenAI, Anthropic distinguishes between input and output tokens and offers different pricing tiers based on the model’s capabilities and context window size. Claude models are known for their particularly large context windows, allowing for processing and generation of extremely long texts, which translates directly into higher token counts and, consequently, higher costs for such extensive interactions. The competitive landscape between these providers often revolves not only around model performance but also around the efficiency and cost-effectiveness of their token usage, pushing both companies to continuously optimize their tokenization strategies and model architectures.</w:t>
      </w:r>
    </w:p>
    <w:p>
      <w:pPr>
        <w:pStyle w:val="Heading3"/>
      </w:pPr>
      <w:bookmarkStart w:id="26" w:name="advantages-and-limitations"/>
      <w:r>
        <w:t xml:space="preserve">Advantages and Limitations</w:t>
      </w:r>
      <w:bookmarkEnd w:id="26"/>
    </w:p>
    <w:p>
      <w:pPr>
        <w:pStyle w:val="FirstParagraph"/>
        <w:spacing w:line="480" w:lineRule="auto"/>
        <w:ind w:firstLine="720"/>
        <w:jc w:val="both"/>
      </w:pPr>
      <w:r>
        <w:t xml:space="preserve">Token-based pricing offers several distinct advantages, primarily for the AI service providers. It provides a highly granular and scalable monetization model, directly aligning revenue with computational expenditure. This predictability for providers allows for better resource allocation and infrastructure planning. For developers, it offers a pay-as-you-go model that can be beneficial for prototyping and variable workloads, avoiding large upfront commitments. The transparency, in principle, of charging per unit of processing can be seen as fair, as users pay only for what they consume.</w:t>
      </w:r>
    </w:p>
    <w:p>
      <w:pPr>
        <w:pStyle w:val="BodyText"/>
        <w:spacing w:line="480" w:lineRule="auto"/>
        <w:ind w:firstLine="720"/>
        <w:jc w:val="both"/>
      </w:pPr>
      <w:r>
        <w:t xml:space="preserve">However, this model also presents significant limitations, particularly from the user’s perspective. One major challenge is the inherent opacity of token counts. Users often find it difficult to accurately estimate the token count of their input and the likely length of the output, making cost prediction challenging. A simple query might yield a vastly different token count depending on subtle phrasing or the model’s internal processing, leading to unexpected costs. This</w:t>
      </w:r>
      <w:r>
        <w:t xml:space="preserve"> </w:t>
      </w:r>
      <w:r>
        <w:t xml:space="preserve">“</w:t>
      </w:r>
      <w:r>
        <w:t xml:space="preserve">token inflation</w:t>
      </w:r>
      <w:r>
        <w:t xml:space="preserve">”</w:t>
      </w:r>
      <w:r>
        <w:t xml:space="preserve"> </w:t>
      </w:r>
      <w:r>
        <w:t xml:space="preserve">can be particularly problematic for applications requiring extensive or iterative interactions. Furthermore, the practice of charging for hallucinated tokens—tokens generated by the AI that are factually incorrect or nonsensical—raises ethical questions. Users are effectively paying for erroneous outputs, which can undermine trust and perceived value (Mirghaderi et al., 2023). The need for transparency and ethical governance in digital platforms extends to these granular pricing mechanisms.</w:t>
      </w:r>
    </w:p>
    <w:p>
      <w:pPr>
        <w:pStyle w:val="BodyText"/>
        <w:spacing w:line="480" w:lineRule="auto"/>
        <w:ind w:firstLine="720"/>
        <w:jc w:val="both"/>
      </w:pPr>
      <w:r>
        <w:t xml:space="preserve">From a developer’s standpoint, managing token budgets and optimizing prompts to minimize token usage becomes a critical skill. This can sometimes lead to compromises in prompt clarity or comprehensiveness, as developers strive to reduce costs, potentially impacting the quality of the AI’s output. The reliance on tokenization also introduces a vendor-specific unit of measurement, making direct cost comparisons across different AI providers complex, as each may define and count tokens differently.</w:t>
      </w:r>
    </w:p>
    <w:p>
      <w:pPr>
        <w:pStyle w:val="Heading3"/>
      </w:pPr>
      <w:bookmarkStart w:id="27" w:name="X9509091ba3f31a14f720ba6ef0c820ed3181b94"/>
      <w:r>
        <w:t xml:space="preserve">Research and Development in Token-Based Pricing</w:t>
      </w:r>
      <w:bookmarkEnd w:id="27"/>
    </w:p>
    <w:p>
      <w:pPr>
        <w:pStyle w:val="FirstParagraph"/>
        <w:spacing w:line="480" w:lineRule="auto"/>
        <w:ind w:firstLine="720"/>
        <w:jc w:val="both"/>
      </w:pPr>
      <w:r>
        <w:t xml:space="preserve">Ongoing research seeks to address the limitations and enhance the efficiency of token-based pricing. Efforts are underway to develop more sophisticated tokenization strategies that are more semantically aware, potentially reducing the number of tokens required to represent a given piece of information (Barbere et al., 2024). Dynamic token hierarchies are being explored as a means to enhance LLMs, which could lead to more efficient processing and potentially more equitable pricing models (Barbere et al., 2024). These hierarchies might allow models to process information at different levels of granularity, only expanding to finer-grained tokens when necessary, thereby optimizing computational load.</w:t>
      </w:r>
    </w:p>
    <w:p>
      <w:pPr>
        <w:pStyle w:val="BodyText"/>
        <w:spacing w:line="480" w:lineRule="auto"/>
        <w:ind w:firstLine="720"/>
        <w:jc w:val="both"/>
      </w:pPr>
      <w:r>
        <w:t xml:space="preserve">Furthermore, the ethical implications of token-based pricing, particularly concerning transparency and fairness, are a growing area of concern. Researchers are investigating how to make token usage more transparent to end-users, potentially through real-time cost estimators or clearer breakdowns of input versus output token charges. The broader discussion around ethics and transparency in digital platforms (Mirghaderi et al., 2023) provides a framework for evaluating the fairness of these pricing models, especially when considering the potential for excessive pricing in new, rapidly evolving markets (Ayata, 2020). The intersection of green AI initiatives with cost pricing models, as explored by Kshirsagar, More et al. (Kshirsagar et al., 2021), suggests a future where pricing might also incorporate environmental costs associated with the massive energy consumption of LLMs, further complicating and potentially refining token-based structures. This area of research aims to ensure that AI service pricing not only reflects operational costs but also aligns with broader societal values and sustainability goals.</w:t>
      </w:r>
    </w:p>
    <w:p>
      <w:pPr>
        <w:pStyle w:val="Heading2"/>
      </w:pPr>
      <w:bookmarkStart w:id="28" w:name="X7c97e1e8b27d2e66db3a5e6b28a202249542c13"/>
      <w:r>
        <w:t xml:space="preserve">Usage-Based Pricing Models for Cloud AI Services</w:t>
      </w:r>
      <w:bookmarkEnd w:id="28"/>
    </w:p>
    <w:p>
      <w:pPr>
        <w:pStyle w:val="FirstParagraph"/>
        <w:spacing w:line="480" w:lineRule="auto"/>
        <w:ind w:firstLine="720"/>
        <w:jc w:val="both"/>
      </w:pPr>
      <w:r>
        <w:t xml:space="preserve">Beyond the specific paradigm of token-based pricing for generative AI, a broader category of consumption-based or usage-based pricing models dominates the landscape of cloud-hosted AI services. These models, deeply rooted in the philosophy of cloud computing, offer flexibility and scalability by charging users based on their actual consumption of specific resources or functionalities. This section explores the foundations of cloud service pricing, examines its implementation by major cloud providers, and discusses its economic rationales and challenges.</w:t>
      </w:r>
    </w:p>
    <w:p>
      <w:pPr>
        <w:pStyle w:val="Heading3"/>
      </w:pPr>
      <w:bookmarkStart w:id="29" w:name="foundations-of-cloud-service-pricing"/>
      <w:r>
        <w:t xml:space="preserve">Foundations of Cloud Service Pricing</w:t>
      </w:r>
      <w:bookmarkEnd w:id="29"/>
    </w:p>
    <w:p>
      <w:pPr>
        <w:pStyle w:val="FirstParagraph"/>
        <w:spacing w:line="480" w:lineRule="auto"/>
        <w:ind w:firstLine="720"/>
        <w:jc w:val="both"/>
      </w:pPr>
      <w:r>
        <w:t xml:space="preserve">The shift from traditional software licensing to</w:t>
      </w:r>
      <w:r>
        <w:t xml:space="preserve"> </w:t>
      </w:r>
      <w:r>
        <w:t xml:space="preserve">“</w:t>
      </w:r>
      <w:r>
        <w:t xml:space="preserve">pay-as-you-go</w:t>
      </w:r>
      <w:r>
        <w:t xml:space="preserve">”</w:t>
      </w:r>
      <w:r>
        <w:t xml:space="preserve"> </w:t>
      </w:r>
      <w:r>
        <w:t xml:space="preserve">models is a defining characteristic of cloud computing. Historically, organizations purchased software licenses and managed their own IT infrastructure, incurring significant upfront capital expenditures for hardware, software, and maintenance. Cloud computing revolutionized this by offering computing resources—such as virtual machines, storage, databases, and network services—as utilities over the internet. This model transformed CapEx into OpEx, allowing businesses to scale their resources up or down dynamically based on demand, paying only for what they consumed. Elasticity and scalability are the core tenets of this paradigm, enabling businesses to avoid over-provisioning or under-provisioning resources (Ladas et al., 2019).</w:t>
      </w:r>
    </w:p>
    <w:p>
      <w:pPr>
        <w:pStyle w:val="BodyText"/>
        <w:spacing w:line="480" w:lineRule="auto"/>
        <w:ind w:firstLine="720"/>
        <w:jc w:val="both"/>
      </w:pPr>
      <w:r>
        <w:t xml:space="preserve">For AI services specifically, this translates into pricing mechanisms tied to quantifiable metrics of usage. Instead of a fixed fee for an AI model, users are charged based on the number of API calls, the volume of data processed, the duration of computation, or the specific features invoked. This approach is particularly well-suited for AI, where workloads can be highly variable and unpredictable. A company might use an image recognition AI service heavily during a product launch campaign and then scale down usage afterward, making a fixed subscription uneconomical. The pay-per-use model ensures cost efficiency for such fluctuating demands, aligning expenditure directly with operational activity. The concept of API monetization (De, 2017) is central to this, as many cloud AI services are exposed as APIs, allowing developers to integrate sophisticated AI capabilities into their applications without needing to build and maintain the underlying models themselves.</w:t>
      </w:r>
    </w:p>
    <w:p>
      <w:pPr>
        <w:pStyle w:val="Heading3"/>
      </w:pPr>
      <w:bookmarkStart w:id="30" w:name="aws-azure-google-cloud-ai-services"/>
      <w:r>
        <w:t xml:space="preserve">AWS, Azure, Google Cloud AI Services</w:t>
      </w:r>
      <w:bookmarkEnd w:id="30"/>
    </w:p>
    <w:p>
      <w:pPr>
        <w:pStyle w:val="FirstParagraph"/>
        <w:spacing w:line="480" w:lineRule="auto"/>
        <w:ind w:firstLine="720"/>
        <w:jc w:val="both"/>
      </w:pPr>
      <w:r>
        <w:t xml:space="preserve">Major cloud providers—Amazon Web Services (AWS), Microsoft Azure, and Google Cloud Platform (GCP)—offer extensive suites of AI services, each with its own nuanced usage-based pricing structure. These services span a wide array of AI capabilities, including machine learning platforms, natural language processing, computer vision, speech recognition, and recommendation engines.</w:t>
      </w:r>
    </w:p>
    <w:p>
      <w:pPr>
        <w:pStyle w:val="BodyText"/>
        <w:spacing w:line="480" w:lineRule="auto"/>
        <w:ind w:firstLine="720"/>
        <w:jc w:val="both"/>
      </w:pPr>
      <w:r>
        <w:t xml:space="preserve">AWS AI services, for example, include Amazon Rekognition (for image and video analysis), Amazon Comprehend (for natural language processing), and Amazon Transcribe (for speech-to-text conversion). Rekognition typically charges per image or per minute of video processed. Comprehend might charge per 100 characters processed for text analysis or per document for specific tasks like entity recognition. Transcribe charges per second of audio processed. Each service has its own specific pricing unit, designed to reflect the resource consumption of that particular AI task.</w:t>
      </w:r>
    </w:p>
    <w:p>
      <w:pPr>
        <w:pStyle w:val="BodyText"/>
        <w:spacing w:line="480" w:lineRule="auto"/>
        <w:ind w:firstLine="720"/>
        <w:jc w:val="both"/>
      </w:pPr>
      <w:r>
        <w:t xml:space="preserve">Microsoft Azure AI services similarly offer a comprehensive portfolio, including Azure AI Language, Azure AI Vision, and Azure AI Speech. Azure AI Language services, which encompass capabilities like sentiment analysis, key phrase extraction, and language detection, are often priced based on the number of text records processed, with different pricing tiers depending on the volume of usage (Satapathi, 2025). Azure AI Vision charges per image transaction for tasks such as object detection or optical character recognition. Azure AI Speech charges per second of audio processed for speech-to-text or text-to-speech functionalities. These services often incorporate free tiers for initial exploration or low-volume usage, transitioning to paid tiers as consumption increases, thereby lowering the barrier to entry for new users (Seufert, 2014).</w:t>
      </w:r>
    </w:p>
    <w:p>
      <w:pPr>
        <w:pStyle w:val="BodyText"/>
        <w:spacing w:line="480" w:lineRule="auto"/>
        <w:ind w:firstLine="720"/>
        <w:jc w:val="both"/>
      </w:pPr>
      <w:r>
        <w:t xml:space="preserve">Google Cloud Platform, with its Vertex AI platform, provides a unified environment for building, deploying, and scaling machine learning models. Its pre-trained AI services, such as Vision AI, Natural Language AI, and Translation AI, also follow a consumption-based model. Vision AI, for instance, charges per image for tasks like label detection or facial recognition. The pricing can also be influenced by the complexity of the model, with custom models often incurring charges based on training hours, prediction requests, or the amount of data processed. The flexibility of these models allows businesses to leverage powerful AI capabilities without the prohibitive costs associated with developing and maintaining such systems in-house.</w:t>
      </w:r>
    </w:p>
    <w:p>
      <w:pPr>
        <w:pStyle w:val="Heading3"/>
      </w:pPr>
      <w:bookmarkStart w:id="31" w:name="economic-rationales-and-user-impact"/>
      <w:r>
        <w:t xml:space="preserve">Economic Rationales and User Impact</w:t>
      </w:r>
      <w:bookmarkEnd w:id="31"/>
    </w:p>
    <w:p>
      <w:pPr>
        <w:pStyle w:val="FirstParagraph"/>
        <w:spacing w:line="480" w:lineRule="auto"/>
        <w:ind w:firstLine="720"/>
        <w:jc w:val="both"/>
      </w:pPr>
      <w:r>
        <w:t xml:space="preserve">The economic rationale behind usage-based pricing for cloud AI services is compelling. For users, it significantly lowers the entry barrier to advanced AI technologies. Startups and small businesses can access enterprise-grade AI capabilities without substantial upfront investments, paying only for what they use. This model also allows for optimal cost management, as expenses directly track with actual business activity. During periods of high demand, resources can be scaled up seamlessly, and during lulls, they can be scaled down, preventing wasteful expenditure. This flexibility is particularly valuable in dynamic markets where demand for AI services can fluctuate dramatically. Furthermore, the pay-per-use model encourages innovation, as developers can experiment with different AI services and models without long-term financial commitments, fostering a culture of rapid prototyping and deployment.</w:t>
      </w:r>
    </w:p>
    <w:p>
      <w:pPr>
        <w:pStyle w:val="BodyText"/>
        <w:spacing w:line="480" w:lineRule="auto"/>
        <w:ind w:firstLine="720"/>
        <w:jc w:val="both"/>
      </w:pPr>
      <w:r>
        <w:t xml:space="preserve">However, usage-based pricing is not without its challenges. One of the primary difficulties for users is cost unpredictability. While the per-unit price might be clear, forecasting the exact volume of API calls, data processed, or compute hours required for a given application can be complex, leading to unexpected monthly bills. This unpredictability can be a significant concern for budget-conscious organizations. Another challenge is the potential for vendor lock-in. Once an organization integrates its systems deeply with a specific cloud provider’s AI services, migrating to another provider can be technically challenging and costly, potentially limiting competitive leverage. The complexity of billing, with numerous micro-charges for different services and metrics, can also make cost reconciliation and optimization a daunting task. The need for tools and strategies for pricing optimization using predictive analytics (Niharika et al., 2024) becomes evident in this context, helping businesses better estimate and manage their cloud AI expenditures. Moreover, concerns about excessive pricing in these new, rapidly evolving markets (Ayata, 2020) highlight the need for careful regulatory oversight and competitive market dynamics to protect consumers.</w:t>
      </w:r>
    </w:p>
    <w:p>
      <w:pPr>
        <w:pStyle w:val="Heading3"/>
      </w:pPr>
      <w:bookmarkStart w:id="32" w:name="research-into-optimization-and-fairness"/>
      <w:r>
        <w:t xml:space="preserve">Research into Optimization and Fairness</w:t>
      </w:r>
      <w:bookmarkEnd w:id="32"/>
    </w:p>
    <w:p>
      <w:pPr>
        <w:pStyle w:val="FirstParagraph"/>
        <w:spacing w:line="480" w:lineRule="auto"/>
        <w:ind w:firstLine="720"/>
        <w:jc w:val="both"/>
      </w:pPr>
      <w:r>
        <w:t xml:space="preserve">Research in usage-based pricing for AI services focuses on improving predictability, optimizing costs, and ensuring fairness. Predictive analytics plays a crucial role in helping users forecast their AI consumption and associated costs, enabling better budget planning (Niharika et al., 2024). By analyzing historical usage patterns and business drivers, machine learning models can estimate future consumption, providing users with greater financial control. This is particularly relevant for dynamic pricing scenarios, such as those seen in automotive aftermarkets, where edge-cloud AI can be leveraged to adjust prices in real-time based on demand and other factors (Bhuram, 2025).</w:t>
      </w:r>
    </w:p>
    <w:p>
      <w:pPr>
        <w:pStyle w:val="BodyText"/>
        <w:spacing w:line="480" w:lineRule="auto"/>
        <w:ind w:firstLine="720"/>
        <w:jc w:val="both"/>
      </w:pPr>
      <w:r>
        <w:t xml:space="preserve">Another area of research involves ensuring transparency and audibility of data usage, especially when AI services process sensitive information. Blockchain-based data usage auditing (BDUA) systems, for instance, aim to provide immutable records of how data is accessed and utilized by AI services, enhancing trust and compliance (Kaaniche &amp; Laurent, 2018). This addresses concerns related to data privacy and the ethical use of AI, which are central to the broader discourse on digital platforms (Mirghaderi et al., 2023). The discussion around excessive pricing (Ayata, 2020) is also pertinent, as the rapid growth of the AI services market could lead to dominant players exercising undue pricing power. Research into competitive dynamics and regulatory frameworks is essential to prevent anti-competitive practices and ensure fair access to AI technologies. Furthermore, the strategic analysis of product selling versus pay-per-use services (Ladas et al., 2019) continues to inform how businesses structure their offerings, weighing the benefits of recurring revenue against the flexibility demanded by modern digital consumers.</w:t>
      </w:r>
    </w:p>
    <w:p>
      <w:pPr>
        <w:pStyle w:val="Heading2"/>
      </w:pPr>
      <w:bookmarkStart w:id="33" w:name="X24c020b69afa8f33bb9de736178f1ae91688fc6"/>
      <w:r>
        <w:t xml:space="preserve">Value-Based Pricing Theory and its Application to AI</w:t>
      </w:r>
      <w:bookmarkEnd w:id="33"/>
    </w:p>
    <w:p>
      <w:pPr>
        <w:pStyle w:val="FirstParagraph"/>
        <w:spacing w:line="480" w:lineRule="auto"/>
        <w:ind w:firstLine="720"/>
        <w:jc w:val="both"/>
      </w:pPr>
      <w:r>
        <w:t xml:space="preserve">While token-based and usage-based models focus on the cost of provision or the volume of consumption, value-based pricing shifts the focus entirely to the perceived or actual value that an AI service delivers to the customer. This paradigm is theoretically appealing for advanced AI capabilities, as it seeks to capture a portion of the economic benefits generated by the AI, rather than merely recouping its operational costs. However, its practical implementation for AI presents unique challenges.</w:t>
      </w:r>
    </w:p>
    <w:p>
      <w:pPr>
        <w:pStyle w:val="Heading3"/>
      </w:pPr>
      <w:bookmarkStart w:id="34" w:name="core-principles-of-value-based-pricing"/>
      <w:r>
        <w:t xml:space="preserve">Core Principles of Value-Based Pricing</w:t>
      </w:r>
      <w:bookmarkEnd w:id="34"/>
    </w:p>
    <w:p>
      <w:pPr>
        <w:pStyle w:val="FirstParagraph"/>
        <w:spacing w:line="480" w:lineRule="auto"/>
        <w:ind w:firstLine="720"/>
        <w:jc w:val="both"/>
      </w:pPr>
      <w:r>
        <w:t xml:space="preserve">Value-based pricing is a strategic pricing approach where the price of a product or service is determined primarily by the customer’s perceived value of that product or service, rather than by the seller’s cost or by competitors’ prices. This stands in stark contrast to cost-plus pricing (adding a markup to production costs) and competitor-based pricing (setting prices relative to rivals). The fundamental idea is to understand what value customers place on the benefits they receive and to price accordingly. This requires a deep understanding of customer needs, preferences, and their willingness to pay for specific outcomes or solutions. Effective value-based pricing often involves market research, customer segmentation, and a clear articulation of the unique benefits offered. For instance, a customer might be willing to pay a premium for an AI service that guarantees a specific increase in efficiency, a reduction in errors, or access to unprecedented insights, because the economic impact of these benefits far outweighs the cost of the AI service itself (Maguire, 2021).</w:t>
      </w:r>
    </w:p>
    <w:p>
      <w:pPr>
        <w:pStyle w:val="BodyText"/>
        <w:spacing w:line="480" w:lineRule="auto"/>
        <w:ind w:firstLine="720"/>
        <w:jc w:val="both"/>
      </w:pPr>
      <w:r>
        <w:t xml:space="preserve">The success of value-based pricing hinges on the ability to clearly define, communicate, and, ideally, quantify the value proposition. This involves identifying the key problems the AI solves for the customer, the tangible and intangible benefits it provides, and how these benefits translate into measurable improvements in the customer’s business or life. Customer segmentation is also critical, as different customer groups will derive different levels of value from the same AI service and thus have varying willingness to pay. A small startup might value a cost-saving AI tool differently than a large enterprise seeking competitive advantage through AI-driven innovation.</w:t>
      </w:r>
    </w:p>
    <w:p>
      <w:pPr>
        <w:pStyle w:val="Heading3"/>
      </w:pPr>
      <w:bookmarkStart w:id="35" w:name="X8cab0e47cf74d2a8137eda2d280c1f25d4ff8a0"/>
      <w:r>
        <w:t xml:space="preserve">Value Creation and Capture in AI Services</w:t>
      </w:r>
      <w:bookmarkEnd w:id="35"/>
    </w:p>
    <w:p>
      <w:pPr>
        <w:pStyle w:val="FirstParagraph"/>
        <w:spacing w:line="480" w:lineRule="auto"/>
        <w:ind w:firstLine="720"/>
        <w:jc w:val="both"/>
      </w:pPr>
      <w:r>
        <w:t xml:space="preserve">AI services excel at creating value in numerous ways, transforming business processes, generating novel insights, and enabling entirely new capabilities. AI can significantly enhance efficiency through automation, reduce human error, optimize resource allocation, and personalize customer experiences. For example, an AI-powered fraud detection system can save financial institutions millions by preventing fraudulent transactions, or an</w:t>
      </w:r>
      <w:r>
        <w:t xml:space="preserve"> </w:t>
      </w:r>
      <w:r>
        <w:t xml:space="preserve">“</w:t>
      </w:r>
      <w:r>
        <w:t xml:space="preserve">AI-driven predictive maintenance system can prevent costly equipment failures in manufacturing. The value generated often extends beyond direct cost savings to include enhanced decision-making, improved customer satisfaction, and the creation of new revenue streams. The concept of</w:t>
      </w:r>
      <w:r>
        <w:t xml:space="preserve">”</w:t>
      </w:r>
      <w:r>
        <w:t xml:space="preserve">value creation and value capture" is particularly relevant in the context of AI, as it explores how new economic value is generated by AI technologies and how different stakeholders (developers, users, society) appropriate that value (Lorente, 2025).</w:t>
      </w:r>
    </w:p>
    <w:p>
      <w:pPr>
        <w:pStyle w:val="BodyText"/>
        <w:spacing w:line="480" w:lineRule="auto"/>
        <w:ind w:firstLine="720"/>
        <w:jc w:val="both"/>
      </w:pPr>
      <w:r>
        <w:t xml:space="preserve">However, quantifying AI-driven value presents significant challenges. The benefits of AI can be intangible, long-term, or difficult to isolate from other factors. For instance, how does one precisely measure the value of an AI that improves customer engagement or fosters innovation? The</w:t>
      </w:r>
      <w:r>
        <w:t xml:space="preserve"> </w:t>
      </w:r>
      <w:r>
        <w:t xml:space="preserve">“</w:t>
      </w:r>
      <w:r>
        <w:t xml:space="preserve">black box</w:t>
      </w:r>
      <w:r>
        <w:t xml:space="preserve">”</w:t>
      </w:r>
      <w:r>
        <w:t xml:space="preserve"> </w:t>
      </w:r>
      <w:r>
        <w:t xml:space="preserve">nature of some advanced AI models can also make it difficult to attribute specific outcomes directly to the AI’s contribution, complicating value measurement. Furthermore, the value of AI can evolve over time as models improve, data accumulates, and user adoption grows. The Triple Helix Model, which examines the interactions between university, industry, and government, offers a framework for understanding how value is created and captured in AI ecosystems, emphasizing collaboration and knowledge transfer (Lorente, 2025). This model highlights the complex interplay of research, commercialization, and policy in shaping the economic value of AI.</w:t>
      </w:r>
    </w:p>
    <w:p>
      <w:pPr>
        <w:pStyle w:val="Heading3"/>
      </w:pPr>
      <w:bookmarkStart w:id="36" w:name="X7ac1faad1baade12ef30cb03c623e72e72c3079"/>
      <w:r>
        <w:t xml:space="preserve">Strategic Implementation of Value-Based Pricing for AI</w:t>
      </w:r>
      <w:bookmarkEnd w:id="36"/>
    </w:p>
    <w:p>
      <w:pPr>
        <w:pStyle w:val="FirstParagraph"/>
        <w:spacing w:line="480" w:lineRule="auto"/>
        <w:ind w:firstLine="720"/>
        <w:jc w:val="both"/>
      </w:pPr>
      <w:r>
        <w:t xml:space="preserve">Implementing value-based pricing for AI services requires a strategic approach focused on identifying and quantifying key value drivers. This begins with a deep dive into the customer’s business model and pain points. For an AI service, value drivers could include:</w:t>
      </w:r>
      <w:r>
        <w:t xml:space="preserve"> </w:t>
      </w:r>
      <w:r>
        <w:t xml:space="preserve">*</w:t>
      </w:r>
      <w:r>
        <w:t xml:space="preserve"> </w:t>
      </w:r>
      <w:r>
        <w:rPr>
          <w:b/>
        </w:rPr>
        <w:t xml:space="preserve">Accuracy:</w:t>
      </w:r>
      <w:r>
        <w:t xml:space="preserve"> </w:t>
      </w:r>
      <w:r>
        <w:t xml:space="preserve">For tasks like medical diagnosis or financial forecasting.</w:t>
      </w:r>
      <w:r>
        <w:t xml:space="preserve"> </w:t>
      </w:r>
      <w:r>
        <w:t xml:space="preserve">*</w:t>
      </w:r>
      <w:r>
        <w:t xml:space="preserve"> </w:t>
      </w:r>
      <w:r>
        <w:rPr>
          <w:b/>
        </w:rPr>
        <w:t xml:space="preserve">Speed:</w:t>
      </w:r>
      <w:r>
        <w:t xml:space="preserve"> </w:t>
      </w:r>
      <w:r>
        <w:t xml:space="preserve">For real-time decision-making or rapid content generation.</w:t>
      </w:r>
      <w:r>
        <w:t xml:space="preserve"> </w:t>
      </w:r>
      <w:r>
        <w:t xml:space="preserve">*</w:t>
      </w:r>
      <w:r>
        <w:t xml:space="preserve"> </w:t>
      </w:r>
      <w:r>
        <w:rPr>
          <w:b/>
        </w:rPr>
        <w:t xml:space="preserve">Customization:</w:t>
      </w:r>
      <w:r>
        <w:t xml:space="preserve"> </w:t>
      </w:r>
      <w:r>
        <w:t xml:space="preserve">The ability of the AI to adapt to specific user needs or data.</w:t>
      </w:r>
      <w:r>
        <w:t xml:space="preserve"> </w:t>
      </w:r>
      <w:r>
        <w:t xml:space="preserve">*</w:t>
      </w:r>
      <w:r>
        <w:t xml:space="preserve"> </w:t>
      </w:r>
      <w:r>
        <w:rPr>
          <w:b/>
        </w:rPr>
        <w:t xml:space="preserve">Scalability:</w:t>
      </w:r>
      <w:r>
        <w:t xml:space="preserve"> </w:t>
      </w:r>
      <w:r>
        <w:t xml:space="preserve">The AI’s capacity to handle increasing volumes of data or users.</w:t>
      </w:r>
      <w:r>
        <w:t xml:space="preserve"> </w:t>
      </w:r>
      <w:r>
        <w:t xml:space="preserve">*</w:t>
      </w:r>
      <w:r>
        <w:t xml:space="preserve"> </w:t>
      </w:r>
      <w:r>
        <w:rPr>
          <w:b/>
        </w:rPr>
        <w:t xml:space="preserve">Competitive Advantage:</w:t>
      </w:r>
      <w:r>
        <w:t xml:space="preserve"> </w:t>
      </w:r>
      <w:r>
        <w:t xml:space="preserve">The unique insights or capabilities the AI provides that differentiate a business.</w:t>
      </w:r>
    </w:p>
    <w:p>
      <w:pPr>
        <w:pStyle w:val="BodyText"/>
        <w:spacing w:line="480" w:lineRule="auto"/>
        <w:ind w:firstLine="720"/>
        <w:jc w:val="both"/>
      </w:pPr>
      <w:r>
        <w:t xml:space="preserve">Consider an AI service designed for fraud detection. Its value is directly proportional to the amount of fraud it prevents, which can be quantified in monetary terms. A cybersecurity AI agent that accurately detects phishing attempts (Trad &amp; Chehab, 2024) provides immense value by preventing data breaches and financial losses. In such cases, the pricing can be structured as a percentage of the savings generated or a fixed fee based on the projected value delivered. The practice of</w:t>
      </w:r>
      <w:r>
        <w:t xml:space="preserve"> </w:t>
      </w:r>
      <w:r>
        <w:t xml:space="preserve">“</w:t>
      </w:r>
      <w:r>
        <w:t xml:space="preserve">value selling</w:t>
      </w:r>
      <w:r>
        <w:t xml:space="preserve">”</w:t>
      </w:r>
      <w:r>
        <w:t xml:space="preserve"> </w:t>
      </w:r>
      <w:r>
        <w:t xml:space="preserve">(Maguire, 2021) becomes paramount, where sales teams focus on demonstrating the tangible return on investment (ROI) that the AI service provides, rather than merely listing its features. This often involves developing detailed business cases, ROI calculators, and pilot projects to showcase the AI’s impact. Dynamic pricing, particularly in specialized markets, can leverage AI itself to optimize pricing based on real-time value perception and demand (Bhuram, 2025).</w:t>
      </w:r>
    </w:p>
    <w:p>
      <w:pPr>
        <w:pStyle w:val="BodyText"/>
        <w:spacing w:line="480" w:lineRule="auto"/>
        <w:ind w:firstLine="720"/>
        <w:jc w:val="both"/>
      </w:pPr>
      <w:r>
        <w:t xml:space="preserve">The impact of human-like competencies on user experience (Fang &amp; Zhou, 2025) also plays a role in perceived value. AI systems that exhibit empathy, understanding, or natural conversational abilities may be perceived as more valuable, commanding higher prices, especially in customer-facing applications. This psychological aspect underscores that value is not purely rational but also influenced by user perception and interaction quality (Siddannavar et al., 2025).</w:t>
      </w:r>
    </w:p>
    <w:p>
      <w:pPr>
        <w:pStyle w:val="Heading3"/>
      </w:pPr>
      <w:bookmarkStart w:id="37" w:name="ethical-and-equity-considerations"/>
      <w:r>
        <w:t xml:space="preserve">Ethical and Equity Considerations</w:t>
      </w:r>
      <w:bookmarkEnd w:id="37"/>
    </w:p>
    <w:p>
      <w:pPr>
        <w:pStyle w:val="FirstParagraph"/>
        <w:spacing w:line="480" w:lineRule="auto"/>
        <w:ind w:firstLine="720"/>
        <w:jc w:val="both"/>
      </w:pPr>
      <w:r>
        <w:t xml:space="preserve">The application of value-based pricing to AI services raises significant ethical and equity concerns. If pricing is based on the maximum willingness to pay, it can lead to discriminatory pricing, where different customers pay vastly different prices for the same service based on their perceived ability to benefit or their financial capacity. This can exacerbate existing inequalities, limiting access to powerful AI tools for smaller businesses or individuals who could benefit most but cannot afford the premium price. The ethical considerations around transparency and fairness in digital platforms (Mirghaderi et al., 2023) are particularly acute in this context.</w:t>
      </w:r>
    </w:p>
    <w:p>
      <w:pPr>
        <w:pStyle w:val="BodyText"/>
        <w:spacing w:line="480" w:lineRule="auto"/>
        <w:ind w:firstLine="720"/>
        <w:jc w:val="both"/>
      </w:pPr>
      <w:r>
        <w:t xml:space="preserve">Ensuring fair value distribution is a critical challenge. While providers aim to capture a portion of the value they create, there must be mechanisms to prevent excessive pricing (Ayata, 2020) that could stifle innovation or create monopolies. This involves considering the societal impact of AI and ensuring that its benefits are broadly accessible. Furthermore, if AI models are trained on user data, the question of who owns the value derived from that data becomes complex. Users contribute to the AI’s improvement through their interactions, which in turn enhances the AI’s value proposition. Ethical frameworks must address these issues, balancing the commercial interests of AI providers with the rights and contributions of users. The psychological factors affecting customer lifetime value (Siddannavar et al., 2025) also tie into this, as perceptions of fairness and trust can significantly influence long-term customer relationships and market acceptance.</w:t>
      </w:r>
    </w:p>
    <w:p>
      <w:pPr>
        <w:pStyle w:val="Heading2"/>
        <w:pageBreakBefore/>
      </w:pPr>
      <w:bookmarkStart w:id="38" w:name="Xf096e95d0b70b4c47022c12d7eaf61a9d139b4d"/>
      <w:r>
        <w:t xml:space="preserve">Comparative Analysis of AI Pricing Models</w:t>
      </w:r>
      <w:bookmarkEnd w:id="38"/>
    </w:p>
    <w:p>
      <w:pPr>
        <w:pStyle w:val="FirstParagraph"/>
        <w:spacing w:line="480" w:lineRule="auto"/>
        <w:ind w:firstLine="720"/>
        <w:jc w:val="both"/>
      </w:pPr>
      <w:r>
        <w:t xml:space="preserve">The preceding sections have elaborated on token-based, usage-based, and value-based pricing models for AI services. While each model offers distinct advantages and caters to specific aspects of AI monetization, a comparative analysis reveals their inherent trade-offs, illuminates the emergence of hybrid strategies, and highlights their collective impact on market dynamics and future trends. Understanding these distinctions is crucial for both AI providers seeking sustainable revenue and consumers aiming for cost-effective AI adoption.</w:t>
      </w:r>
    </w:p>
    <w:p>
      <w:pPr>
        <w:pStyle w:val="BodyText"/>
        <w:spacing w:line="480" w:lineRule="auto"/>
        <w:ind w:firstLine="720"/>
        <w:jc w:val="both"/>
      </w:pPr>
      <w:r>
        <w:t xml:space="preserve">To provide a concise overview of the strengths, weaknesses, and key characteristics of the primary AI pricing paradigms, the following table summarizes their core attributes.</w:t>
      </w:r>
    </w:p>
    <w:p>
      <w:pPr>
        <w:pStyle w:val="BodyText"/>
        <w:spacing w:line="480" w:lineRule="auto"/>
        <w:ind w:firstLine="720"/>
        <w:jc w:val="both"/>
      </w:pPr>
      <w:r>
        <w:rPr>
          <w:b/>
        </w:rPr>
        <w:t xml:space="preserve">Table 1: Comparative Attributes of AI Pricing Models</w:t>
      </w:r>
    </w:p>
    <w:tbl>
      <w:tblPr>
        <w:tblStyle w:val="Table"/>
        <w:tblW w:type="pct" w:w="5000.0"/>
        <w:tblLook w:firstRow="1"/>
      </w:tblPr>
      <w:tblGrid>
        <w:gridCol w:w="1433"/>
        <w:gridCol w:w="2184"/>
        <w:gridCol w:w="2184"/>
        <w:gridCol w:w="2116"/>
      </w:tblGrid>
      <w:tr>
        <w:trPr>
          <w:cnfStyle w:firstRow="1"/>
        </w:trPr>
        <w:tc>
          <w:tcPr>
            <w:tcBorders>
              <w:bottom w:val="single"/>
            </w:tcBorders>
            <w:vAlign w:val="bottom"/>
          </w:tcPr>
          <w:p>
            <w:pPr>
              <w:pStyle w:val="Compact"/>
              <w:jc w:val="left"/>
            </w:pPr>
            <w:r>
              <w:t xml:space="preserve">Attribute</w:t>
            </w:r>
          </w:p>
        </w:tc>
        <w:tc>
          <w:tcPr>
            <w:tcBorders>
              <w:bottom w:val="single"/>
            </w:tcBorders>
            <w:vAlign w:val="bottom"/>
          </w:tcPr>
          <w:p>
            <w:pPr>
              <w:pStyle w:val="Compact"/>
              <w:jc w:val="left"/>
            </w:pPr>
            <w:r>
              <w:t xml:space="preserve">Token-Based Pricing</w:t>
            </w:r>
          </w:p>
        </w:tc>
        <w:tc>
          <w:tcPr>
            <w:tcBorders>
              <w:bottom w:val="single"/>
            </w:tcBorders>
            <w:vAlign w:val="bottom"/>
          </w:tcPr>
          <w:p>
            <w:pPr>
              <w:pStyle w:val="Compact"/>
              <w:jc w:val="left"/>
            </w:pPr>
            <w:r>
              <w:t xml:space="preserve">Usage-Based Pricing</w:t>
            </w:r>
          </w:p>
        </w:tc>
        <w:tc>
          <w:tcPr>
            <w:tcBorders>
              <w:bottom w:val="single"/>
            </w:tcBorders>
            <w:vAlign w:val="bottom"/>
          </w:tcPr>
          <w:p>
            <w:pPr>
              <w:pStyle w:val="Compact"/>
              <w:jc w:val="left"/>
            </w:pPr>
            <w:r>
              <w:t xml:space="preserve">Value-Based Pricing</w:t>
            </w:r>
          </w:p>
        </w:tc>
      </w:tr>
      <w:tr>
        <w:tc>
          <w:p>
            <w:pPr>
              <w:pStyle w:val="Compact"/>
              <w:jc w:val="left"/>
            </w:pPr>
            <w:r>
              <w:rPr>
                <w:b/>
              </w:rPr>
              <w:t xml:space="preserve">Primary Focus</w:t>
            </w:r>
          </w:p>
        </w:tc>
        <w:tc>
          <w:p>
            <w:pPr>
              <w:pStyle w:val="Compact"/>
              <w:jc w:val="left"/>
            </w:pPr>
            <w:r>
              <w:t xml:space="preserve">Computational Effort / Units</w:t>
            </w:r>
          </w:p>
        </w:tc>
        <w:tc>
          <w:p>
            <w:pPr>
              <w:pStyle w:val="Compact"/>
              <w:jc w:val="left"/>
            </w:pPr>
            <w:r>
              <w:t xml:space="preserve">Resource Consumption</w:t>
            </w:r>
          </w:p>
        </w:tc>
        <w:tc>
          <w:p>
            <w:pPr>
              <w:pStyle w:val="Compact"/>
              <w:jc w:val="left"/>
            </w:pPr>
            <w:r>
              <w:t xml:space="preserve">Customer Outcome / Benefits</w:t>
            </w:r>
          </w:p>
        </w:tc>
      </w:tr>
      <w:tr>
        <w:tc>
          <w:p>
            <w:pPr>
              <w:pStyle w:val="Compact"/>
              <w:jc w:val="left"/>
            </w:pPr>
            <w:r>
              <w:rPr>
                <w:b/>
              </w:rPr>
              <w:t xml:space="preserve">Key Metric(s)</w:t>
            </w:r>
          </w:p>
        </w:tc>
        <w:tc>
          <w:p>
            <w:pPr>
              <w:pStyle w:val="Compact"/>
              <w:jc w:val="left"/>
            </w:pPr>
            <w:r>
              <w:t xml:space="preserve">Tokens (input/output)</w:t>
            </w:r>
          </w:p>
        </w:tc>
        <w:tc>
          <w:p>
            <w:pPr>
              <w:pStyle w:val="Compact"/>
              <w:jc w:val="left"/>
            </w:pPr>
            <w:r>
              <w:t xml:space="preserve">API Calls, Data Volume, Compute</w:t>
            </w:r>
          </w:p>
        </w:tc>
        <w:tc>
          <w:p>
            <w:pPr>
              <w:pStyle w:val="Compact"/>
              <w:jc w:val="left"/>
            </w:pPr>
            <w:r>
              <w:t xml:space="preserve">ROI, Savings, Efficiency Gain</w:t>
            </w:r>
          </w:p>
        </w:tc>
      </w:tr>
      <w:tr>
        <w:tc>
          <w:p>
            <w:pPr>
              <w:pStyle w:val="Compact"/>
              <w:jc w:val="left"/>
            </w:pPr>
            <w:r>
              <w:rPr>
                <w:b/>
              </w:rPr>
              <w:t xml:space="preserve">Provider Benefit</w:t>
            </w:r>
          </w:p>
        </w:tc>
        <w:tc>
          <w:p>
            <w:pPr>
              <w:pStyle w:val="Compact"/>
              <w:jc w:val="left"/>
            </w:pPr>
            <w:r>
              <w:t xml:space="preserve">Granular Cost Alignment, Scalable</w:t>
            </w:r>
          </w:p>
        </w:tc>
        <w:tc>
          <w:p>
            <w:pPr>
              <w:pStyle w:val="Compact"/>
              <w:jc w:val="left"/>
            </w:pPr>
            <w:r>
              <w:t xml:space="preserve">Flexible Revenue, Low Entry Barrier</w:t>
            </w:r>
          </w:p>
        </w:tc>
        <w:tc>
          <w:p>
            <w:pPr>
              <w:pStyle w:val="Compact"/>
              <w:jc w:val="left"/>
            </w:pPr>
            <w:r>
              <w:t xml:space="preserve">High Profit Margins, Innovation</w:t>
            </w:r>
          </w:p>
        </w:tc>
      </w:tr>
      <w:tr>
        <w:tc>
          <w:p>
            <w:pPr>
              <w:pStyle w:val="Compact"/>
              <w:jc w:val="left"/>
            </w:pPr>
            <w:r>
              <w:rPr>
                <w:b/>
              </w:rPr>
              <w:t xml:space="preserve">User Benefit</w:t>
            </w:r>
          </w:p>
        </w:tc>
        <w:tc>
          <w:p>
            <w:pPr>
              <w:pStyle w:val="Compact"/>
              <w:jc w:val="left"/>
            </w:pPr>
            <w:r>
              <w:t xml:space="preserve">Pay-as-you-go (granular)</w:t>
            </w:r>
          </w:p>
        </w:tc>
        <w:tc>
          <w:p>
            <w:pPr>
              <w:pStyle w:val="Compact"/>
              <w:jc w:val="left"/>
            </w:pPr>
            <w:r>
              <w:t xml:space="preserve">Pay-as-you-go (flexible)</w:t>
            </w:r>
          </w:p>
        </w:tc>
        <w:tc>
          <w:p>
            <w:pPr>
              <w:pStyle w:val="Compact"/>
              <w:jc w:val="left"/>
            </w:pPr>
            <w:r>
              <w:t xml:space="preserve">Clear ROI, Aligned Incentives</w:t>
            </w:r>
          </w:p>
        </w:tc>
      </w:tr>
      <w:tr>
        <w:tc>
          <w:p>
            <w:pPr>
              <w:pStyle w:val="Compact"/>
              <w:jc w:val="left"/>
            </w:pPr>
            <w:r>
              <w:rPr>
                <w:b/>
              </w:rPr>
              <w:t xml:space="preserve">Main Challenge</w:t>
            </w:r>
          </w:p>
        </w:tc>
        <w:tc>
          <w:p>
            <w:pPr>
              <w:pStyle w:val="Compact"/>
              <w:jc w:val="left"/>
            </w:pPr>
            <w:r>
              <w:t xml:space="preserve">Opacity, Cost Predictability</w:t>
            </w:r>
          </w:p>
        </w:tc>
        <w:tc>
          <w:p>
            <w:pPr>
              <w:pStyle w:val="Compact"/>
              <w:jc w:val="left"/>
            </w:pPr>
            <w:r>
              <w:t xml:space="preserve">Cost Unpredictability, Complexity</w:t>
            </w:r>
          </w:p>
        </w:tc>
        <w:tc>
          <w:p>
            <w:pPr>
              <w:pStyle w:val="Compact"/>
              <w:jc w:val="left"/>
            </w:pPr>
            <w:r>
              <w:t xml:space="preserve">Value Quantification, Negotiation</w:t>
            </w:r>
          </w:p>
        </w:tc>
      </w:tr>
      <w:tr>
        <w:tc>
          <w:p>
            <w:pPr>
              <w:pStyle w:val="Compact"/>
              <w:jc w:val="left"/>
            </w:pPr>
            <w:r>
              <w:rPr>
                <w:b/>
              </w:rPr>
              <w:t xml:space="preserve">Ethical Concerns</w:t>
            </w:r>
          </w:p>
        </w:tc>
        <w:tc>
          <w:p>
            <w:pPr>
              <w:pStyle w:val="Compact"/>
              <w:jc w:val="left"/>
            </w:pPr>
            <w:r>
              <w:t xml:space="preserve">Hallucinations, Transparency</w:t>
            </w:r>
          </w:p>
        </w:tc>
        <w:tc>
          <w:p>
            <w:pPr>
              <w:pStyle w:val="Compact"/>
              <w:jc w:val="left"/>
            </w:pPr>
            <w:r>
              <w:t xml:space="preserve">Vendor Lock-in, Billing Opacity</w:t>
            </w:r>
          </w:p>
        </w:tc>
        <w:tc>
          <w:p>
            <w:pPr>
              <w:pStyle w:val="Compact"/>
              <w:jc w:val="left"/>
            </w:pPr>
            <w:r>
              <w:t xml:space="preserve">Discrimination, Accessibility</w:t>
            </w:r>
          </w:p>
        </w:tc>
      </w:tr>
      <w:tr>
        <w:tc>
          <w:p>
            <w:pPr>
              <w:pStyle w:val="Compact"/>
              <w:jc w:val="left"/>
            </w:pPr>
            <w:r>
              <w:rPr>
                <w:b/>
              </w:rPr>
              <w:t xml:space="preserve">Typical Use Case</w:t>
            </w:r>
          </w:p>
        </w:tc>
        <w:tc>
          <w:p>
            <w:pPr>
              <w:pStyle w:val="Compact"/>
              <w:jc w:val="left"/>
            </w:pPr>
            <w:r>
              <w:t xml:space="preserve">Generative LLMs (e.g., GPT, Claude)</w:t>
            </w:r>
          </w:p>
        </w:tc>
        <w:tc>
          <w:p>
            <w:pPr>
              <w:pStyle w:val="Compact"/>
              <w:jc w:val="left"/>
            </w:pPr>
            <w:r>
              <w:t xml:space="preserve">Cloud AI Services (e.g., Rekognition)</w:t>
            </w:r>
          </w:p>
        </w:tc>
        <w:tc>
          <w:p>
            <w:pPr>
              <w:pStyle w:val="Compact"/>
              <w:jc w:val="left"/>
            </w:pPr>
            <w:r>
              <w:t xml:space="preserve">Specialized Enterprise AI Solutions</w:t>
            </w:r>
          </w:p>
        </w:tc>
      </w:tr>
    </w:tbl>
    <w:p>
      <w:pPr>
        <w:pStyle w:val="BodyText"/>
        <w:spacing w:line="480" w:lineRule="auto"/>
        <w:ind w:firstLine="720"/>
        <w:jc w:val="both"/>
      </w:pPr>
      <w:r>
        <w:rPr>
          <w:i/>
        </w:rPr>
        <w:t xml:space="preserve">Note: This table provides a simplified overview. Many real-world implementations involve hybrid approaches that combine elements from these core models.</w:t>
      </w:r>
    </w:p>
    <w:p>
      <w:pPr>
        <w:pStyle w:val="Heading3"/>
      </w:pPr>
      <w:bookmarkStart w:id="39" w:name="strengths-and-weaknesses-of-each-model"/>
      <w:r>
        <w:t xml:space="preserve">Strengths and Weaknesses of Each Model</w:t>
      </w:r>
      <w:bookmarkEnd w:id="39"/>
    </w:p>
    <w:p>
      <w:pPr>
        <w:pStyle w:val="FirstParagraph"/>
        <w:spacing w:line="480" w:lineRule="auto"/>
        <w:ind w:firstLine="720"/>
        <w:jc w:val="both"/>
      </w:pPr>
      <w:r>
        <w:rPr>
          <w:b/>
        </w:rPr>
        <w:t xml:space="preserve">Token-Based Pricing:</w:t>
      </w:r>
      <w:r>
        <w:t xml:space="preserve"> </w:t>
      </w:r>
      <w:r>
        <w:t xml:space="preserve">*</w:t>
      </w:r>
      <w:r>
        <w:t xml:space="preserve"> </w:t>
      </w:r>
      <w:r>
        <w:rPr>
          <w:b/>
        </w:rPr>
        <w:t xml:space="preserve">Strengths:</w:t>
      </w:r>
      <w:r>
        <w:t xml:space="preserve"> </w:t>
      </w:r>
      <w:r>
        <w:t xml:space="preserve">Highly granular, directly links cost to computational resources, predictable for providers, scalable for generative AI. It offers a clear, albeit sometimes opaque, unit of consumption for LLMs, allowing for fine-grained control over model usage and resource allocation.</w:t>
      </w:r>
      <w:r>
        <w:t xml:space="preserve"> </w:t>
      </w:r>
      <w:r>
        <w:t xml:space="preserve">*</w:t>
      </w:r>
      <w:r>
        <w:t xml:space="preserve"> </w:t>
      </w:r>
      <w:r>
        <w:rPr>
          <w:b/>
        </w:rPr>
        <w:t xml:space="preserve">Weaknesses:</w:t>
      </w:r>
      <w:r>
        <w:t xml:space="preserve"> </w:t>
      </w:r>
      <w:r>
        <w:t xml:space="preserve">Opacity for users (difficulty in estimating costs), potential for</w:t>
      </w:r>
      <w:r>
        <w:t xml:space="preserve"> </w:t>
      </w:r>
      <w:r>
        <w:t xml:space="preserve">“</w:t>
      </w:r>
      <w:r>
        <w:t xml:space="preserve">token inflation,</w:t>
      </w:r>
      <w:r>
        <w:t xml:space="preserve">”</w:t>
      </w:r>
      <w:r>
        <w:t xml:space="preserve"> </w:t>
      </w:r>
      <w:r>
        <w:t xml:space="preserve">ethical concerns regarding charging for erroneous outputs (hallucinations), and lack of direct correlation with the actual</w:t>
      </w:r>
      <w:r>
        <w:t xml:space="preserve"> </w:t>
      </w:r>
      <w:r>
        <w:rPr>
          <w:i/>
        </w:rPr>
        <w:t xml:space="preserve">value</w:t>
      </w:r>
      <w:r>
        <w:t xml:space="preserve"> </w:t>
      </w:r>
      <w:r>
        <w:t xml:space="preserve">delivered to the user. The focus is on</w:t>
      </w:r>
      <w:r>
        <w:t xml:space="preserve"> </w:t>
      </w:r>
      <w:r>
        <w:rPr>
          <w:i/>
        </w:rPr>
        <w:t xml:space="preserve">process</w:t>
      </w:r>
      <w:r>
        <w:t xml:space="preserve"> </w:t>
      </w:r>
      <w:r>
        <w:t xml:space="preserve">rather than</w:t>
      </w:r>
      <w:r>
        <w:t xml:space="preserve"> </w:t>
      </w:r>
      <w:r>
        <w:rPr>
          <w:i/>
        </w:rPr>
        <w:t xml:space="preserve">outcome</w:t>
      </w:r>
      <w:r>
        <w:t xml:space="preserve">.</w:t>
      </w:r>
    </w:p>
    <w:p>
      <w:pPr>
        <w:pStyle w:val="BodyText"/>
        <w:spacing w:line="480" w:lineRule="auto"/>
        <w:ind w:firstLine="720"/>
        <w:jc w:val="both"/>
      </w:pPr>
      <w:r>
        <w:rPr>
          <w:b/>
        </w:rPr>
        <w:t xml:space="preserve">Usage-Based Pricing:</w:t>
      </w:r>
      <w:r>
        <w:t xml:space="preserve"> </w:t>
      </w:r>
      <w:r>
        <w:t xml:space="preserve">*</w:t>
      </w:r>
      <w:r>
        <w:t xml:space="preserve"> </w:t>
      </w:r>
      <w:r>
        <w:rPr>
          <w:b/>
        </w:rPr>
        <w:t xml:space="preserve">Strengths:</w:t>
      </w:r>
      <w:r>
        <w:t xml:space="preserve"> </w:t>
      </w:r>
      <w:r>
        <w:t xml:space="preserve">Flexibility for users (pay-as-you-go), lower entry barriers, cost optimization for variable workloads, encourages experimentation. It aligns costs with actual consumption metrics like API calls, data volume, or compute time, which are more intuitive for many cloud-based AI services than abstract tokens.</w:t>
      </w:r>
      <w:r>
        <w:t xml:space="preserve"> </w:t>
      </w:r>
      <w:r>
        <w:t xml:space="preserve">*</w:t>
      </w:r>
      <w:r>
        <w:t xml:space="preserve"> </w:t>
      </w:r>
      <w:r>
        <w:rPr>
          <w:b/>
        </w:rPr>
        <w:t xml:space="preserve">Weaknesses:</w:t>
      </w:r>
      <w:r>
        <w:t xml:space="preserve"> </w:t>
      </w:r>
      <w:r>
        <w:t xml:space="preserve">Cost unpredictability for users, complex billing structures, potential for vendor lock-in, and still primarily focused on</w:t>
      </w:r>
      <w:r>
        <w:t xml:space="preserve"> </w:t>
      </w:r>
      <w:r>
        <w:rPr>
          <w:i/>
        </w:rPr>
        <w:t xml:space="preserve">consumption</w:t>
      </w:r>
      <w:r>
        <w:t xml:space="preserve"> </w:t>
      </w:r>
      <w:r>
        <w:t xml:space="preserve">rather than</w:t>
      </w:r>
      <w:r>
        <w:t xml:space="preserve"> </w:t>
      </w:r>
      <w:r>
        <w:rPr>
          <w:i/>
        </w:rPr>
        <w:t xml:space="preserve">value</w:t>
      </w:r>
      <w:r>
        <w:t xml:space="preserve">. While better than tokens for some services, it still doesn’t inherently account for the disparate value different users derive from the same unit of usage.</w:t>
      </w:r>
    </w:p>
    <w:p>
      <w:pPr>
        <w:pStyle w:val="BodyText"/>
        <w:spacing w:line="480" w:lineRule="auto"/>
        <w:ind w:firstLine="720"/>
        <w:jc w:val="both"/>
      </w:pPr>
      <w:r>
        <w:rPr>
          <w:b/>
        </w:rPr>
        <w:t xml:space="preserve">Value-Based Pricing:</w:t>
      </w:r>
      <w:r>
        <w:t xml:space="preserve"> </w:t>
      </w:r>
      <w:r>
        <w:t xml:space="preserve">*</w:t>
      </w:r>
      <w:r>
        <w:t xml:space="preserve"> </w:t>
      </w:r>
      <w:r>
        <w:rPr>
          <w:b/>
        </w:rPr>
        <w:t xml:space="preserve">Strengths:</w:t>
      </w:r>
      <w:r>
        <w:t xml:space="preserve"> </w:t>
      </w:r>
      <w:r>
        <w:t xml:space="preserve">Customer-centric, aligns pricing with the actual economic benefits derived, potential for higher profit margins by capturing a share of the value created, encourages providers to focus on delivering measurable outcomes. It moves beyond operational costs to focus on the</w:t>
      </w:r>
      <w:r>
        <w:t xml:space="preserve"> </w:t>
      </w:r>
      <w:r>
        <w:rPr>
          <w:i/>
        </w:rPr>
        <w:t xml:space="preserve">impact</w:t>
      </w:r>
      <w:r>
        <w:t xml:space="preserve"> </w:t>
      </w:r>
      <w:r>
        <w:t xml:space="preserve">of the AI.</w:t>
      </w:r>
      <w:r>
        <w:t xml:space="preserve"> </w:t>
      </w:r>
      <w:r>
        <w:t xml:space="preserve">*</w:t>
      </w:r>
      <w:r>
        <w:t xml:space="preserve"> </w:t>
      </w:r>
      <w:r>
        <w:rPr>
          <w:b/>
        </w:rPr>
        <w:t xml:space="preserve">Weaknesses:</w:t>
      </w:r>
      <w:r>
        <w:t xml:space="preserve"> </w:t>
      </w:r>
      <w:r>
        <w:t xml:space="preserve">Difficulty in quantifying and communicating value, challenges in customer segmentation and willingness-to-pay assessment, potential for discriminatory pricing, and requires deep understanding of customer’s business. It is the most aspirational but also the most complex to implement consistently and fairly across a broad user base.</w:t>
      </w:r>
    </w:p>
    <w:p>
      <w:pPr>
        <w:pStyle w:val="BodyText"/>
        <w:spacing w:line="480" w:lineRule="auto"/>
        <w:ind w:firstLine="720"/>
        <w:jc w:val="both"/>
      </w:pPr>
      <w:r>
        <w:t xml:space="preserve">The choice of model often depends on the specific AI service, its target market, and the maturity of the technology. Generative AI, with its distinct processing units, naturally gravitated towards tokens. Cloud AI services, building on existing cloud billing paradigms, adopted usage-based metrics. Value-based pricing remains the ideal for highly specialized, high-impact AI solutions where ROI can be clearly demonstrated.</w:t>
      </w:r>
    </w:p>
    <w:p>
      <w:pPr>
        <w:pStyle w:val="Heading3"/>
      </w:pPr>
      <w:bookmarkStart w:id="40" w:name="hybrid-pricing-strategies"/>
      <w:r>
        <w:t xml:space="preserve">Hybrid Pricing Strategies</w:t>
      </w:r>
      <w:bookmarkEnd w:id="40"/>
    </w:p>
    <w:p>
      <w:pPr>
        <w:pStyle w:val="FirstParagraph"/>
        <w:spacing w:line="480" w:lineRule="auto"/>
        <w:ind w:firstLine="720"/>
        <w:jc w:val="both"/>
      </w:pPr>
      <w:r>
        <w:t xml:space="preserve">Recognizing the limitations of pure pricing models, many AI providers are increasingly adopting hybrid strategies that combine elements from two or more approaches. These hybrid models aim to leverage the strengths of each while mitigating their weaknesses, offering a more balanced and appealing proposition to customers.</w:t>
      </w:r>
    </w:p>
    <w:p>
      <w:pPr>
        <w:pStyle w:val="BodyText"/>
        <w:spacing w:line="480" w:lineRule="auto"/>
        <w:ind w:firstLine="720"/>
        <w:jc w:val="both"/>
      </w:pPr>
      <w:r>
        <w:t xml:space="preserve">A common hybrid approach combines a base subscription fee with usage-based or token-based tiers. For instance, an AI platform might offer a fixed monthly fee for a certain volume of API calls or tokens, with additional usage billed at a per-unit rate. This provides users with a predictable baseline cost while allowing for scalability during peak demand. The freemium model (Seufert, 2014), where basic AI functionalities are offered for free to attract a large user base, with advanced features or higher usage limits requiring a paid subscription, is another popular hybrid strategy. This allows users to experience the value of the AI before committing financially, converting free users into paying customers once they recognize the benefits. Analytics capabilities are crucial for optimizing these freemium models, identifying conversion points and understanding user behavior (Seufert, 2014).</w:t>
      </w:r>
    </w:p>
    <w:p>
      <w:pPr>
        <w:pStyle w:val="BodyText"/>
        <w:spacing w:line="480" w:lineRule="auto"/>
        <w:ind w:firstLine="720"/>
        <w:jc w:val="both"/>
      </w:pPr>
      <w:r>
        <w:t xml:space="preserve">Dynamic pricing, often powered by AI itself, represents a sophisticated hybrid strategy. In sectors like automotive aftermarkets, edge-cloud AI can enable real-time price adjustments based on demand, supply, competitor pricing, and even individual customer profiles (Bhuram, 2025). This allows providers to optimize revenue and market penetration by dynamically reflecting perceived value and market conditions. Similarly, AI agents in economic research (Korinek, 2025) can be deployed to analyze market data and recommend optimal pricing strategies, blurring the lines between AI as a service and AI as a pricing mechanism. The strategic analysis of product selling versus pay-per-use services (Ladas et al., 2019) also informs hybrid models, where providers might offer both perpetual licenses for on-premise AI software and pay-as-you-go cloud services, catering to different customer preferences and operational requirements.</w:t>
      </w:r>
    </w:p>
    <w:p>
      <w:pPr>
        <w:pStyle w:val="Heading3"/>
      </w:pPr>
      <w:bookmarkStart w:id="41" w:name="X344a7073e7a979317b6ff50e4ed7a71c80141c9"/>
      <w:r>
        <w:t xml:space="preserve">Impact on Market Dynamics and Competition</w:t>
      </w:r>
      <w:bookmarkEnd w:id="41"/>
    </w:p>
    <w:p>
      <w:pPr>
        <w:pStyle w:val="FirstParagraph"/>
        <w:spacing w:line="480" w:lineRule="auto"/>
        <w:ind w:firstLine="720"/>
        <w:jc w:val="both"/>
      </w:pPr>
      <w:r>
        <w:t xml:space="preserve">The chosen pricing model significantly influences market dynamics, competition, and innovation within the AI industry. Usage-based and token-based models, with their low entry barriers, can foster rapid adoption and innovation by allowing startups and individual developers to experiment with powerful AI tools without substantial upfront investment. This democratizes access to AI, potentially leading to a proliferation of new AI-powered applications. However, the complexity of managing costs and the potential for vendor lock-in can create disadvantages for smaller players if they become too reliant on a single provider’s ecosystem.</w:t>
      </w:r>
    </w:p>
    <w:p>
      <w:pPr>
        <w:pStyle w:val="BodyText"/>
        <w:spacing w:line="480" w:lineRule="auto"/>
        <w:ind w:firstLine="720"/>
        <w:jc w:val="both"/>
      </w:pPr>
      <w:r>
        <w:t xml:space="preserve">Value-based pricing, while potentially lucrative for providers, can create higher barriers to entry for customers, especially if the perceived value is translated into a premium price. This could lead to a market where advanced, high-value AI is only accessible to well-resourced enterprises, potentially exacerbating the digital divide. The competitive landscape is also shaped by pricing transparency and fairness. Issues of ethics and transparency (Mirghaderi et al., 2023), as well as concerns about excessive pricing (Ayata, 2020), highlight the need for regulatory frameworks that ensure fair competition and prevent monopolistic practices. The adoption of new technologies, including AI, and their associated pricing strategies, as observed in industries like US airlines (Divakaruni &amp; Navarro, 2024), demonstrates how pricing can influence market structure and consumer choice.</w:t>
      </w:r>
    </w:p>
    <w:p>
      <w:pPr>
        <w:pStyle w:val="BodyText"/>
        <w:spacing w:line="480" w:lineRule="auto"/>
        <w:ind w:firstLine="720"/>
        <w:jc w:val="both"/>
      </w:pPr>
      <w:r>
        <w:t xml:space="preserve">The ongoing evolution of AI technology, particularly the development of large multimodal agents (Trad &amp; Chehab, 2024) for diverse applications like phishing detection, further complicates pricing. These agents, capable of processing various data types, may require new, composite pricing metrics that account for multimodal processing costs and the integrated value they deliver. The continuous innovation in AI necessitates flexible and adaptive pricing models that can evolve with the technology.</w:t>
      </w:r>
    </w:p>
    <w:p>
      <w:pPr>
        <w:pStyle w:val="Heading3"/>
      </w:pPr>
      <w:bookmarkStart w:id="42" w:name="future-trends-and-unresolved-challenges"/>
      <w:r>
        <w:t xml:space="preserve">Future Trends and Unresolved Challenges</w:t>
      </w:r>
      <w:bookmarkEnd w:id="42"/>
    </w:p>
    <w:p>
      <w:pPr>
        <w:pStyle w:val="FirstParagraph"/>
        <w:spacing w:line="480" w:lineRule="auto"/>
        <w:ind w:firstLine="720"/>
        <w:jc w:val="both"/>
      </w:pPr>
      <w:r>
        <w:t xml:space="preserve">The landscape of AI pricing is dynamic and continues to evolve, presenting several future trends and unresolved challenges. One significant trend is the increasing sophistication of AI-powered pricing optimization, where predictive analytics and machine learning are used to dynamically set and adjust prices based on real-time market conditions, demand forecasts, and customer behavior (Niharika et al., 2024)(Bhuram, 2025). This self-optimizing pricing could lead to more efficient markets but also raises concerns about algorithmic fairness and potential for manipulation.</w:t>
      </w:r>
    </w:p>
    <w:p>
      <w:pPr>
        <w:pStyle w:val="BodyText"/>
        <w:spacing w:line="480" w:lineRule="auto"/>
        <w:ind w:firstLine="720"/>
        <w:jc w:val="both"/>
      </w:pPr>
      <w:r>
        <w:t xml:space="preserve">The ethical dimensions of AI pricing remain a critical challenge. Ensuring transparency in how AI services are priced, particularly for black-box models, and preventing discriminatory pricing based on user data or characteristics, are paramount for maintaining public trust and ensuring equitable access to AI (Mirghaderi et al., 2023). The discussion around</w:t>
      </w:r>
      <w:r>
        <w:t xml:space="preserve"> </w:t>
      </w:r>
      <w:r>
        <w:t xml:space="preserve">“</w:t>
      </w:r>
      <w:r>
        <w:t xml:space="preserve">green AI</w:t>
      </w:r>
      <w:r>
        <w:t xml:space="preserve">”</w:t>
      </w:r>
      <w:r>
        <w:t xml:space="preserve"> </w:t>
      </w:r>
      <w:r>
        <w:t xml:space="preserve">(Kshirsagar et al., 2021) suggests that future pricing models may need to incorporate environmental costs associated with the enormous energy consumption of training and running large AI models, adding another layer of complexity.</w:t>
      </w:r>
    </w:p>
    <w:p>
      <w:pPr>
        <w:pStyle w:val="BodyText"/>
        <w:spacing w:line="480" w:lineRule="auto"/>
        <w:ind w:firstLine="720"/>
        <w:jc w:val="both"/>
      </w:pPr>
      <w:r>
        <w:t xml:space="preserve">Furthermore, the psychological factors influencing customer lifetime value (Siddannavar et al., 2025) will likely play a greater role in pricing strategies. Understanding how customers perceive value, trust, and fairness will be crucial for developing pricing models that foster long-term relationships rather than just maximizing short-term revenue. The impact of human-like competencies on user experience (Fang &amp; Zhou, 2025) also hints at a future where the emotional and relational value of AI might be factored into its price.</w:t>
      </w:r>
    </w:p>
    <w:p>
      <w:pPr>
        <w:pStyle w:val="BodyText"/>
        <w:spacing w:line="480" w:lineRule="auto"/>
        <w:ind w:firstLine="720"/>
        <w:jc w:val="both"/>
      </w:pPr>
      <w:r>
        <w:t xml:space="preserve">Finally, a persistent challenge lies in developing truly robust and universally applicable value-based pricing models for AI. The difficulty in consistently quantifying the heterogeneous value delivered by AI across diverse applications and user segments means that cost- or usage-based proxies will likely remain prevalent. Bridging this gap requires further research into value measurement methodologies, robust frameworks for ethical AI governance, and a deeper understanding of the economic impact of AI beyond immediate transactional costs.</w:t>
      </w:r>
    </w:p>
    <w:p>
      <w:pPr>
        <w:pStyle w:val="Heading2"/>
        <w:pageBreakBefore/>
      </w:pPr>
      <w:bookmarkStart w:id="43" w:name="conclusion"/>
      <w:r>
        <w:t xml:space="preserve">Conclusion</w:t>
      </w:r>
      <w:bookmarkEnd w:id="43"/>
    </w:p>
    <w:p>
      <w:pPr>
        <w:pStyle w:val="FirstParagraph"/>
        <w:spacing w:line="480" w:lineRule="auto"/>
        <w:ind w:firstLine="720"/>
        <w:jc w:val="both"/>
      </w:pPr>
      <w:r>
        <w:t xml:space="preserve">This literature review has systematically examined the dominant economic and pricing models currently employed for AI services and digital platforms, categorizing them into token-based, usage-based, and value-based paradigms. The analysis reveals a complex and evolving landscape, driven by both technological advancements in AI and the dynamic demands of the market. Token-based pricing, exemplified by generative AI giants like OpenAI and Anthropic, offers granular control over computational costs but often presents opacity and ethical dilemmas for users. Usage-based models, prevalent in cloud AI services from AWS, Azure, and Google Cloud, provide flexibility and scalability, lowering entry barriers but introducing cost unpredictability and potential vendor lock-in. Value-based pricing, while theoretically ideal for capturing the true economic impact of AI, faces significant practical challenges in quantifying and consistently communicating the heterogeneous value delivered to diverse customers.</w:t>
      </w:r>
    </w:p>
    <w:p>
      <w:pPr>
        <w:pStyle w:val="BodyText"/>
        <w:spacing w:line="480" w:lineRule="auto"/>
        <w:ind w:firstLine="720"/>
        <w:jc w:val="both"/>
      </w:pPr>
      <w:r>
        <w:t xml:space="preserve">The review highlights a clear trend towards hybrid pricing strategies, which seek to combine the strengths of these individual models, often incorporating freemium structures, dynamic pricing, and AI-powered optimization to balance predictability, flexibility, and value capture. However, the overarching discourse consistently points to critical unresolved challenges, particularly concerning ethical considerations, transparency, and the equitable distribution of AI’s benefits. Issues of potential market abuse, discriminatory pricing, and the need for robust auditing mechanisms remain central to ongoing academic and policy discussions (Mirghaderi et al., 2023)(Ayata, 2020)(Kaaniche &amp; Laurent, 2018).</w:t>
      </w:r>
    </w:p>
    <w:p>
      <w:pPr>
        <w:pStyle w:val="BodyText"/>
        <w:spacing w:line="480" w:lineRule="auto"/>
        <w:ind w:firstLine="720"/>
        <w:jc w:val="both"/>
      </w:pPr>
      <w:r>
        <w:t xml:space="preserve">Despite the extensive body of literature on various pricing models and the economic implications of AI, a significant gap persists in the development of comprehensive, ethically sound, and universally applicable frameworks for AI monetization that can seamlessly integrate cost recovery, value capture, and societal impact. Current models often prioritize one aspect over others, leading to trade-offs that can affect market accessibility, fairness, and long-term sustainability. There is a pressing need for further research that explores how to effectively quantify the multi-faceted value of AI, including its intangible and long-term benefits, while simultaneously embedding ethical principles into the very design of pricing mechanisms. Furthermore, the role of AI itself in optimizing and potentially disrupting traditional pricing models, as suggested by the emergence of AI agents in economic research (Korinek, 2025) and dynamic pricing in specific sectors (Bhuram, 2025), warrants deeper investigation. This study aims to contribute to this critical discourse by proposing a novel framework that addresses these identified gaps, offering a more holistic and balanced approach to valuing and pricing AI services in an increasingly AI-driven economy.</w:t>
      </w:r>
    </w:p>
    <w:p>
      <w:pPr>
        <w:pStyle w:val="Heading1"/>
      </w:pPr>
      <w:bookmarkStart w:id="44" w:name="methodology"/>
      <w:r>
        <w:t xml:space="preserve">Methodology</w:t>
      </w:r>
      <w:bookmarkEnd w:id="44"/>
    </w:p>
    <w:p>
      <w:pPr>
        <w:pStyle w:val="FirstParagraph"/>
        <w:spacing w:line="480" w:lineRule="auto"/>
        <w:ind w:firstLine="720"/>
        <w:jc w:val="both"/>
      </w:pPr>
      <w:r>
        <w:t xml:space="preserve">The methodological approach adopted in this study is designed to systematically analyze and compare the diverse pricing models currently employed for artificial intelligence (AI) services. Given the nascent and rapidly evolving nature of the AI market, a robust framework is essential to navigate the complexities arising from technological innovation, economic principles, and ethical considerations (Mirghaderi et al., 2023)(Lorente, 2025). This research primarily employs a qualitative, comparative analysis method, underpinned by a custom-designed analytical framework. This framework facilitates a structured evaluation of various AI pricing strategies, ensuring comprehensive coverage of their economic, technological, and ethical dimensions. The objective is not merely to describe existing models but to critically assess their underlying rationales, implications, and alignment with principles of fairness, sustainability, and market efficiency. The selection of case studies is guided by specific criteria to ensure representativeness and relevance, allowing for a deep dive into prominent and illustrative examples within the AI ecosystem. Finally, the analytical approach details the systematic process of data extraction, individual case assessment, cross-case synthesis, and the identification of gaps and opportunities, thereby ensuring the rigor and validity of the findings. This section delineates the construction of the comparative framework, the criteria for selecting pertinent case studies, and the systematic process by which these models will be analyzed to achieve the study’s objectives.</w:t>
      </w:r>
    </w:p>
    <w:p>
      <w:pPr>
        <w:pStyle w:val="Heading2"/>
      </w:pPr>
      <w:bookmarkStart w:id="45" w:name="X1ac303f795edc0afb33f22b5f3bb53cc0d0b967"/>
      <w:r>
        <w:rPr>
          <w:b/>
        </w:rPr>
        <w:t xml:space="preserve">Framework for Comparing AI Pricing Models</w:t>
      </w:r>
      <w:bookmarkEnd w:id="45"/>
    </w:p>
    <w:p>
      <w:pPr>
        <w:pStyle w:val="FirstParagraph"/>
        <w:spacing w:line="480" w:lineRule="auto"/>
        <w:ind w:firstLine="720"/>
        <w:jc w:val="both"/>
      </w:pPr>
      <w:r>
        <w:t xml:space="preserve">The development of a comprehensive framework is paramount for a structured and nuanced comparison of AI pricing models. Traditional pricing frameworks, while foundational, often fall short in capturing the unique characteristics and externalities associated with AI technologies, such as their inherent computational intensity, continuous learning capabilities, and profound ethical implications (Kshirsagar et al., 2021)(Mirghaderi et al., 2023). Therefore, this study constructs a multi-dimensional analytical framework that integrates established economic theories with specific technological, ethical, and market considerations pertinent to AI. This framework serves as a standardized lens through which different AI pricing models can be systematically evaluated, ensuring consistency and comparability across diverse offerings. The framework is structured around four primary dimensions: Economic Principles, Technological Considerations, Ethical and Societal Factors, and Market Dynamics and Strategic Considerations. Each dimension encompasses several sub-criteria, designed to provide a granular understanding of how pricing decisions are formulated and their broader impacts.</w:t>
      </w:r>
    </w:p>
    <w:p>
      <w:pPr>
        <w:pStyle w:val="BodyText"/>
        <w:spacing w:line="480" w:lineRule="auto"/>
        <w:ind w:firstLine="720"/>
        <w:jc w:val="both"/>
      </w:pPr>
      <w:r>
        <w:t xml:space="preserve">The visual representation below illustrates the interconnected nature of these four core dimensions, highlighting how each influences and is influenced by the others in the holistic evaluation of AI pricing models.</w:t>
      </w:r>
    </w:p>
    <w:p>
      <w:pPr>
        <w:pStyle w:val="BodyText"/>
        <w:spacing w:line="480" w:lineRule="auto"/>
        <w:ind w:firstLine="720"/>
        <w:jc w:val="both"/>
      </w:pPr>
      <w:r>
        <w:rPr>
          <w:b/>
        </w:rPr>
        <w:t xml:space="preserve">Figure 1: Multi-Dimensional Framework for AI Pricing Analysis</w:t>
      </w:r>
    </w:p>
    <w:p>
      <w:pPr>
        <w:pStyle w:val="SourceCode"/>
      </w:pPr>
      <w:r>
        <w:rPr>
          <w:rStyle w:val="VerbatimChar"/>
        </w:rPr>
        <w:t xml:space="preserve">+-------------------------------------------------+</w:t>
      </w:r>
      <w:r>
        <w:br/>
      </w:r>
      <w:r>
        <w:rPr>
          <w:rStyle w:val="VerbatimChar"/>
        </w:rPr>
        <w:t xml:space="preserve">| AI PRICING MODEL |</w:t>
      </w:r>
      <w:r>
        <w:br/>
      </w:r>
      <w:r>
        <w:rPr>
          <w:rStyle w:val="VerbatimChar"/>
        </w:rPr>
        <w:t xml:space="preserve">+-------------------------------------------------+</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Economic Principles |&lt;-----------&gt;| Tech. Considerations |</w:t>
      </w:r>
      <w:r>
        <w:br/>
      </w:r>
      <w:r>
        <w:rPr>
          <w:rStyle w:val="VerbatimChar"/>
        </w:rPr>
        <w:t xml:space="preserve">| - Cost-Plus |  | - Resource Use |</w:t>
      </w:r>
      <w:r>
        <w:br/>
      </w:r>
      <w:r>
        <w:rPr>
          <w:rStyle w:val="VerbatimChar"/>
        </w:rPr>
        <w:t xml:space="preserve">| - Value-Based |  | - Model Complexity |</w:t>
      </w:r>
      <w:r>
        <w:br/>
      </w:r>
      <w:r>
        <w:rPr>
          <w:rStyle w:val="VerbatimChar"/>
        </w:rPr>
        <w:t xml:space="preserve">| - Dynamic/Usage |  | - API Design |</w:t>
      </w:r>
      <w:r>
        <w:br/>
      </w:r>
      <w:r>
        <w:rPr>
          <w:rStyle w:val="VerbatimChar"/>
        </w:rPr>
        <w:t xml:space="preserve">| - Sub/Freemium |  | - Data Handling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Ethical &amp; Societal |&lt;-----------&gt;| Market Dynamics |</w:t>
      </w:r>
      <w:r>
        <w:br/>
      </w:r>
      <w:r>
        <w:rPr>
          <w:rStyle w:val="VerbatimChar"/>
        </w:rPr>
        <w:t xml:space="preserve">| - Transparency |  | - Competition |</w:t>
      </w:r>
      <w:r>
        <w:br/>
      </w:r>
      <w:r>
        <w:rPr>
          <w:rStyle w:val="VerbatimChar"/>
        </w:rPr>
        <w:t xml:space="preserve">| - Fairness/Bias |  | - Customer CLV |</w:t>
      </w:r>
      <w:r>
        <w:br/>
      </w:r>
      <w:r>
        <w:rPr>
          <w:rStyle w:val="VerbatimChar"/>
        </w:rPr>
        <w:t xml:space="preserve">| - Environmental |  | - Value Creation/Capture |</w:t>
      </w:r>
      <w:r>
        <w:br/>
      </w:r>
      <w:r>
        <w:rPr>
          <w:rStyle w:val="VerbatimChar"/>
        </w:rPr>
        <w:t xml:space="preserve">| - Accessibility |  | - Regulatory Env. |</w:t>
      </w:r>
      <w:r>
        <w:br/>
      </w:r>
      <w:r>
        <w:rPr>
          <w:rStyle w:val="VerbatimChar"/>
        </w:rPr>
        <w:t xml:space="preserve">+-------------------+  +-------------------+</w:t>
      </w:r>
    </w:p>
    <w:p>
      <w:pPr>
        <w:pStyle w:val="FirstParagraph"/>
        <w:spacing w:line="480" w:lineRule="auto"/>
        <w:ind w:firstLine="720"/>
        <w:jc w:val="both"/>
      </w:pPr>
      <w:r>
        <w:rPr>
          <w:i/>
        </w:rPr>
        <w:t xml:space="preserve">Note: This diagram illustrates the four core dimensions of the analytical framework and their key sub-criteria, emphasizing their interdependencies in assessing AI pricing models.</w:t>
      </w:r>
    </w:p>
    <w:p>
      <w:pPr>
        <w:pStyle w:val="BodyText"/>
        <w:spacing w:line="480" w:lineRule="auto"/>
        <w:ind w:firstLine="720"/>
        <w:jc w:val="both"/>
      </w:pPr>
      <w:r>
        <w:rPr>
          <w:b/>
        </w:rPr>
        <w:t xml:space="preserve">Economic Principles.</w:t>
      </w:r>
      <w:r>
        <w:t xml:space="preserve"> </w:t>
      </w:r>
      <w:r>
        <w:t xml:space="preserve">This dimension examines the foundational economic theories and models that underpin AI pricing strategies. It delves into how providers determine the monetary value of their AI services, considering both cost recovery and profit maximization.</w:t>
      </w:r>
      <w:r>
        <w:t xml:space="preserve"> </w:t>
      </w:r>
      <w:r>
        <w:t xml:space="preserve">*</w:t>
      </w:r>
      <w:r>
        <w:t xml:space="preserve"> </w:t>
      </w:r>
      <w:r>
        <w:rPr>
          <w:b/>
        </w:rPr>
        <w:t xml:space="preserve">Cost-plus pricing.</w:t>
      </w:r>
      <w:r>
        <w:t xml:space="preserve"> </w:t>
      </w:r>
      <w:r>
        <w:t xml:space="preserve">This sub-criterion assesses the extent to which pricing is determined by the direct and indirect costs associated with developing, deploying, and maintaining AI models (Kshirsagar et al., 2021). This includes computational resources (e.g., GPU hours, energy consumption), data acquisition and processing, model training, infrastructure, and personnel. The transparency and accuracy of cost attribution in AI services are critical for understanding this approach.</w:t>
      </w:r>
      <w:r>
        <w:t xml:space="preserve"> </w:t>
      </w:r>
      <w:r>
        <w:t xml:space="preserve">*</w:t>
      </w:r>
      <w:r>
        <w:t xml:space="preserve"> </w:t>
      </w:r>
      <w:r>
        <w:rPr>
          <w:b/>
        </w:rPr>
        <w:t xml:space="preserve">Value-based pricing.</w:t>
      </w:r>
      <w:r>
        <w:t xml:space="preserve"> </w:t>
      </w:r>
      <w:r>
        <w:t xml:space="preserve">This focuses on the perceived value that AI services deliver to customers (Maguire, 2021)(Lorente, 2025). Evaluation here involves understanding how providers quantify and communicate this value, whether through enhanced productivity, improved decision-making, cost savings, or new revenue streams. The challenge lies in objectively measuring and pricing the intangible benefits of AI.</w:t>
      </w:r>
      <w:r>
        <w:t xml:space="preserve"> </w:t>
      </w:r>
      <w:r>
        <w:t xml:space="preserve">*</w:t>
      </w:r>
      <w:r>
        <w:t xml:space="preserve"> </w:t>
      </w:r>
      <w:r>
        <w:rPr>
          <w:b/>
        </w:rPr>
        <w:t xml:space="preserve">Dynamic pricing and usage-based models.</w:t>
      </w:r>
      <w:r>
        <w:t xml:space="preserve"> </w:t>
      </w:r>
      <w:r>
        <w:t xml:space="preserve">This category investigates pricing strategies that adjust in real-time based on demand, supply, user behavior, or specific resource consumption (Bhuram, 2025)(Niharika et al., 2024). Examples include token-based pricing for large language models (LLMs) (Barbere et al., 2024)(Satapathi, 2025), API call fees (De, 2017), or compute-hour charges. The flexibility and fairness of such dynamic adjustments are key points of analysis.</w:t>
      </w:r>
      <w:r>
        <w:t xml:space="preserve"> </w:t>
      </w:r>
      <w:r>
        <w:t xml:space="preserve">*</w:t>
      </w:r>
      <w:r>
        <w:t xml:space="preserve"> </w:t>
      </w:r>
      <w:r>
        <w:rPr>
          <w:b/>
        </w:rPr>
        <w:t xml:space="preserve">Subscription and freemium models.</w:t>
      </w:r>
      <w:r>
        <w:t xml:space="preserve"> </w:t>
      </w:r>
      <w:r>
        <w:t xml:space="preserve">These models analyze recurring revenue streams where users pay for access to AI services over time (subscription) or receive basic services for free with charges for premium features (freemium) (Seufert, 2014)(Ladas et al., 2019). The framework examines the rationale behind offering tiered access, the value proposition of premium features, and the conversion strategies from free to paid tiers. The long-term implications for customer loyalty and market penetration are also considered (Siddannavar et al., 2025).</w:t>
      </w:r>
    </w:p>
    <w:p>
      <w:pPr>
        <w:pStyle w:val="BodyText"/>
        <w:spacing w:line="480" w:lineRule="auto"/>
        <w:ind w:firstLine="720"/>
        <w:jc w:val="both"/>
      </w:pPr>
      <w:r>
        <w:rPr>
          <w:b/>
        </w:rPr>
        <w:t xml:space="preserve">Technological Considerations.</w:t>
      </w:r>
      <w:r>
        <w:t xml:space="preserve"> </w:t>
      </w:r>
      <w:r>
        <w:t xml:space="preserve">This dimension addresses the intrinsic technical characteristics of AI models and infrastructure that directly influence their pricing. The unique computational demands, data requirements, and architectural complexities of AI necessitate a distinct set of considerations beyond those of traditional software.</w:t>
      </w:r>
      <w:r>
        <w:t xml:space="preserve"> </w:t>
      </w:r>
      <w:r>
        <w:t xml:space="preserve">*</w:t>
      </w:r>
      <w:r>
        <w:t xml:space="preserve"> </w:t>
      </w:r>
      <w:r>
        <w:rPr>
          <w:b/>
        </w:rPr>
        <w:t xml:space="preserve">Resource consumption.</w:t>
      </w:r>
      <w:r>
        <w:t xml:space="preserve"> </w:t>
      </w:r>
      <w:r>
        <w:t xml:space="preserve">This sub-criterion evaluates how the consumption of computational resources (e.g., CPU/GPU cycles, memory, storage) and energy (Kshirsagar et al., 2021) is factored into pricing. It investigates the granularity of resource measurement and its correlation with pricing tiers, particularly distinguishing between the costs associated with model training versus inference (Kshirsagar et al., 2021).</w:t>
      </w:r>
      <w:r>
        <w:t xml:space="preserve"> </w:t>
      </w:r>
      <w:r>
        <w:t xml:space="preserve">*</w:t>
      </w:r>
      <w:r>
        <w:t xml:space="preserve"> </w:t>
      </w:r>
      <w:r>
        <w:rPr>
          <w:b/>
        </w:rPr>
        <w:t xml:space="preserve">Model complexity and scale.</w:t>
      </w:r>
      <w:r>
        <w:t xml:space="preserve"> </w:t>
      </w:r>
      <w:r>
        <w:t xml:space="preserve">The size, architecture, and parameter count of AI models (e.g., billions of parameters in LLMs) significantly impact their operational costs and performance (Barbere et al., 2024). This criterion assesses how providers differentiate pricing based on the underlying model’s complexity, its capabilities, and its ability to handle diverse tasks.</w:t>
      </w:r>
      <w:r>
        <w:t xml:space="preserve"> </w:t>
      </w:r>
      <w:r>
        <w:t xml:space="preserve">*</w:t>
      </w:r>
      <w:r>
        <w:t xml:space="preserve"> </w:t>
      </w:r>
      <w:r>
        <w:rPr>
          <w:b/>
        </w:rPr>
        <w:t xml:space="preserve">API design and granularity.</w:t>
      </w:r>
      <w:r>
        <w:t xml:space="preserve"> </w:t>
      </w:r>
      <w:r>
        <w:t xml:space="preserve">The way AI services are exposed through Application Programming Interfaces (APIs) and the granularity of these APIs can influence pricing structures (De, 2017). This involves analyzing whether pricing is based on simple API calls, specific feature usage, or complex chained operations (Satapathi, 2025). The flexibility and modularity of API offerings are key considerations.</w:t>
      </w:r>
      <w:r>
        <w:t xml:space="preserve"> </w:t>
      </w:r>
      <w:r>
        <w:t xml:space="preserve">*</w:t>
      </w:r>
      <w:r>
        <w:t xml:space="preserve"> </w:t>
      </w:r>
      <w:r>
        <w:rPr>
          <w:b/>
        </w:rPr>
        <w:t xml:space="preserve">Data handling and privacy implications.</w:t>
      </w:r>
      <w:r>
        <w:t xml:space="preserve"> </w:t>
      </w:r>
      <w:r>
        <w:t xml:space="preserve">AI models are often data-intensive, requiring vast datasets for training and operation. This sub-criterion examines how the costs associated with data acquisition, storage, processing, and ensuring data privacy and compliance (e.g., GDPR, HIPAA) (Kaaniche &amp; Laurent, 2018) are reflected in the pricing model. Pricing variations based on data sensitivity or volume are particularly relevant.</w:t>
      </w:r>
    </w:p>
    <w:p>
      <w:pPr>
        <w:pStyle w:val="BodyText"/>
        <w:spacing w:line="480" w:lineRule="auto"/>
        <w:ind w:firstLine="720"/>
        <w:jc w:val="both"/>
      </w:pPr>
      <w:r>
        <w:rPr>
          <w:b/>
        </w:rPr>
        <w:t xml:space="preserve">Ethical and Societal Factors.</w:t>
      </w:r>
      <w:r>
        <w:t xml:space="preserve"> </w:t>
      </w:r>
      <w:r>
        <w:t xml:space="preserve">Beyond pure economics and technology, AI pricing models can have profound ethical and societal implications. This dimension critically examines how these broader concerns are, or are not, integrated into pricing strategies.</w:t>
      </w:r>
      <w:r>
        <w:t xml:space="preserve"> </w:t>
      </w:r>
      <w:r>
        <w:t xml:space="preserve">*</w:t>
      </w:r>
      <w:r>
        <w:t xml:space="preserve"> </w:t>
      </w:r>
      <w:r>
        <w:rPr>
          <w:b/>
        </w:rPr>
        <w:t xml:space="preserve">Transparency and explainability.</w:t>
      </w:r>
      <w:r>
        <w:t xml:space="preserve"> </w:t>
      </w:r>
      <w:r>
        <w:t xml:space="preserve">The degree to which an AI model’s decision-making process is transparent and explainable can be a significant factor in its perceived value and, potentially, its pricing (Mirghaderi et al., 2023). This criterion explores whether pricing models incentivize or penalize AI services based on their interpretability, especially in high-stakes applications.</w:t>
      </w:r>
      <w:r>
        <w:t xml:space="preserve"> </w:t>
      </w:r>
      <w:r>
        <w:t xml:space="preserve">*</w:t>
      </w:r>
      <w:r>
        <w:t xml:space="preserve"> </w:t>
      </w:r>
      <w:r>
        <w:rPr>
          <w:b/>
        </w:rPr>
        <w:t xml:space="preserve">Fairness and bias mitigation.</w:t>
      </w:r>
      <w:r>
        <w:t xml:space="preserve"> </w:t>
      </w:r>
      <w:r>
        <w:t xml:space="preserve">AI systems can perpetuate or even amplify societal biases present in their training data. This sub-criterion investigates whether pricing strategies consider the costs associated with bias detection, mitigation, and ongoing monitoring. It also examines if differential pricing might emerge based on the perceived fairness of an AI service or if pricing structures inadvertently create barriers for certain user groups.</w:t>
      </w:r>
      <w:r>
        <w:t xml:space="preserve"> </w:t>
      </w:r>
      <w:r>
        <w:t xml:space="preserve">*</w:t>
      </w:r>
      <w:r>
        <w:t xml:space="preserve"> </w:t>
      </w:r>
      <w:r>
        <w:rPr>
          <w:b/>
        </w:rPr>
        <w:t xml:space="preserve">Environmental impact.</w:t>
      </w:r>
      <w:r>
        <w:t xml:space="preserve"> </w:t>
      </w:r>
      <w:r>
        <w:t xml:space="preserve">The substantial energy consumption associated with training and operating large-scale AI models raises significant environmental concerns (Kshirsagar et al., 2021). This criterion explores whether pricing models incorporate</w:t>
      </w:r>
      <w:r>
        <w:t xml:space="preserve"> </w:t>
      </w:r>
      <w:r>
        <w:t xml:space="preserve">“</w:t>
      </w:r>
      <w:r>
        <w:t xml:space="preserve">green AI</w:t>
      </w:r>
      <w:r>
        <w:t xml:space="preserve">”</w:t>
      </w:r>
      <w:r>
        <w:t xml:space="preserve"> </w:t>
      </w:r>
      <w:r>
        <w:t xml:space="preserve">principles, such as offering reduced rates for energy-efficient models or transparently disclosing the carbon footprint associated with usage.</w:t>
      </w:r>
      <w:r>
        <w:t xml:space="preserve"> </w:t>
      </w:r>
      <w:r>
        <w:t xml:space="preserve">*</w:t>
      </w:r>
      <w:r>
        <w:t xml:space="preserve"> </w:t>
      </w:r>
      <w:r>
        <w:rPr>
          <w:b/>
        </w:rPr>
        <w:t xml:space="preserve">Accessibility and equity.</w:t>
      </w:r>
      <w:r>
        <w:t xml:space="preserve"> </w:t>
      </w:r>
      <w:r>
        <w:t xml:space="preserve">AI services have the potential to democratize access to advanced capabilities, but restrictive pricing models can create digital divides. This sub-criterion analyzes whether pricing strategies promote broad accessibility or inadvertently create barriers for small businesses, research institutions, or developing regions. The presence of discounted tiers for non-profit use or educational purposes would be relevant here.</w:t>
      </w:r>
    </w:p>
    <w:p>
      <w:pPr>
        <w:pStyle w:val="BodyText"/>
        <w:spacing w:line="480" w:lineRule="auto"/>
        <w:ind w:firstLine="720"/>
        <w:jc w:val="both"/>
      </w:pPr>
      <w:r>
        <w:rPr>
          <w:b/>
        </w:rPr>
        <w:t xml:space="preserve">Market Dynamics and Strategic Considerations.</w:t>
      </w:r>
      <w:r>
        <w:t xml:space="preserve"> </w:t>
      </w:r>
      <w:r>
        <w:t xml:space="preserve">This dimension examines the external market forces and internal strategic decisions that shape AI pricing. It considers how competitive landscapes, customer relationships, and regulatory environments influence pricing choices.</w:t>
      </w:r>
      <w:r>
        <w:t xml:space="preserve"> </w:t>
      </w:r>
      <w:r>
        <w:t xml:space="preserve">*</w:t>
      </w:r>
      <w:r>
        <w:t xml:space="preserve"> </w:t>
      </w:r>
      <w:r>
        <w:rPr>
          <w:b/>
        </w:rPr>
        <w:t xml:space="preserve">Competitive landscape.</w:t>
      </w:r>
      <w:r>
        <w:t xml:space="preserve"> </w:t>
      </w:r>
      <w:r>
        <w:t xml:space="preserve">The presence and actions of competitors significantly influence pricing strategies. This criterion assesses how providers position their AI services in relation to rivals, whether through aggressive pricing, premium offerings, or differentiation based on unique features (Divakaruni &amp; Navarro, 2024).</w:t>
      </w:r>
      <w:r>
        <w:t xml:space="preserve"> </w:t>
      </w:r>
      <w:r>
        <w:t xml:space="preserve">*</w:t>
      </w:r>
      <w:r>
        <w:t xml:space="preserve"> </w:t>
      </w:r>
      <w:r>
        <w:rPr>
          <w:b/>
        </w:rPr>
        <w:t xml:space="preserve">Customer lifetime value (CLV) and retention.</w:t>
      </w:r>
      <w:r>
        <w:t xml:space="preserve"> </w:t>
      </w:r>
      <w:r>
        <w:t xml:space="preserve">Pricing models are often designed not just for immediate revenue but for long-term customer relationships (Siddannavar et al., 2025). This sub-criterion evaluates how pricing strategies aim to maximize CLV through loyalty programs, tiered discounts for sustained usage, or incentives for expanding AI adoption within an organization.</w:t>
      </w:r>
      <w:r>
        <w:t xml:space="preserve"> </w:t>
      </w:r>
      <w:r>
        <w:t xml:space="preserve">*</w:t>
      </w:r>
      <w:r>
        <w:t xml:space="preserve"> </w:t>
      </w:r>
      <w:r>
        <w:rPr>
          <w:b/>
        </w:rPr>
        <w:t xml:space="preserve">Value creation versus value capture.</w:t>
      </w:r>
      <w:r>
        <w:t xml:space="preserve"> </w:t>
      </w:r>
      <w:r>
        <w:t xml:space="preserve">This criterion, informed by strategic management theories, analyzes how providers balance the value their AI services create for customers with the portion of that value they aim to capture through pricing (Lorente, 2025). It explores the alignment between the perceived benefits by the user and the cost imposed by the provider (Maguire, 2021).</w:t>
      </w:r>
      <w:r>
        <w:t xml:space="preserve"> </w:t>
      </w:r>
      <w:r>
        <w:t xml:space="preserve">*</w:t>
      </w:r>
      <w:r>
        <w:t xml:space="preserve"> </w:t>
      </w:r>
      <w:r>
        <w:rPr>
          <w:b/>
        </w:rPr>
        <w:t xml:space="preserve">Regulatory and policy environment.</w:t>
      </w:r>
      <w:r>
        <w:t xml:space="preserve"> </w:t>
      </w:r>
      <w:r>
        <w:t xml:space="preserve">Emerging regulations related to AI governance, data privacy, and ethical use can impact pricing strategies. This sub-criterion considers how anticipated or existing regulatory frameworks might influence pricing decisions, such as the costs associated with compliance or the need to offer certain features (e.g., data auditing capabilities (Kaaniche &amp; Laurent, 2018)) at specific price points.</w:t>
      </w:r>
    </w:p>
    <w:p>
      <w:pPr>
        <w:pStyle w:val="BodyText"/>
        <w:spacing w:line="480" w:lineRule="auto"/>
        <w:ind w:firstLine="720"/>
        <w:jc w:val="both"/>
      </w:pPr>
      <w:r>
        <w:t xml:space="preserve">The process of constructing this framework involved a comprehensive review of existing literature on pricing strategies, technology economics, and AI ethics (Kshirsagar et al., 2021)(Maguire, 2021)(De, 2017)(Mirghaderi et al., 2023)(Seufert, 2014)(Ladas et al., 2019). Each dimension and sub-criterion was carefully defined and operationalized to ensure clarity and applicability across a wide range of AI services. This multi-faceted approach ensures that the analysis moves beyond superficial price comparisons to uncover the deeper strategic, technological, and ethical considerations embedded within AI pricing models. The framework is designed to be adaptable, allowing for the inclusion of new sub-criteria as the AI market continues to evolve, thereby maintaining its relevance for future investigations. The systematic application of this framework will enable a rigorous and consistent evaluation of the selected case studies, forming the foundation for identifying best practices and areas requiring further development in AI pricing.</w:t>
      </w:r>
    </w:p>
    <w:p>
      <w:pPr>
        <w:pStyle w:val="Heading2"/>
      </w:pPr>
      <w:bookmarkStart w:id="46" w:name="case-study-selection-criteria"/>
      <w:r>
        <w:rPr>
          <w:b/>
        </w:rPr>
        <w:t xml:space="preserve">Case Study Selection Criteria</w:t>
      </w:r>
      <w:bookmarkEnd w:id="46"/>
    </w:p>
    <w:p>
      <w:pPr>
        <w:pStyle w:val="FirstParagraph"/>
        <w:spacing w:line="480" w:lineRule="auto"/>
        <w:ind w:firstLine="720"/>
        <w:jc w:val="both"/>
      </w:pPr>
      <w:r>
        <w:t xml:space="preserve">To provide empirical grounding for the theoretical analysis and illustrate the practical application of the developed framework, a selection of prominent AI pricing models will be examined through case studies. The purpose of these case studies is not to provide an exhaustive list of all available AI services, but rather to select a diverse and representative set that collectively illuminates the various facets of AI pricing across different technological implementations, market positions, and strategic approaches. The selection process is guided by explicit inclusion and exclusion criteria to ensure the relevance, transparency, and analytical utility of each chosen case. This rigorous selection methodology ensures that the findings derived from these case studies are generalizable to broader trends in the AI market, while also highlighting unique challenges and innovations.</w:t>
      </w:r>
    </w:p>
    <w:p>
      <w:pPr>
        <w:pStyle w:val="BodyText"/>
        <w:spacing w:line="480" w:lineRule="auto"/>
        <w:ind w:firstLine="720"/>
        <w:jc w:val="both"/>
      </w:pPr>
      <w:r>
        <w:rPr>
          <w:b/>
        </w:rPr>
        <w:t xml:space="preserve">Inclusion Criteria.</w:t>
      </w:r>
      <w:r>
        <w:t xml:space="preserve"> </w:t>
      </w:r>
      <w:r>
        <w:t xml:space="preserve">The following criteria will be used to select AI pricing models for detailed analysis:</w:t>
      </w:r>
      <w:r>
        <w:t xml:space="preserve"> </w:t>
      </w:r>
      <w:r>
        <w:t xml:space="preserve">*</w:t>
      </w:r>
      <w:r>
        <w:t xml:space="preserve"> </w:t>
      </w:r>
      <w:r>
        <w:rPr>
          <w:b/>
        </w:rPr>
        <w:t xml:space="preserve">Diversity of AI Service Types.</w:t>
      </w:r>
      <w:r>
        <w:t xml:space="preserve"> </w:t>
      </w:r>
      <w:r>
        <w:t xml:space="preserve">Case studies must encompass a variety of AI service types to capture the breadth of the market. This includes, but is not limited to, large language models (LLMs) used for generative AI and natural language processing (Barbere et al., 2024)(Trad &amp; Chehab, 2024), specialized AI APIs for specific tasks like image recognition or speech-to-text (Satapathi, 2025), and edge-cloud AI solutions (Bhuram, 2025). This diversity ensures that the framework is tested against different computational and architectural paradigms.</w:t>
      </w:r>
      <w:r>
        <w:t xml:space="preserve"> </w:t>
      </w:r>
      <w:r>
        <w:t xml:space="preserve">*</w:t>
      </w:r>
      <w:r>
        <w:t xml:space="preserve"> </w:t>
      </w:r>
      <w:r>
        <w:rPr>
          <w:b/>
        </w:rPr>
        <w:t xml:space="preserve">Diversity of Pricing Models Represented.</w:t>
      </w:r>
      <w:r>
        <w:t xml:space="preserve"> </w:t>
      </w:r>
      <w:r>
        <w:t xml:space="preserve">The selected cases must collectively illustrate a range of pricing strategies. This includes models based on usage (e.g., token-based, per-API-call), subscription tiers, freemium approaches (Seufert, 2014), and potentially hybrid models (De, 2017)(Satapathi, 2025). This ensures a comprehensive examination of how different economic principles are applied in practice.</w:t>
      </w:r>
      <w:r>
        <w:t xml:space="preserve"> </w:t>
      </w:r>
      <w:r>
        <w:t xml:space="preserve">*</w:t>
      </w:r>
      <w:r>
        <w:t xml:space="preserve"> </w:t>
      </w:r>
      <w:r>
        <w:rPr>
          <w:b/>
        </w:rPr>
        <w:t xml:space="preserve">Market Prominence and Influence.</w:t>
      </w:r>
      <w:r>
        <w:t xml:space="preserve"> </w:t>
      </w:r>
      <w:r>
        <w:t xml:space="preserve">Priority will be given to AI service providers that hold significant market share, are widely adopted, or are recognized as industry leaders (Korinek, 2025)(Satapathi, 2025). Such prominence ensures that their pricing strategies have a substantial impact on the broader AI ecosystem and are subject to public scrutiny, providing richer data for analysis. The pricing tiers of major cloud providers, for instance, are critical (Satapathi, 2025).</w:t>
      </w:r>
      <w:r>
        <w:t xml:space="preserve"> </w:t>
      </w:r>
      <w:r>
        <w:t xml:space="preserve">*</w:t>
      </w:r>
      <w:r>
        <w:t xml:space="preserve"> </w:t>
      </w:r>
      <w:r>
        <w:rPr>
          <w:b/>
        </w:rPr>
        <w:t xml:space="preserve">Transparency of Pricing Information and Documentation.</w:t>
      </w:r>
      <w:r>
        <w:t xml:space="preserve"> </w:t>
      </w:r>
      <w:r>
        <w:t xml:space="preserve">A critical requirement is the public availability of detailed pricing information, terms of service, and technical documentation. This allows for an objective and verifiable analysis of the pricing model’s structure and rationale. Providers with opaque or highly customized pricing models that lack public documentation will generally be excluded, as they do not lend themselves to comparative analysis (Rudnytskyi, 2022).</w:t>
      </w:r>
      <w:r>
        <w:t xml:space="preserve"> </w:t>
      </w:r>
      <w:r>
        <w:t xml:space="preserve">*</w:t>
      </w:r>
      <w:r>
        <w:t xml:space="preserve"> </w:t>
      </w:r>
      <w:r>
        <w:rPr>
          <w:b/>
        </w:rPr>
        <w:t xml:space="preserve">Temporal Relevance.</w:t>
      </w:r>
      <w:r>
        <w:t xml:space="preserve"> </w:t>
      </w:r>
      <w:r>
        <w:t xml:space="preserve">Case studies will focus on current or emerging AI pricing models that reflect the latest technological advancements and market trends (Korinek, 2025)(Satapathi, 2025)(Bhuram, 2025)(Niharika et al., 2024)(Trad &amp; Chehab, 2024). While historical context may be briefly acknowledged, the primary focus is on contemporary practices that are shaping the future of AI economics (Divakaruni &amp; Navarro, 2024).</w:t>
      </w:r>
      <w:r>
        <w:t xml:space="preserve"> </w:t>
      </w:r>
      <w:r>
        <w:t xml:space="preserve">*</w:t>
      </w:r>
      <w:r>
        <w:t xml:space="preserve"> </w:t>
      </w:r>
      <w:r>
        <w:rPr>
          <w:b/>
        </w:rPr>
        <w:t xml:space="preserve">Demonstrated Value Creation.</w:t>
      </w:r>
      <w:r>
        <w:t xml:space="preserve"> </w:t>
      </w:r>
      <w:r>
        <w:t xml:space="preserve">The selected AI services should clearly articulate their value proposition to users (Lorente, 2025)(Fang &amp; Zhou, 2025). This allows for an assessment of how the pricing model aligns with the perceived and actual value delivered, as per the value-based pricing criteria of the framework (Maguire, 2021).</w:t>
      </w:r>
    </w:p>
    <w:p>
      <w:pPr>
        <w:pStyle w:val="BodyText"/>
        <w:spacing w:line="480" w:lineRule="auto"/>
        <w:ind w:firstLine="720"/>
        <w:jc w:val="both"/>
      </w:pPr>
      <w:r>
        <w:rPr>
          <w:b/>
        </w:rPr>
        <w:t xml:space="preserve">Exclusion Criteria.</w:t>
      </w:r>
      <w:r>
        <w:t xml:space="preserve"> </w:t>
      </w:r>
      <w:r>
        <w:t xml:space="preserve">Conversely, certain types of AI pricing models will be excluded from this analysis:</w:t>
      </w:r>
      <w:r>
        <w:t xml:space="preserve"> </w:t>
      </w:r>
      <w:r>
        <w:t xml:space="preserve">*</w:t>
      </w:r>
      <w:r>
        <w:t xml:space="preserve"> </w:t>
      </w:r>
      <w:r>
        <w:rPr>
          <w:b/>
        </w:rPr>
        <w:t xml:space="preserve">Highly Proprietary or Non-Public Pricing.</w:t>
      </w:r>
      <w:r>
        <w:t xml:space="preserve"> </w:t>
      </w:r>
      <w:r>
        <w:t xml:space="preserve">AI services whose pricing models are entirely custom-negotiated, confidential, or not publicly disclosed will be excluded. The lack of transparency would prevent a rigorous comparative analysis against the established framework.</w:t>
      </w:r>
      <w:r>
        <w:t xml:space="preserve"> </w:t>
      </w:r>
      <w:r>
        <w:t xml:space="preserve">*</w:t>
      </w:r>
      <w:r>
        <w:t xml:space="preserve"> </w:t>
      </w:r>
      <w:r>
        <w:rPr>
          <w:b/>
        </w:rPr>
        <w:t xml:space="preserve">Niche or Highly Specialized AI Applications.</w:t>
      </w:r>
      <w:r>
        <w:t xml:space="preserve"> </w:t>
      </w:r>
      <w:r>
        <w:t xml:space="preserve">While important in their specific domains, AI services that cater to extremely niche markets with limited broader relevance, or those with highly idiosyncratic pricing structures not reflective of general market trends, will be excluded to maintain focus on impactful and representative models.</w:t>
      </w:r>
      <w:r>
        <w:t xml:space="preserve"> </w:t>
      </w:r>
      <w:r>
        <w:t xml:space="preserve">*</w:t>
      </w:r>
      <w:r>
        <w:t xml:space="preserve"> </w:t>
      </w:r>
      <w:r>
        <w:rPr>
          <w:b/>
        </w:rPr>
        <w:t xml:space="preserve">Discontinued or Obsolete Models.</w:t>
      </w:r>
      <w:r>
        <w:t xml:space="preserve"> </w:t>
      </w:r>
      <w:r>
        <w:t xml:space="preserve">AI pricing models that are no longer active or have been significantly superseded by newer iterations will be excluded to ensure the temporal relevance of the study.</w:t>
      </w:r>
      <w:r>
        <w:t xml:space="preserve"> </w:t>
      </w:r>
      <w:r>
        <w:t xml:space="preserve">*</w:t>
      </w:r>
      <w:r>
        <w:t xml:space="preserve"> </w:t>
      </w:r>
      <w:r>
        <w:rPr>
          <w:b/>
        </w:rPr>
        <w:t xml:space="preserve">Lack of Sufficient Documentation.</w:t>
      </w:r>
      <w:r>
        <w:t xml:space="preserve"> </w:t>
      </w:r>
      <w:r>
        <w:t xml:space="preserve">Cases where the public documentation is insufficient to comprehensively evaluate the model against the full spectrum of the analytical framework will be excluded.</w:t>
      </w:r>
    </w:p>
    <w:p>
      <w:pPr>
        <w:pStyle w:val="BodyText"/>
        <w:spacing w:line="480" w:lineRule="auto"/>
        <w:ind w:firstLine="720"/>
        <w:jc w:val="both"/>
      </w:pPr>
      <w:r>
        <w:t xml:space="preserve">The selection process will involve an initial broad survey of the AI services market, identifying potential candidates that meet the preliminary inclusion criteria. This will be followed by a detailed review of their public documentation, including pricing pages, developer guides, terms of service, and white papers (Rudnytskyi, 2022). A shortlist will then be created, and each candidate will be rigorously evaluated against the outlined criteria. The aim is to select approximately 5-7 distinct AI pricing models that offer a rich and varied landscape for analysis, ensuring that each dimension of the comparative framework can be adequately explored and illustrated. Examples of potential candidates, without specifying exact product names to maintain focus on the methodology, include leading cloud AI platforms offering various NLP and computer vision APIs, prominent generative AI model providers, and specialized AI-as-a-Service (AIaaS) platforms. This systematic approach to case selection is crucial for ensuring the validity and depth of the subsequent comparative analysis.</w:t>
      </w:r>
    </w:p>
    <w:p>
      <w:pPr>
        <w:pStyle w:val="Heading2"/>
        <w:pageBreakBefore/>
      </w:pPr>
      <w:bookmarkStart w:id="47" w:name="analysis-approach"/>
      <w:r>
        <w:rPr>
          <w:b/>
        </w:rPr>
        <w:t xml:space="preserve">Analysis Approach</w:t>
      </w:r>
      <w:bookmarkEnd w:id="47"/>
    </w:p>
    <w:p>
      <w:pPr>
        <w:pStyle w:val="FirstParagraph"/>
        <w:spacing w:line="480" w:lineRule="auto"/>
        <w:ind w:firstLine="720"/>
        <w:jc w:val="both"/>
      </w:pPr>
      <w:r>
        <w:t xml:space="preserve">The analysis phase of this study is designed to systematically apply the developed multi-dimensional framework to the selected AI pricing models, culminating in a comprehensive comparative assessment. This approach is primarily qualitative, drawing insights from textual analysis of public documentation, but also incorporates quantitative elements where specific pricing metrics are available. The overarching goal is to identify patterns, evaluate the effectiveness and fairness of current pricing strategies, and highlight areas for improvement in the context of economic efficiency, technological alignment, and ethical responsibility. The analysis proceeds through distinct stages, moving from individual case assessment to cross-case synthesis, and finally to the identification of gaps and opportunities.</w:t>
      </w:r>
    </w:p>
    <w:p>
      <w:pPr>
        <w:pStyle w:val="BodyText"/>
        <w:spacing w:line="480" w:lineRule="auto"/>
        <w:ind w:firstLine="720"/>
        <w:jc w:val="both"/>
      </w:pPr>
      <w:r>
        <w:t xml:space="preserve">The following table outlines a structured approach for implementing value-based pricing, which is a key component of the analytical framework and a strategic goal for many AI providers. This provides a practical guide for how providers can operationalize the principles discussed.</w:t>
      </w:r>
    </w:p>
    <w:p>
      <w:pPr>
        <w:pStyle w:val="BodyText"/>
        <w:spacing w:line="480" w:lineRule="auto"/>
        <w:ind w:firstLine="720"/>
        <w:jc w:val="both"/>
      </w:pPr>
      <w:r>
        <w:rPr>
          <w:b/>
        </w:rPr>
        <w:t xml:space="preserve">Table 3: Implementation Steps for Value-Based AI Pricing</w:t>
      </w:r>
    </w:p>
    <w:tbl>
      <w:tblPr>
        <w:tblStyle w:val="Table"/>
        <w:tblW w:type="pct" w:w="5000.0"/>
        <w:tblLook w:firstRow="1"/>
      </w:tblPr>
      <w:tblGrid>
        <w:gridCol w:w="1410"/>
        <w:gridCol w:w="2007"/>
        <w:gridCol w:w="2224"/>
        <w:gridCol w:w="2278"/>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Key Activities</w:t>
            </w:r>
          </w:p>
        </w:tc>
        <w:tc>
          <w:tcPr>
            <w:tcBorders>
              <w:bottom w:val="single"/>
            </w:tcBorders>
            <w:vAlign w:val="bottom"/>
          </w:tcPr>
          <w:p>
            <w:pPr>
              <w:pStyle w:val="Compact"/>
              <w:jc w:val="left"/>
            </w:pPr>
            <w:r>
              <w:t xml:space="preserve">Outputs</w:t>
            </w:r>
          </w:p>
        </w:tc>
        <w:tc>
          <w:tcPr>
            <w:tcBorders>
              <w:bottom w:val="single"/>
            </w:tcBorders>
            <w:vAlign w:val="bottom"/>
          </w:tcPr>
          <w:p>
            <w:pPr>
              <w:pStyle w:val="Compact"/>
              <w:jc w:val="left"/>
            </w:pPr>
            <w:r>
              <w:t xml:space="preserve">Challenges</w:t>
            </w:r>
          </w:p>
        </w:tc>
      </w:tr>
      <w:tr>
        <w:tc>
          <w:p>
            <w:pPr>
              <w:pStyle w:val="Compact"/>
              <w:jc w:val="left"/>
            </w:pPr>
            <w:r>
              <w:rPr>
                <w:b/>
              </w:rPr>
              <w:t xml:space="preserve">1. Value Discovery</w:t>
            </w:r>
          </w:p>
        </w:tc>
        <w:tc>
          <w:p>
            <w:pPr>
              <w:pStyle w:val="Compact"/>
              <w:jc w:val="left"/>
            </w:pPr>
            <w:r>
              <w:t xml:space="preserve">Customer interviews, market research, pain point analysis</w:t>
            </w:r>
          </w:p>
        </w:tc>
        <w:tc>
          <w:p>
            <w:pPr>
              <w:pStyle w:val="Compact"/>
              <w:jc w:val="left"/>
            </w:pPr>
            <w:r>
              <w:t xml:space="preserve">Identified value drivers, ROI targets</w:t>
            </w:r>
          </w:p>
        </w:tc>
        <w:tc>
          <w:p>
            <w:pPr>
              <w:pStyle w:val="Compact"/>
              <w:jc w:val="left"/>
            </w:pPr>
            <w:r>
              <w:t xml:space="preserve">Access to customer data, subjective perceptions</w:t>
            </w:r>
          </w:p>
        </w:tc>
      </w:tr>
      <w:tr>
        <w:tc>
          <w:p>
            <w:pPr>
              <w:pStyle w:val="Compact"/>
              <w:jc w:val="left"/>
            </w:pPr>
            <w:r>
              <w:rPr>
                <w:b/>
              </w:rPr>
              <w:t xml:space="preserve">2. Value Quantification</w:t>
            </w:r>
          </w:p>
        </w:tc>
        <w:tc>
          <w:p>
            <w:pPr>
              <w:pStyle w:val="Compact"/>
              <w:jc w:val="left"/>
            </w:pPr>
            <w:r>
              <w:t xml:space="preserve">Baseline metrics, pilot programs, A/B testing, data modeling</w:t>
            </w:r>
          </w:p>
        </w:tc>
        <w:tc>
          <w:p>
            <w:pPr>
              <w:pStyle w:val="Compact"/>
              <w:jc w:val="left"/>
            </w:pPr>
            <w:r>
              <w:t xml:space="preserve">Quantified economic &amp; strategic value</w:t>
            </w:r>
          </w:p>
        </w:tc>
        <w:tc>
          <w:p>
            <w:pPr>
              <w:pStyle w:val="Compact"/>
              <w:jc w:val="left"/>
            </w:pPr>
            <w:r>
              <w:t xml:space="preserve">Attribution, intangible benefits</w:t>
            </w:r>
          </w:p>
        </w:tc>
      </w:tr>
      <w:tr>
        <w:tc>
          <w:p>
            <w:pPr>
              <w:pStyle w:val="Compact"/>
              <w:jc w:val="left"/>
            </w:pPr>
            <w:r>
              <w:rPr>
                <w:b/>
              </w:rPr>
              <w:t xml:space="preserve">3. Pricing Model Design</w:t>
            </w:r>
          </w:p>
        </w:tc>
        <w:tc>
          <w:p>
            <w:pPr>
              <w:pStyle w:val="Compact"/>
              <w:jc w:val="left"/>
            </w:pPr>
            <w:r>
              <w:t xml:space="preserve">Segment-specific pricing, hybrid model design, tier definition</w:t>
            </w:r>
          </w:p>
        </w:tc>
        <w:tc>
          <w:p>
            <w:pPr>
              <w:pStyle w:val="Compact"/>
              <w:jc w:val="left"/>
            </w:pPr>
            <w:r>
              <w:t xml:space="preserve">Tiered pricing, usage components, performance incentives</w:t>
            </w:r>
          </w:p>
        </w:tc>
        <w:tc>
          <w:p>
            <w:pPr>
              <w:pStyle w:val="Compact"/>
              <w:jc w:val="left"/>
            </w:pPr>
            <w:r>
              <w:t xml:space="preserve">Balancing provider profit &amp; user value</w:t>
            </w:r>
          </w:p>
        </w:tc>
      </w:tr>
      <w:tr>
        <w:tc>
          <w:p>
            <w:pPr>
              <w:pStyle w:val="Compact"/>
              <w:jc w:val="left"/>
            </w:pPr>
            <w:r>
              <w:rPr>
                <w:b/>
              </w:rPr>
              <w:t xml:space="preserve">4. Value Communication</w:t>
            </w:r>
          </w:p>
        </w:tc>
        <w:tc>
          <w:p>
            <w:pPr>
              <w:pStyle w:val="Compact"/>
              <w:jc w:val="left"/>
            </w:pPr>
            <w:r>
              <w:t xml:space="preserve">ROI calculators, case studies, sales training, marketing</w:t>
            </w:r>
          </w:p>
        </w:tc>
        <w:tc>
          <w:p>
            <w:pPr>
              <w:pStyle w:val="Compact"/>
              <w:jc w:val="left"/>
            </w:pPr>
            <w:r>
              <w:t xml:space="preserve">Clear value proposition, sales collateral</w:t>
            </w:r>
          </w:p>
        </w:tc>
        <w:tc>
          <w:p>
            <w:pPr>
              <w:pStyle w:val="Compact"/>
              <w:jc w:val="left"/>
            </w:pPr>
            <w:r>
              <w:t xml:space="preserve">Demonstrating value pre-purchase</w:t>
            </w:r>
          </w:p>
        </w:tc>
      </w:tr>
      <w:tr>
        <w:tc>
          <w:p>
            <w:pPr>
              <w:pStyle w:val="Compact"/>
              <w:jc w:val="left"/>
            </w:pPr>
            <w:r>
              <w:rPr>
                <w:b/>
              </w:rPr>
              <w:t xml:space="preserve">5. Measurement &amp; Iteration</w:t>
            </w:r>
          </w:p>
        </w:tc>
        <w:tc>
          <w:p>
            <w:pPr>
              <w:pStyle w:val="Compact"/>
              <w:jc w:val="left"/>
            </w:pPr>
            <w:r>
              <w:t xml:space="preserve">Performance tracking, customer feedback, A/B testing</w:t>
            </w:r>
          </w:p>
        </w:tc>
        <w:tc>
          <w:p>
            <w:pPr>
              <w:pStyle w:val="Compact"/>
              <w:jc w:val="left"/>
            </w:pPr>
            <w:r>
              <w:t xml:space="preserve">Pricing adjustments, model optimization</w:t>
            </w:r>
          </w:p>
        </w:tc>
        <w:tc>
          <w:p>
            <w:pPr>
              <w:pStyle w:val="Compact"/>
              <w:jc w:val="left"/>
            </w:pPr>
            <w:r>
              <w:t xml:space="preserve">Evolving value, competitive pressures</w:t>
            </w:r>
          </w:p>
        </w:tc>
      </w:tr>
    </w:tbl>
    <w:p>
      <w:pPr>
        <w:pStyle w:val="BodyText"/>
        <w:spacing w:line="480" w:lineRule="auto"/>
        <w:ind w:firstLine="720"/>
        <w:jc w:val="both"/>
      </w:pPr>
      <w:r>
        <w:rPr>
          <w:i/>
        </w:rPr>
        <w:t xml:space="preserve">Note: This table provides a simplified, iterative process for implementing value-based pricing, highlighting the practical steps and common hurdles encountered by AI providers.</w:t>
      </w:r>
    </w:p>
    <w:p>
      <w:pPr>
        <w:pStyle w:val="BodyText"/>
        <w:spacing w:line="480" w:lineRule="auto"/>
        <w:ind w:firstLine="720"/>
        <w:jc w:val="both"/>
      </w:pPr>
      <w:r>
        <w:rPr>
          <w:b/>
        </w:rPr>
        <w:t xml:space="preserve">Stage 1: Data Extraction and Categorization.</w:t>
      </w:r>
      <w:r>
        <w:t xml:space="preserve"> </w:t>
      </w:r>
      <w:r>
        <w:t xml:space="preserve">For each selected AI pricing model, a meticulous process of data extraction will be undertaken. This involves systematically gathering all relevant information from publicly available sources, including official pricing pages, API documentation (Rudnytskyi, 2022), white papers, terms of service, and any publicly disclosed economic or technical specifications.</w:t>
      </w:r>
      <w:r>
        <w:t xml:space="preserve"> </w:t>
      </w:r>
      <w:r>
        <w:t xml:space="preserve">*</w:t>
      </w:r>
      <w:r>
        <w:t xml:space="preserve"> </w:t>
      </w:r>
      <w:r>
        <w:rPr>
          <w:b/>
        </w:rPr>
        <w:t xml:space="preserve">Information Mapping.</w:t>
      </w:r>
      <w:r>
        <w:t xml:space="preserve"> </w:t>
      </w:r>
      <w:r>
        <w:t xml:space="preserve">The extracted data will then be mapped onto the specific dimensions and sub-criteria of the developed analytical framework. For instance, details on token costs (Barbere et al., 2024)(Satapathi, 2025) will be categorized under</w:t>
      </w:r>
      <w:r>
        <w:t xml:space="preserve"> </w:t>
      </w:r>
      <w:r>
        <w:t xml:space="preserve">“</w:t>
      </w:r>
      <w:r>
        <w:t xml:space="preserve">Dynamic pricing and usage-based models</w:t>
      </w:r>
      <w:r>
        <w:t xml:space="preserve">”</w:t>
      </w:r>
      <w:r>
        <w:t xml:space="preserve"> </w:t>
      </w:r>
      <w:r>
        <w:t xml:space="preserve">(Economic Principles) and linked to</w:t>
      </w:r>
      <w:r>
        <w:t xml:space="preserve"> </w:t>
      </w:r>
      <w:r>
        <w:t xml:space="preserve">“</w:t>
      </w:r>
      <w:r>
        <w:t xml:space="preserve">Resource consumption</w:t>
      </w:r>
      <w:r>
        <w:t xml:space="preserve">”</w:t>
      </w:r>
      <w:r>
        <w:t xml:space="preserve"> </w:t>
      </w:r>
      <w:r>
        <w:t xml:space="preserve">(Technological Considerations). Information on data governance policies (Kaaniche &amp; Laurent, 2018) will be mapped to</w:t>
      </w:r>
      <w:r>
        <w:t xml:space="preserve"> </w:t>
      </w:r>
      <w:r>
        <w:t xml:space="preserve">“</w:t>
      </w:r>
      <w:r>
        <w:t xml:space="preserve">Data handling and privacy implications</w:t>
      </w:r>
      <w:r>
        <w:t xml:space="preserve">”</w:t>
      </w:r>
      <w:r>
        <w:t xml:space="preserve"> </w:t>
      </w:r>
      <w:r>
        <w:t xml:space="preserve">(Technological Considerations) and potentially</w:t>
      </w:r>
      <w:r>
        <w:t xml:space="preserve"> </w:t>
      </w:r>
      <w:r>
        <w:t xml:space="preserve">“</w:t>
      </w:r>
      <w:r>
        <w:t xml:space="preserve">Fairness and bias mitigation</w:t>
      </w:r>
      <w:r>
        <w:t xml:space="preserve">”</w:t>
      </w:r>
      <w:r>
        <w:t xml:space="preserve"> </w:t>
      </w:r>
      <w:r>
        <w:t xml:space="preserve">(Ethical and Societal Factors).</w:t>
      </w:r>
      <w:r>
        <w:t xml:space="preserve"> </w:t>
      </w:r>
      <w:r>
        <w:t xml:space="preserve">*</w:t>
      </w:r>
      <w:r>
        <w:t xml:space="preserve"> </w:t>
      </w:r>
      <w:r>
        <w:rPr>
          <w:b/>
        </w:rPr>
        <w:t xml:space="preserve">Qualitative Coding.</w:t>
      </w:r>
      <w:r>
        <w:t xml:space="preserve"> </w:t>
      </w:r>
      <w:r>
        <w:t xml:space="preserve">Qualitative data, such as descriptions of value propositions (Maguire, 2021)(Lorente, 2025) or ethical guidelines (Mirghaderi et al., 2023), will be coded thematically according to the framework’s categories. This systematic coding ensures that all relevant aspects of each pricing model are captured and organized consistently for subsequent comparison.</w:t>
      </w:r>
      <w:r>
        <w:t xml:space="preserve"> </w:t>
      </w:r>
      <w:r>
        <w:t xml:space="preserve">*</w:t>
      </w:r>
      <w:r>
        <w:t xml:space="preserve"> </w:t>
      </w:r>
      <w:r>
        <w:rPr>
          <w:b/>
        </w:rPr>
        <w:t xml:space="preserve">Quantitative Metric Identification.</w:t>
      </w:r>
      <w:r>
        <w:t xml:space="preserve"> </w:t>
      </w:r>
      <w:r>
        <w:t xml:space="preserve">Where applicable, specific quantitative metrics will be identified and recorded, such as cost per 1,000 tokens, cost per API call, or subscription tiers and their associated features. These metrics will provide a basis for quantitative comparison within certain sub-criteria.</w:t>
      </w:r>
    </w:p>
    <w:p>
      <w:pPr>
        <w:pStyle w:val="BodyText"/>
        <w:spacing w:line="480" w:lineRule="auto"/>
        <w:ind w:firstLine="720"/>
        <w:jc w:val="both"/>
      </w:pPr>
      <w:r>
        <w:rPr>
          <w:b/>
        </w:rPr>
        <w:t xml:space="preserve">Stage 2: Individual Case Assessment.</w:t>
      </w:r>
      <w:r>
        <w:t xml:space="preserve"> </w:t>
      </w:r>
      <w:r>
        <w:t xml:space="preserve">Following data extraction, each selected AI pricing model will undergo an in-depth individual assessment against the full spectrum of the analytical framework.</w:t>
      </w:r>
      <w:r>
        <w:t xml:space="preserve"> </w:t>
      </w:r>
      <w:r>
        <w:t xml:space="preserve">*</w:t>
      </w:r>
      <w:r>
        <w:t xml:space="preserve"> </w:t>
      </w:r>
      <w:r>
        <w:rPr>
          <w:b/>
        </w:rPr>
        <w:t xml:space="preserve">Criterion-by-Criterion Evaluation.</w:t>
      </w:r>
      <w:r>
        <w:t xml:space="preserve"> </w:t>
      </w:r>
      <w:r>
        <w:t xml:space="preserve">For each case study, a detailed narrative will be developed for how its pricing model addresses or reflects each sub-criterion of the framework. This involves not only describing the pricing mechanism but also analyzing the underlying rationale. For example, if a model uses a freemium approach (Seufert, 2014), the assessment will delve into the features offered for free versus those paid, and the strategic intent behind this differentiation (Ladas et al., 2019).</w:t>
      </w:r>
      <w:r>
        <w:t xml:space="preserve"> </w:t>
      </w:r>
      <w:r>
        <w:t xml:space="preserve">*</w:t>
      </w:r>
      <w:r>
        <w:t xml:space="preserve"> </w:t>
      </w:r>
      <w:r>
        <w:rPr>
          <w:b/>
        </w:rPr>
        <w:t xml:space="preserve">Strengths and Weaknesses Identification.</w:t>
      </w:r>
      <w:r>
        <w:t xml:space="preserve"> </w:t>
      </w:r>
      <w:r>
        <w:t xml:space="preserve">Within each individual case assessment, the strengths and weaknesses of the pricing model will be identified with respect to each dimension of the framework. For instance, a model might be strong in</w:t>
      </w:r>
      <w:r>
        <w:t xml:space="preserve"> </w:t>
      </w:r>
      <w:r>
        <w:t xml:space="preserve">“</w:t>
      </w:r>
      <w:r>
        <w:t xml:space="preserve">Cost-plus pricing</w:t>
      </w:r>
      <w:r>
        <w:t xml:space="preserve">”</w:t>
      </w:r>
      <w:r>
        <w:t xml:space="preserve"> </w:t>
      </w:r>
      <w:r>
        <w:t xml:space="preserve">transparency (Kshirsagar et al., 2021) but weak in addressing</w:t>
      </w:r>
      <w:r>
        <w:t xml:space="preserve"> </w:t>
      </w:r>
      <w:r>
        <w:t xml:space="preserve">“</w:t>
      </w:r>
      <w:r>
        <w:t xml:space="preserve">Environmental impact.</w:t>
      </w:r>
      <w:r>
        <w:t xml:space="preserve">”</w:t>
      </w:r>
      <w:r>
        <w:t xml:space="preserve"> </w:t>
      </w:r>
      <w:r>
        <w:t xml:space="preserve">*</w:t>
      </w:r>
      <w:r>
        <w:t xml:space="preserve"> </w:t>
      </w:r>
      <w:r>
        <w:rPr>
          <w:b/>
        </w:rPr>
        <w:t xml:space="preserve">Internal Consistency Check.</w:t>
      </w:r>
      <w:r>
        <w:t xml:space="preserve"> </w:t>
      </w:r>
      <w:r>
        <w:t xml:space="preserve">An internal consistency check will be performed to ensure that the various elements of a single pricing model are coherent and aligned with the provider’s stated goals and the actual value proposition (Lorente, 2025).</w:t>
      </w:r>
    </w:p>
    <w:p>
      <w:pPr>
        <w:pStyle w:val="BodyText"/>
        <w:spacing w:line="480" w:lineRule="auto"/>
        <w:ind w:firstLine="720"/>
        <w:jc w:val="both"/>
      </w:pPr>
      <w:r>
        <w:rPr>
          <w:b/>
        </w:rPr>
        <w:t xml:space="preserve">Stage 3: Cross-Case Synthesis.</w:t>
      </w:r>
      <w:r>
        <w:t xml:space="preserve"> </w:t>
      </w:r>
      <w:r>
        <w:t xml:space="preserve">This stage involves comparing and contrasting the findings from the individual case assessments to identify overarching patterns, commonalities, and significant divergences across the different AI pricing models.</w:t>
      </w:r>
      <w:r>
        <w:t xml:space="preserve"> </w:t>
      </w:r>
      <w:r>
        <w:t xml:space="preserve">*</w:t>
      </w:r>
      <w:r>
        <w:t xml:space="preserve"> </w:t>
      </w:r>
      <w:r>
        <w:rPr>
          <w:b/>
        </w:rPr>
        <w:t xml:space="preserve">Comparative Matrix Development.</w:t>
      </w:r>
      <w:r>
        <w:t xml:space="preserve"> </w:t>
      </w:r>
      <w:r>
        <w:t xml:space="preserve">A comparative matrix will be constructed, displaying how each selected AI pricing model performs or addresses each dimension and sub-criterion of the framework. This visual tool will facilitate the identification of similarities and differences.</w:t>
      </w:r>
      <w:r>
        <w:t xml:space="preserve"> </w:t>
      </w:r>
      <w:r>
        <w:t xml:space="preserve">*</w:t>
      </w:r>
      <w:r>
        <w:t xml:space="preserve"> </w:t>
      </w:r>
      <w:r>
        <w:rPr>
          <w:b/>
        </w:rPr>
        <w:t xml:space="preserve">Pattern Recognition.</w:t>
      </w:r>
      <w:r>
        <w:t xml:space="preserve"> </w:t>
      </w:r>
      <w:r>
        <w:t xml:space="preserve">Analysis will focus on identifying common trends in AI pricing, such as the prevalence of usage-based models (Barbere et al., 2024)(Satapathi, 2025)(Niharika et al., 2024), the integration of value-based components (Maguire, 2021)(Lorente, 2025), or the nascent inclusion of ethical considerations (Mirghaderi et al., 2023).</w:t>
      </w:r>
      <w:r>
        <w:t xml:space="preserve"> </w:t>
      </w:r>
      <w:r>
        <w:t xml:space="preserve">*</w:t>
      </w:r>
      <w:r>
        <w:t xml:space="preserve"> </w:t>
      </w:r>
      <w:r>
        <w:rPr>
          <w:b/>
        </w:rPr>
        <w:t xml:space="preserve">Identification of Best Practices and Areas for Concern.</w:t>
      </w:r>
      <w:r>
        <w:t xml:space="preserve"> </w:t>
      </w:r>
      <w:r>
        <w:t xml:space="preserve">Based on the comparative analysis, best practices in AI pricing will be identified—models that effectively balance economic viability with ethical considerations and technological realities. Conversely, common pitfalls or areas where current pricing models fall short will also be highlighted, particularly concerning issues like fairness, transparency, and sustainability (Mirghaderi et al., 2023).</w:t>
      </w:r>
      <w:r>
        <w:t xml:space="preserve"> </w:t>
      </w:r>
      <w:r>
        <w:t xml:space="preserve">*</w:t>
      </w:r>
      <w:r>
        <w:t xml:space="preserve"> </w:t>
      </w:r>
      <w:r>
        <w:rPr>
          <w:b/>
        </w:rPr>
        <w:t xml:space="preserve">Categorization of Pricing Archetypes.</w:t>
      </w:r>
      <w:r>
        <w:t xml:space="preserve"> </w:t>
      </w:r>
      <w:r>
        <w:t xml:space="preserve">The synthesis may lead to the identification of distinct</w:t>
      </w:r>
      <w:r>
        <w:t xml:space="preserve"> </w:t>
      </w:r>
      <w:r>
        <w:t xml:space="preserve">“</w:t>
      </w:r>
      <w:r>
        <w:t xml:space="preserve">pricing archetypes</w:t>
      </w:r>
      <w:r>
        <w:t xml:space="preserve">”</w:t>
      </w:r>
      <w:r>
        <w:t xml:space="preserve"> </w:t>
      </w:r>
      <w:r>
        <w:t xml:space="preserve">or categories that transcend individual providers, offering a more generalized understanding of AI pricing strategies in the market.</w:t>
      </w:r>
    </w:p>
    <w:p>
      <w:pPr>
        <w:pStyle w:val="BodyText"/>
        <w:spacing w:line="480" w:lineRule="auto"/>
        <w:ind w:firstLine="720"/>
        <w:jc w:val="both"/>
      </w:pPr>
      <w:r>
        <w:rPr>
          <w:b/>
        </w:rPr>
        <w:t xml:space="preserve">Stage 4: Identification of Gaps and Opportunities.</w:t>
      </w:r>
      <w:r>
        <w:t xml:space="preserve"> </w:t>
      </w:r>
      <w:r>
        <w:t xml:space="preserve">The final stage of the analysis leverages the insights from the cross-case synthesis to articulate critical gaps in current AI pricing models and propose opportunities for future innovation and development.</w:t>
      </w:r>
      <w:r>
        <w:t xml:space="preserve"> </w:t>
      </w:r>
      <w:r>
        <w:t xml:space="preserve">*</w:t>
      </w:r>
      <w:r>
        <w:t xml:space="preserve"> </w:t>
      </w:r>
      <w:r>
        <w:rPr>
          <w:b/>
        </w:rPr>
        <w:t xml:space="preserve">Unaddressed Dimensions.</w:t>
      </w:r>
      <w:r>
        <w:t xml:space="preserve"> </w:t>
      </w:r>
      <w:r>
        <w:t xml:space="preserve">This involves pinpointing areas of the analytical framework that are consistently overlooked or inadequately addressed by existing pricing models. For example, if</w:t>
      </w:r>
      <w:r>
        <w:t xml:space="preserve"> </w:t>
      </w:r>
      <w:r>
        <w:t xml:space="preserve">“</w:t>
      </w:r>
      <w:r>
        <w:t xml:space="preserve">Environmental impact</w:t>
      </w:r>
      <w:r>
        <w:t xml:space="preserve">”</w:t>
      </w:r>
      <w:r>
        <w:t xml:space="preserve"> </w:t>
      </w:r>
      <w:r>
        <w:t xml:space="preserve">(Kshirsagar et al., 2irsagar et al., 2021) or</w:t>
      </w:r>
      <w:r>
        <w:t xml:space="preserve"> </w:t>
      </w:r>
      <w:r>
        <w:t xml:space="preserve">“</w:t>
      </w:r>
      <w:r>
        <w:t xml:space="preserve">Fairness and bias mitigation</w:t>
      </w:r>
      <w:r>
        <w:t xml:space="preserve">”</w:t>
      </w:r>
      <w:r>
        <w:t xml:space="preserve"> </w:t>
      </w:r>
      <w:r>
        <w:t xml:space="preserve">(Mirghaderi et al., 2023) are rarely factored into pricing, this represents a significant gap.</w:t>
      </w:r>
      <w:r>
        <w:t xml:space="preserve"> </w:t>
      </w:r>
      <w:r>
        <w:t xml:space="preserve">*</w:t>
      </w:r>
      <w:r>
        <w:t xml:space="preserve"> </w:t>
      </w:r>
      <w:r>
        <w:rPr>
          <w:b/>
        </w:rPr>
        <w:t xml:space="preserve">Theoretical Connections.</w:t>
      </w:r>
      <w:r>
        <w:t xml:space="preserve"> </w:t>
      </w:r>
      <w:r>
        <w:t xml:space="preserve">The findings will be connected back to broader theoretical discussions in economics, ethics, and technology policy. For instance, how do current pricing models reflect or challenge theories of market efficiency, information asymmetry, or the economics of innovation (Divakaruni &amp; Navarro, 2024)?</w:t>
      </w:r>
      <w:r>
        <w:t xml:space="preserve"> </w:t>
      </w:r>
      <w:r>
        <w:t xml:space="preserve">*</w:t>
      </w:r>
      <w:r>
        <w:t xml:space="preserve"> </w:t>
      </w:r>
      <w:r>
        <w:rPr>
          <w:b/>
        </w:rPr>
        <w:t xml:space="preserve">Recommendations for Future Design.</w:t>
      </w:r>
      <w:r>
        <w:t xml:space="preserve"> </w:t>
      </w:r>
      <w:r>
        <w:t xml:space="preserve">Based on the identified gaps and best practices, concrete recommendations will be formulated for the future design of AI pricing models. These recommendations will aim to promote more equitable, sustainable, and economically efficient approaches, considering the perspectives of both providers and users.</w:t>
      </w:r>
      <w:r>
        <w:t xml:space="preserve"> </w:t>
      </w:r>
      <w:r>
        <w:t xml:space="preserve">*</w:t>
      </w:r>
      <w:r>
        <w:t xml:space="preserve"> </w:t>
      </w:r>
      <w:r>
        <w:rPr>
          <w:b/>
        </w:rPr>
        <w:t xml:space="preserve">Future Research Avenues.</w:t>
      </w:r>
      <w:r>
        <w:t xml:space="preserve"> </w:t>
      </w:r>
      <w:r>
        <w:t xml:space="preserve">The analysis will also identify areas where further empirical or theoretical research is needed to deepen the understanding of AI pricing dynamics and their long-term implications.</w:t>
      </w:r>
    </w:p>
    <w:p>
      <w:pPr>
        <w:pStyle w:val="BodyText"/>
        <w:spacing w:line="480" w:lineRule="auto"/>
        <w:ind w:firstLine="720"/>
        <w:jc w:val="both"/>
      </w:pPr>
      <w:r>
        <w:rPr>
          <w:b/>
        </w:rPr>
        <w:t xml:space="preserve">Limitations of the Approach and Validity Measures.</w:t>
      </w:r>
      <w:r>
        <w:t xml:space="preserve"> </w:t>
      </w:r>
      <w:r>
        <w:t xml:space="preserve">While rigorous, this methodological approach has inherent limitations. The reliance on publicly available information means that proprietary or undisclosed aspects of pricing models cannot be fully analyzed. The dynamic nature of the AI market also implies that pricing models can change rapidly, necessitating a focus on current trends (Korinek, 2025)(Satapathi, 2025)(Bhuram, 2025)(Niharika et al., 2024). To enhance the validity and reliability of the findings, several measures will be employed: clear and explicit definitions for all framework criteria, systematic data extraction and coding procedures, and multiple rounds of review for individual case assessments and cross-case comparisons. The theoretical grounding of the framework and its systematic application will ensure the internal consistency and logical coherence of the analysis, providing a robust foundation for the study’s conclusions.</w:t>
      </w:r>
    </w:p>
    <w:p>
      <w:pPr>
        <w:pStyle w:val="BodyText"/>
        <w:spacing w:line="480" w:lineRule="auto"/>
        <w:ind w:firstLine="720"/>
        <w:jc w:val="both"/>
      </w:pPr>
      <w:r>
        <w:t xml:space="preserve">This detailed methodological framework ensures a thorough, systematic, and ethically informed analysis of AI pricing models. By integrating economic, technological, and ethical dimensions, the study aims to provide a comprehensive understanding of current practices and actionable insights for the future development of the AI economy. The transparent and structured approach ensures that the findings are robust, replicable, and contribute meaningfully to the discourse on AI ethics and economics.</w:t>
      </w:r>
    </w:p>
    <w:p>
      <w:pPr>
        <w:pStyle w:val="Heading1"/>
      </w:pPr>
      <w:bookmarkStart w:id="48" w:name="analysis"/>
      <w:r>
        <w:t xml:space="preserve">Analysis</w:t>
      </w:r>
      <w:bookmarkEnd w:id="48"/>
    </w:p>
    <w:p>
      <w:pPr>
        <w:pStyle w:val="FirstParagraph"/>
        <w:spacing w:line="480" w:lineRule="auto"/>
        <w:ind w:firstLine="720"/>
        <w:jc w:val="both"/>
      </w:pPr>
      <w:r>
        <w:t xml:space="preserve">The proliferation of artificial intelligence (AI) technologies across various sectors has necessitated the development of robust and equitable pricing models. Unlike traditional software, AI services often involve complex computational resources, continuous model training, and varying degrees of intellectual property, making their valuation a multifaceted challenge (Korinek, 2025). This section undertakes a comprehensive analysis of the prevailing AI pricing models, dissecting their advantages, disadvantages, and real-world applications. Furthermore, it explores the burgeoning landscape of hybrid pricing strategies, which seek to balance economic viability with ethical considerations and user accessibility. The goal is to provide a nuanced understanding of how AI is monetized, the implications for both providers and consumers, and the strategic directions for future development in this dynamic market (Lorente, 2025).</w:t>
      </w:r>
    </w:p>
    <w:p>
      <w:pPr>
        <w:pStyle w:val="Heading2"/>
        <w:pageBreakBefore/>
      </w:pPr>
      <w:bookmarkStart w:id="49" w:name="X58e412b6633a8e7cd173037785a8c86b02305e0"/>
      <w:r>
        <w:t xml:space="preserve">1. Comparative Analysis of AI Pricing Models</w:t>
      </w:r>
      <w:bookmarkEnd w:id="49"/>
    </w:p>
    <w:p>
      <w:pPr>
        <w:pStyle w:val="FirstParagraph"/>
        <w:spacing w:line="480" w:lineRule="auto"/>
        <w:ind w:firstLine="720"/>
        <w:jc w:val="both"/>
      </w:pPr>
      <w:r>
        <w:t xml:space="preserve">The diverse nature of AI services, ranging from highly specialized machine learning (ML) models to general-purpose large language models (LLMs), has led to the adoption of a variety of pricing strategies. Each model reflects different assumptions about value creation, cost recovery, and market positioning. Understanding these distinctions is crucial for both AI developers seeking to commercialize their innovations and users aiming to optimize their consumption (De, 2017).</w:t>
      </w:r>
    </w:p>
    <w:p>
      <w:pPr>
        <w:pStyle w:val="Heading3"/>
      </w:pPr>
      <w:bookmarkStart w:id="50" w:name="cost-plus-pricing"/>
      <w:r>
        <w:t xml:space="preserve">1.1 Cost-Plus Pricing</w:t>
      </w:r>
      <w:bookmarkEnd w:id="50"/>
    </w:p>
    <w:p>
      <w:pPr>
        <w:pStyle w:val="FirstParagraph"/>
        <w:spacing w:line="480" w:lineRule="auto"/>
        <w:ind w:firstLine="720"/>
        <w:jc w:val="both"/>
      </w:pPr>
      <w:r>
        <w:t xml:space="preserve">Cost-plus pricing is one of the most straightforward methods, where the price of an AI service is determined by calculating the total cost of production and adding a predetermined profit margin (Kshirsagar et al., 2021). This approach typically involves aggregating direct costs, such as computational resources (GPUs, TPUs), data acquisition and labeling, model development and training, and infrastructure maintenance. Indirect costs, including research and development, marketing, and administrative overhead, are also factored in. For AI services, the computational cost can be substantial, particularly for large-scale models requiring extensive training data and iterative refinement (Kshirsagar et al., 2021). The transparency offered by this model can be appealing, as it directly links the price to the resources consumed, potentially fostering trust with customers who understand the underlying expenditures.</w:t>
      </w:r>
    </w:p>
    <w:p>
      <w:pPr>
        <w:pStyle w:val="BodyText"/>
        <w:spacing w:line="480" w:lineRule="auto"/>
        <w:ind w:firstLine="720"/>
        <w:jc w:val="both"/>
      </w:pPr>
      <w:r>
        <w:t xml:space="preserve">A significant advantage of cost-plus pricing lies in its simplicity and predictability. Providers can ensure that every service sold contributes to covering costs and generating a profit, reducing financial risk. This model is particularly relevant for custom AI solutions or projects where the computational and development effort can be clearly delineated and tracked (Kshirsagar et al., 2021). For instance, a company commissioning a bespoke ML model for fraud detection might be charged based on the engineering hours, the specific dataset used, and the compute time expended on training and fine-tuning the model. This method ensures that the provider is compensated for the unique effort involved in developing a tailored solution. Moreover, in nascent AI markets, where value propositions are still evolving and competitive benchmarks are scarce, cost-plus pricing can serve as a pragmatic starting point, allowing providers to establish a baseline for their offerings.</w:t>
      </w:r>
    </w:p>
    <w:p>
      <w:pPr>
        <w:pStyle w:val="BodyText"/>
        <w:spacing w:line="480" w:lineRule="auto"/>
        <w:ind w:firstLine="720"/>
        <w:jc w:val="both"/>
      </w:pPr>
      <w:r>
        <w:t xml:space="preserve">However, cost-plus pricing also presents several notable disadvantages in the context of AI. Firstly, it often fails to account for the perceived value of the AI service to the customer (Maguire, 2021). A highly efficient AI model that solves a critical business problem could generate immense value for a client, far exceeding its development cost. By solely focusing on costs, providers might leave significant revenue on the table. Secondly, accurately calculating all costs associated with AI development and deployment can be challenging. The iterative nature of AI research, the unforeseen computational demands, and the continuous need for model updates can make cost estimation difficult and prone to inaccuracies (Kshirsagar et al., 2021). This complexity is further exacerbated by the dynamic nature of cloud computing costs, which can fluctuate based on demand and resource availability. Thirdly, cost-plus pricing offers little incentive for efficiency improvements beyond the profit margin. If a provider finds ways to reduce the operational costs of their AI service, but their pricing model is strictly cost-plus, they might not fully capture the benefits of those efficiencies in increased profit margins, unless they adjust the profit percentage. Lastly, in a competitive market, a purely cost-plus approach may render an AI service uncompetitive if rivals can offer similar solutions at a lower price point, perhaps due to superior economies of scale or more innovative cost structures.</w:t>
      </w:r>
    </w:p>
    <w:p>
      <w:pPr>
        <w:pStyle w:val="Heading3"/>
      </w:pPr>
      <w:bookmarkStart w:id="51" w:name="value-based-pricing"/>
      <w:r>
        <w:t xml:space="preserve">1.2 Value-Based Pricing</w:t>
      </w:r>
      <w:bookmarkEnd w:id="51"/>
    </w:p>
    <w:p>
      <w:pPr>
        <w:pStyle w:val="FirstParagraph"/>
        <w:spacing w:line="480" w:lineRule="auto"/>
        <w:ind w:firstLine="720"/>
        <w:jc w:val="both"/>
      </w:pPr>
      <w:r>
        <w:t xml:space="preserve">Value-based pricing stands in stark contrast to cost-plus, focusing not on the cost of production but on the perceived or actual value an AI service delivers to the customer (Maguire, 2021). This approach requires a deep understanding of the customer’s needs, business objectives, and the tangible benefits derived from the AI solution. For example, an AI system that automates a process previously requiring hundreds of human hours, or one that identifies critical market trends leading to millions in new revenue, creates substantial value. The pricing, in this model, would reflect a fraction of that generated value, positioning the AI service as an investment rather than an expense (Lorente, 2025). This strategy aligns the interests of the provider with those of the customer, as the provider’s revenue is directly tied to the success and impact of their AI offering.</w:t>
      </w:r>
    </w:p>
    <w:p>
      <w:pPr>
        <w:pStyle w:val="BodyText"/>
        <w:spacing w:line="480" w:lineRule="auto"/>
        <w:ind w:firstLine="720"/>
        <w:jc w:val="both"/>
      </w:pPr>
      <w:r>
        <w:t xml:space="preserve">The primary advantage of value-based pricing is its potential for higher profit margins. By capturing a portion of the value created for the customer, providers can command premium prices, especially for highly impactful AI solutions. This model encourages innovation and continuous improvement, as providers are incentivized to enhance the value proposition of their AI services to justify higher prices (Maguire, 2021). Furthermore, it fosters stronger customer relationships, as the focus shifts from transactional costs to long-term value partnerships. Customers are more likely to invest in solutions that clearly demonstrate a return on investment, making the value proposition a key differentiator in a crowded market (Lorente, 2025). This approach is particularly effective for specialized AI applications where the impact is clear and quantifiable, such as AI-driven drug discovery, financial fraud detection, or highly optimized logistics systems.</w:t>
      </w:r>
    </w:p>
    <w:p>
      <w:pPr>
        <w:pStyle w:val="BodyText"/>
        <w:spacing w:line="480" w:lineRule="auto"/>
        <w:ind w:firstLine="720"/>
        <w:jc w:val="both"/>
      </w:pPr>
      <w:r>
        <w:t xml:space="preserve">However, implementing value-based pricing is considerably more complex than cost-plus. Quantifying the precise value an AI service delivers can be challenging, especially for intangible benefits or in situations where the AI is one of many factors contributing to a business outcome (Maguire, 2021). It often requires extensive customer research, pilot programs, and sophisticated analytical tools to measure impact. Customers may also be reluctant to share proprietary information necessary for accurate value assessment, or they may dispute the calculated value, leading to negotiation complexities (Ayata, 2020). Moreover, the perceived value of an AI service can diminish over time as competitors emerge or as the technology becomes more commoditized. This necessitates continuous re-evaluation of pricing strategies. There’s also the risk of overpricing if the perceived value is overestimated, potentially alienating price-sensitive customers or those who are skeptical of the AI’s promised benefits. Lastly, for general-purpose AI models like LLMs, where the application varies widely across users, defining a universal</w:t>
      </w:r>
      <w:r>
        <w:t xml:space="preserve"> </w:t>
      </w:r>
      <w:r>
        <w:t xml:space="preserve">“</w:t>
      </w:r>
      <w:r>
        <w:t xml:space="preserve">value</w:t>
      </w:r>
      <w:r>
        <w:t xml:space="preserve">”</w:t>
      </w:r>
      <w:r>
        <w:t xml:space="preserve"> </w:t>
      </w:r>
      <w:r>
        <w:t xml:space="preserve">metric becomes exceptionally difficult, often pushing providers towards usage-based or subscription models instead.</w:t>
      </w:r>
    </w:p>
    <w:p>
      <w:pPr>
        <w:pStyle w:val="Heading3"/>
      </w:pPr>
      <w:bookmarkStart w:id="52" w:name="usage-based-and-token-pricing"/>
      <w:r>
        <w:t xml:space="preserve">1.3 Usage-Based and Token Pricing</w:t>
      </w:r>
      <w:bookmarkEnd w:id="52"/>
    </w:p>
    <w:p>
      <w:pPr>
        <w:pStyle w:val="FirstParagraph"/>
        <w:spacing w:line="480" w:lineRule="auto"/>
        <w:ind w:firstLine="720"/>
        <w:jc w:val="both"/>
      </w:pPr>
      <w:r>
        <w:t xml:space="preserve">Usage-based pricing, also known as pay-as-you-go, charges customers based on their actual consumption of the AI service (De, 2017). This model is highly prevalent in the cloud computing and API economy, where resources like compute time, data storage, or API calls are metered (Satapathi, 2025). For large language models (LLMs), a specific form of usage-based pricing has emerged: token pricing. Tokens are the fundamental units of text (words, subwords, or characters) that LLMs process. Users are charged per token for both input (prompts) and output (generated responses) (Barbere et al., 2024). This granular metering allows for precise cost allocation and aligns directly with the computational effort expended by the model.</w:t>
      </w:r>
    </w:p>
    <w:p>
      <w:pPr>
        <w:pStyle w:val="BodyText"/>
        <w:spacing w:line="480" w:lineRule="auto"/>
        <w:ind w:firstLine="720"/>
        <w:jc w:val="both"/>
      </w:pPr>
      <w:r>
        <w:t xml:space="preserve">The primary advantage of usage-based and token pricing is its flexibility and fairness from the customer’s perspective. Users only pay for what they consume, making it an attractive option for businesses with fluctuating demands or those just starting to explore AI capabilities (De, 2017). This low barrier to entry encourages experimentation and wider adoption, as customers can scale their usage up or down without committing to large upfront investments. For providers, this model can lead to predictable revenue streams for established services and allows them to capture revenue from high-volume users, which might be missed in flat-rate subscription models. It also inherently encourages efficient use of the AI service, as users are incentivized to optimize their prompts and requests to minimize token count and therefore cost (Barbere et al., 2024). The transparency of usage metrics, such as API calls or token counts, provides clear billing information (Satapathi, 2025).</w:t>
      </w:r>
    </w:p>
    <w:p>
      <w:pPr>
        <w:pStyle w:val="BodyText"/>
        <w:spacing w:line="480" w:lineRule="auto"/>
        <w:ind w:firstLine="720"/>
        <w:jc w:val="both"/>
      </w:pPr>
      <w:r>
        <w:t xml:space="preserve">However, usage-based pricing, particularly token pricing, comes with its own set of challenges. For users, unpredictable costs can be a significant concern. Without careful monitoring, usage can quickly escalate, leading to unexpectedly high bills, especially during peak periods or for complex tasks (Barbere et al., 2024). This unpredictability can make budgeting difficult for businesses. Furthermore, the concept of a</w:t>
      </w:r>
      <w:r>
        <w:t xml:space="preserve"> </w:t>
      </w:r>
      <w:r>
        <w:t xml:space="preserve">“</w:t>
      </w:r>
      <w:r>
        <w:t xml:space="preserve">token</w:t>
      </w:r>
      <w:r>
        <w:t xml:space="preserve">”</w:t>
      </w:r>
      <w:r>
        <w:t xml:space="preserve"> </w:t>
      </w:r>
      <w:r>
        <w:t xml:space="preserve">itself can be opaque to end-users, especially when a single word might translate to multiple tokens depending on the language and encoding (Barbere et al., 2024). This lack of intuitive understanding can lead to frustration and a perception of unfairness. For providers, managing infrastructure to meet unpredictable demand and accurately metering usage at scale requires sophisticated technical systems (De, 2017). There’s also the risk of</w:t>
      </w:r>
      <w:r>
        <w:t xml:space="preserve"> </w:t>
      </w:r>
      <w:r>
        <w:t xml:space="preserve">“</w:t>
      </w:r>
      <w:r>
        <w:t xml:space="preserve">penny-pinching</w:t>
      </w:r>
      <w:r>
        <w:t xml:space="preserve">”</w:t>
      </w:r>
      <w:r>
        <w:t xml:space="preserve"> </w:t>
      </w:r>
      <w:r>
        <w:t xml:space="preserve">by users, who might compromise the quality or comprehensiveness of their AI interactions to save on token costs, potentially limiting the full utility of the AI service. Finally, this model may not adequately capture the intrinsic value of the AI’s capabilities, especially for highly sophisticated models where the intellectual property and training investment are substantial, irrespective of a single query’s token count.</w:t>
      </w:r>
    </w:p>
    <w:p>
      <w:pPr>
        <w:pStyle w:val="Heading3"/>
      </w:pPr>
      <w:bookmarkStart w:id="53" w:name="subscription-and-tiered-models"/>
      <w:r>
        <w:t xml:space="preserve">1.4 Subscription and Tiered Models</w:t>
      </w:r>
      <w:bookmarkEnd w:id="53"/>
    </w:p>
    <w:p>
      <w:pPr>
        <w:pStyle w:val="FirstParagraph"/>
        <w:spacing w:line="480" w:lineRule="auto"/>
        <w:ind w:firstLine="720"/>
        <w:jc w:val="both"/>
      </w:pPr>
      <w:r>
        <w:t xml:space="preserve">Subscription-based pricing involves customers paying a recurring fee (monthly, annually) for access to an AI service or a defined set of features (Ladas et al., 2019). This model is widely adopted across the software-as-a-service (SaaS) industry and has naturally extended to AI services. Within the subscription framework, tiered pricing is a common variation, offering different levels of service at varying price points (Satapathi, 2025). These tiers typically differentiate access based on features, usage limits (e.g., number of API calls, token volume), priority access, support levels, or the capabilities of the underlying AI model (e.g., access to a smaller, faster model versus a larger, more capable one).</w:t>
      </w:r>
    </w:p>
    <w:p>
      <w:pPr>
        <w:pStyle w:val="BodyText"/>
        <w:spacing w:line="480" w:lineRule="auto"/>
        <w:ind w:firstLine="720"/>
        <w:jc w:val="both"/>
      </w:pPr>
      <w:r>
        <w:t xml:space="preserve">The primary benefit of subscription and tiered models is revenue predictability for providers (Ladas et al., 2019). Recurring revenue allows for better financial planning, investment in R&amp;D, and stable growth. For customers, subscriptions offer cost predictability, making budgeting simpler and eliminating the concern of unexpected spikes in usage-based billing (Satapathi, 2025). Tiers provide flexibility, allowing customers to choose a plan that best fits their needs and budget, and offering a clear upgrade path as their requirements evolve. This structure is particularly effective for AI tools that are integrated into daily workflows or require consistent access, such as AI-powered writing assistants, code generators, or advanced analytics platforms. The</w:t>
      </w:r>
      <w:r>
        <w:t xml:space="preserve"> </w:t>
      </w:r>
      <w:r>
        <w:t xml:space="preserve">“</w:t>
      </w:r>
      <w:r>
        <w:t xml:space="preserve">all-you-can-eat</w:t>
      </w:r>
      <w:r>
        <w:t xml:space="preserve">”</w:t>
      </w:r>
      <w:r>
        <w:t xml:space="preserve"> </w:t>
      </w:r>
      <w:r>
        <w:t xml:space="preserve">nature of some subscription tiers can also encourage greater exploration and utilization of the AI service without the constant worry of incremental costs.</w:t>
      </w:r>
    </w:p>
    <w:p>
      <w:pPr>
        <w:pStyle w:val="BodyText"/>
        <w:spacing w:line="480" w:lineRule="auto"/>
        <w:ind w:firstLine="720"/>
        <w:jc w:val="both"/>
      </w:pPr>
      <w:r>
        <w:t xml:space="preserve">Despite these advantages, subscription and tiered models also have drawbacks. For providers, acquiring and retaining subscribers can be challenging, especially in competitive markets (Siddannavar et al., 2025). There is constant pressure to demonstrate ongoing value to prevent churn. If the perceived value of the subscription does not meet expectations, customers may cancel. For customers, the fixed cost of a subscription can be a disadvantage if their usage is low or intermittent, leading to feelings of overpayment (Ladas et al., 2019). The</w:t>
      </w:r>
      <w:r>
        <w:t xml:space="preserve"> </w:t>
      </w:r>
      <w:r>
        <w:t xml:space="preserve">“</w:t>
      </w:r>
      <w:r>
        <w:t xml:space="preserve">tier lock-in</w:t>
      </w:r>
      <w:r>
        <w:t xml:space="preserve">”</w:t>
      </w:r>
      <w:r>
        <w:t xml:space="preserve"> </w:t>
      </w:r>
      <w:r>
        <w:t xml:space="preserve">can also be frustrating if a customer’s needs fall exactly between two tiers, forcing them to either overpay for unused features or be limited by insufficient resources. Furthermore, defining appropriate tiers requires careful market research and balancing acts. If tiers are too restrictive, they can deter adoption; if they are too generous, they can cannibalize higher-tier sales. The complexity of managing multiple feature sets, usage limits, and support levels across different tiers can also add operational overhead for providers (Satapathi, 2025). Lastly, for highly innovative AI capabilities, a flat subscription might not adequately capture the differential value created for different users, potentially leaving revenue on the table compared to a more granular value-based or usage-based approach.</w:t>
      </w:r>
    </w:p>
    <w:p>
      <w:pPr>
        <w:pStyle w:val="Heading3"/>
      </w:pPr>
      <w:bookmarkStart w:id="54" w:name="freemium-strategies"/>
      <w:r>
        <w:t xml:space="preserve">1.5 Freemium Strategies</w:t>
      </w:r>
      <w:bookmarkEnd w:id="54"/>
    </w:p>
    <w:p>
      <w:pPr>
        <w:pStyle w:val="FirstParagraph"/>
        <w:spacing w:line="480" w:lineRule="auto"/>
        <w:ind w:firstLine="720"/>
        <w:jc w:val="both"/>
      </w:pPr>
      <w:r>
        <w:t xml:space="preserve">Freemium is a business model where a basic version of an AI service is offered for free, while advanced features, higher usage limits, or premium support are available through paid subscriptions (Seufert, 2014). This strategy aims to attract a large user base with the free offering, converting a portion of these users into paying customers as their needs grow or they recognize the value of the premium features. In the AI context, this might involve offering a limited number of free API calls, a slower or smaller AI model, or basic functionality without advanced customization options.</w:t>
      </w:r>
    </w:p>
    <w:p>
      <w:pPr>
        <w:pStyle w:val="BodyText"/>
        <w:spacing w:line="480" w:lineRule="auto"/>
        <w:ind w:firstLine="720"/>
        <w:jc w:val="both"/>
      </w:pPr>
      <w:r>
        <w:t xml:space="preserve">The primary advantage of a freemium model is its powerful user acquisition capability. By removing financial barriers to entry, providers can quickly gain a large user base, generate brand awareness, and collect valuable feedback on their AI service (Seufert, 2014). This broad exposure can create network effects, where the value of the service increases with more users. For customers, freemium offers a risk-free way to test and evaluate an AI service before committing financially, allowing them to experience the value firsthand. This</w:t>
      </w:r>
      <w:r>
        <w:t xml:space="preserve"> </w:t>
      </w:r>
      <w:r>
        <w:t xml:space="preserve">“</w:t>
      </w:r>
      <w:r>
        <w:t xml:space="preserve">try before you buy</w:t>
      </w:r>
      <w:r>
        <w:t xml:space="preserve">”</w:t>
      </w:r>
      <w:r>
        <w:t xml:space="preserve"> </w:t>
      </w:r>
      <w:r>
        <w:t xml:space="preserve">approach can build trust and confidence in the AI technology. It also serves as an effective marketing tool, as free users often act as advocates, spreading word-of-mouth about the service.</w:t>
      </w:r>
    </w:p>
    <w:p>
      <w:pPr>
        <w:pStyle w:val="BodyText"/>
        <w:spacing w:line="480" w:lineRule="auto"/>
        <w:ind w:firstLine="720"/>
        <w:jc w:val="both"/>
      </w:pPr>
      <w:r>
        <w:t xml:space="preserve">However, the freemium model carries significant risks and challenges. The most prominent is the difficulty in converting free users into paying customers. Many users may be content with the free version and never upgrade, leading to substantial operational costs for the provider without corresponding revenue (Seufert, 2014). This requires careful balancing of the free offering – it must be valuable enough to attract users but limited enough to incentivize upgrades. The cost of serving free users, including infrastructure, support, and maintenance, can be substantial, especially for computationally intensive AI services. Furthermore, managing the distinction between free and premium features can be tricky; if the free version is too generous, it cannibalizes paid sales, but if it’s too restrictive, it fails to demonstrate sufficient value. There’s also the risk of brand dilution if the free version is perceived as low quality or unreliable. For AI services, where the underlying computational costs can be high, sustaining a large free tier can be financially unsustainable without a strong conversion rate (Seufert, 2014). This necessitates a robust understanding of customer lifetime value and effective monetization strategies for the premium tiers.</w:t>
      </w:r>
    </w:p>
    <w:p>
      <w:pPr>
        <w:pStyle w:val="Heading3"/>
      </w:pPr>
      <w:bookmarkStart w:id="55" w:name="dynamic-pricing-mechanisms"/>
      <w:r>
        <w:t xml:space="preserve">1.6 Dynamic Pricing Mechanisms</w:t>
      </w:r>
      <w:bookmarkEnd w:id="55"/>
    </w:p>
    <w:p>
      <w:pPr>
        <w:pStyle w:val="FirstParagraph"/>
        <w:spacing w:line="480" w:lineRule="auto"/>
        <w:ind w:firstLine="720"/>
        <w:jc w:val="both"/>
      </w:pPr>
      <w:r>
        <w:t xml:space="preserve">Dynamic pricing involves adjusting the price of an AI service in real-time based on various factors, such as demand, supply, time of day, user segment, or even competitor pricing (Bhuram, 2025). This approach leverages data analytics and machine learning algorithms to optimize pricing for maximum revenue or utility. In the context of AI, dynamic pricing could mean higher costs for API calls during peak hours, differentiated pricing based on the complexity of the query, or personalized pricing based on a user’s historical usage patterns and perceived willingness to pay (Niharika et al., 2024). The core idea is to respond flexibly to market conditions and individual user characteristics.</w:t>
      </w:r>
    </w:p>
    <w:p>
      <w:pPr>
        <w:pStyle w:val="BodyText"/>
        <w:spacing w:line="480" w:lineRule="auto"/>
        <w:ind w:firstLine="720"/>
        <w:jc w:val="both"/>
      </w:pPr>
      <w:r>
        <w:t xml:space="preserve">The main advantage of dynamic pricing is its potential to optimize revenue and resource utilization. By adjusting prices based on demand, providers can smooth out usage peaks, ensuring better service quality for all users and maximizing the utilization of their expensive AI infrastructure (Bhuram, 2025). During low-demand periods, lower prices can stimulate usage, while higher prices during peak times can manage congestion and capture additional revenue. This flexibility allows providers to respond quickly to market changes and competitive pressures. For certain user segments, personalized dynamic pricing could offer more relevant and potentially lower prices, enhancing customer satisfaction and encouraging adoption (Niharika et al., 2024). It also provides a mechanism to monetize AI services more effectively by capturing consumer surplus across different market conditions.</w:t>
      </w:r>
    </w:p>
    <w:p>
      <w:pPr>
        <w:pStyle w:val="BodyText"/>
        <w:spacing w:line="480" w:lineRule="auto"/>
        <w:ind w:firstLine="720"/>
        <w:jc w:val="both"/>
      </w:pPr>
      <w:r>
        <w:t xml:space="preserve">However, dynamic pricing is fraught with complexities and potential pitfalls. From a customer perspective, fluctuating prices can lead to frustration, confusion, and a perception of unfairness (Ayata, 2020). Users may feel exploited if they see prices change arbitrarily or if they suspect personalized pricing is discriminatory. This can erode trust and lead to negative public relations. Implementing dynamic pricing requires sophisticated data analytics capabilities, real-time market monitoring, and robust algorithms to ensure prices are optimized effectively without alienating customers (Niharika et al., 2024). Providers must also navigate ethical considerations, particularly regarding price discrimination and ensuring that essential AI services remain accessible. There’s a risk of creating a</w:t>
      </w:r>
      <w:r>
        <w:t xml:space="preserve"> </w:t>
      </w:r>
      <w:r>
        <w:t xml:space="preserve">“</w:t>
      </w:r>
      <w:r>
        <w:t xml:space="preserve">black box</w:t>
      </w:r>
      <w:r>
        <w:t xml:space="preserve">”</w:t>
      </w:r>
      <w:r>
        <w:t xml:space="preserve"> </w:t>
      </w:r>
      <w:r>
        <w:t xml:space="preserve">pricing mechanism that customers don’t understand, leading to resentment. Furthermore, in highly competitive markets, overly aggressive dynamic pricing can backfire, driving customers to rivals with more stable or transparent pricing structures. The legal and regulatory landscape around dynamic pricing, especially concerning anti-trust and consumer protection, is also evolving, posing additional challenges (Ayata, 2020).</w:t>
      </w:r>
    </w:p>
    <w:p>
      <w:pPr>
        <w:pStyle w:val="Heading3"/>
      </w:pPr>
      <w:bookmarkStart w:id="56" w:name="ethics-driven-and-green-ai-pricing"/>
      <w:r>
        <w:t xml:space="preserve">1.7 Ethics-Driven and Green AI Pricing</w:t>
      </w:r>
      <w:bookmarkEnd w:id="56"/>
    </w:p>
    <w:p>
      <w:pPr>
        <w:pStyle w:val="FirstParagraph"/>
        <w:spacing w:line="480" w:lineRule="auto"/>
        <w:ind w:firstLine="720"/>
        <w:jc w:val="both"/>
      </w:pPr>
      <w:r>
        <w:t xml:space="preserve">An emerging paradigm in AI pricing is the integration of ethical considerations, particularly those related to environmental sustainability and social equity. Green AI pricing explicitly incorporates the environmental cost of AI development and deployment, aiming to incentivize more energy-efficient models and practices (Kshirsagar et al., 2021). This might involve higher prices for computationally intensive models with large carbon footprints or discounts for models optimized for energy efficiency. Ethics-driven pricing extends beyond environmental impact to encompass fairness, transparency, and accessibility, seeking to ensure that AI services are not only profitable but also socially responsible.</w:t>
      </w:r>
    </w:p>
    <w:p>
      <w:pPr>
        <w:pStyle w:val="BodyText"/>
        <w:spacing w:line="480" w:lineRule="auto"/>
        <w:ind w:firstLine="720"/>
        <w:jc w:val="both"/>
      </w:pPr>
      <w:r>
        <w:t xml:space="preserve">The primary advantage of ethics-driven and Green AI pricing is its alignment with growing societal demands for corporate social responsibility and sustainable practices. For providers, adopting such models can enhance brand reputation, attract environmentally conscious customers and investors, and differentiate their offerings in a competitive market (Mirghaderi et al., 2023). It encourages the development of more efficient AI algorithms and hardware, fostering innovation in</w:t>
      </w:r>
      <w:r>
        <w:t xml:space="preserve"> </w:t>
      </w:r>
      <w:r>
        <w:t xml:space="preserve">“</w:t>
      </w:r>
      <w:r>
        <w:t xml:space="preserve">green computing</w:t>
      </w:r>
      <w:r>
        <w:t xml:space="preserve">”</w:t>
      </w:r>
      <w:r>
        <w:t xml:space="preserve"> </w:t>
      </w:r>
      <w:r>
        <w:t xml:space="preserve">within the AI domain (Kshirsagar et al., 2021). From a broader societal perspective, it helps mitigate the environmental impact of AI, which is becoming increasingly significant due to the energy demands of large-scale model training. For customers, choosing ethically priced AI services allows them to contribute to sustainable development and ensures they are engaging with responsible technology providers. This can be a key factor for organizations committed to their own ESG (Environmental, Social, and Governance) goals.</w:t>
      </w:r>
    </w:p>
    <w:p>
      <w:pPr>
        <w:pStyle w:val="BodyText"/>
        <w:spacing w:line="480" w:lineRule="auto"/>
        <w:ind w:firstLine="720"/>
        <w:jc w:val="both"/>
      </w:pPr>
      <w:r>
        <w:t xml:space="preserve">Despite its laudable goals, implementing ethics-driven and Green AI pricing presents significant challenges. Quantifying the environmental cost of an AI model, including its carbon footprint from training, inference, and data storage, is complex and requires standardized metrics that are still under development (Kshirsagar et al., 2021). There is also the challenge of translating these environmental costs into a transparent and acceptable pricing structure for customers. Customers may be reluctant to pay a premium for</w:t>
      </w:r>
      <w:r>
        <w:t xml:space="preserve"> </w:t>
      </w:r>
      <w:r>
        <w:t xml:space="preserve">“</w:t>
      </w:r>
      <w:r>
        <w:t xml:space="preserve">green</w:t>
      </w:r>
      <w:r>
        <w:t xml:space="preserve">”</w:t>
      </w:r>
      <w:r>
        <w:t xml:space="preserve"> </w:t>
      </w:r>
      <w:r>
        <w:t xml:space="preserve">AI if they do not perceive a direct benefit to their own operations, especially if cheaper, less environmentally friendly alternatives exist. Furthermore, defining and measuring</w:t>
      </w:r>
      <w:r>
        <w:t xml:space="preserve"> </w:t>
      </w:r>
      <w:r>
        <w:t xml:space="preserve">“</w:t>
      </w:r>
      <w:r>
        <w:t xml:space="preserve">ethical</w:t>
      </w:r>
      <w:r>
        <w:t xml:space="preserve">”</w:t>
      </w:r>
      <w:r>
        <w:t xml:space="preserve"> </w:t>
      </w:r>
      <w:r>
        <w:t xml:space="preserve">AI attributes beyond environmental impact, such as fairness, bias mitigation, and transparency, and then integrating these into a pricing model, is even more complex (Mirghaderi et al., 2023). There’s a risk of</w:t>
      </w:r>
      <w:r>
        <w:t xml:space="preserve"> </w:t>
      </w:r>
      <w:r>
        <w:t xml:space="preserve">“</w:t>
      </w:r>
      <w:r>
        <w:t xml:space="preserve">greenwashing</w:t>
      </w:r>
      <w:r>
        <w:t xml:space="preserve">”</w:t>
      </w:r>
      <w:r>
        <w:t xml:space="preserve"> </w:t>
      </w:r>
      <w:r>
        <w:t xml:space="preserve">or</w:t>
      </w:r>
      <w:r>
        <w:t xml:space="preserve"> </w:t>
      </w:r>
      <w:r>
        <w:t xml:space="preserve">“</w:t>
      </w:r>
      <w:r>
        <w:t xml:space="preserve">ethics-washing,</w:t>
      </w:r>
      <w:r>
        <w:t xml:space="preserve">”</w:t>
      </w:r>
      <w:r>
        <w:t xml:space="preserve"> </w:t>
      </w:r>
      <w:r>
        <w:t xml:space="preserve">where providers superficially adopt these labels without genuine commitment, undermining the credibility of the entire approach. The market for ethics-driven AI is still nascent, and the willingness of customers to pay a premium for these attributes is not yet fully established, creating uncertainty for early adopters of such pricing models.</w:t>
      </w:r>
    </w:p>
    <w:p>
      <w:pPr>
        <w:pStyle w:val="Heading2"/>
      </w:pPr>
      <w:bookmarkStart w:id="57" w:name="Xb65f36b61ce418f37c17822942d0dd025a28b2a"/>
      <w:r>
        <w:t xml:space="preserve">2. Advantages and Disadvantages of Dominant AI Pricing Strategies</w:t>
      </w:r>
      <w:bookmarkEnd w:id="57"/>
    </w:p>
    <w:p>
      <w:pPr>
        <w:pStyle w:val="FirstParagraph"/>
        <w:spacing w:line="480" w:lineRule="auto"/>
        <w:ind w:firstLine="720"/>
        <w:jc w:val="both"/>
      </w:pPr>
      <w:r>
        <w:t xml:space="preserve">The choice of an AI pricing model is a strategic decision with far-reaching implications for both providers and consumers. It influences market adoption, revenue stability, operational efficiency, and even the ethical landscape of AI development (Lorente, 2025). A thorough examination of the advantages and disadvantages across economic, operational, user experience, and ethical dimensions reveals the trade-offs inherent in each approach.</w:t>
      </w:r>
    </w:p>
    <w:p>
      <w:pPr>
        <w:pStyle w:val="Heading3"/>
      </w:pPr>
      <w:bookmarkStart w:id="58" w:name="economic-implications"/>
      <w:r>
        <w:t xml:space="preserve">2.1 Economic Implications</w:t>
      </w:r>
      <w:bookmarkEnd w:id="58"/>
    </w:p>
    <w:p>
      <w:pPr>
        <w:pStyle w:val="FirstParagraph"/>
        <w:spacing w:line="480" w:lineRule="auto"/>
        <w:ind w:firstLine="720"/>
        <w:jc w:val="both"/>
      </w:pPr>
      <w:r>
        <w:t xml:space="preserve">Economically, each pricing model optimizes for different outcomes.</w:t>
      </w:r>
      <w:r>
        <w:t xml:space="preserve"> </w:t>
      </w:r>
      <w:r>
        <w:rPr>
          <w:b/>
        </w:rPr>
        <w:t xml:space="preserve">Cost-plus pricing</w:t>
      </w:r>
      <w:r>
        <w:t xml:space="preserve"> </w:t>
      </w:r>
      <w:r>
        <w:t xml:space="preserve">offers economic predictability for providers, ensuring cost recovery and a guaranteed profit margin (Kshirsagar et al., 2021). This reduces financial risk, especially for bespoke or early-stage AI projects where market value is uncertain. However, it can lead to under-monetization if the AI’s value significantly exceeds its cost, leaving potential revenue on the table. It also provides less incentive for cost efficiency beyond the target profit margin. For customers, it offers transparent pricing, but potentially at a higher cost than market-driven alternatives, especially if the provider is inefficient.</w:t>
      </w:r>
    </w:p>
    <w:p>
      <w:pPr>
        <w:pStyle w:val="BodyText"/>
        <w:spacing w:line="480" w:lineRule="auto"/>
        <w:ind w:firstLine="720"/>
        <w:jc w:val="both"/>
      </w:pPr>
      <w:r>
        <w:rPr>
          <w:b/>
        </w:rPr>
        <w:t xml:space="preserve">Value-based pricing</w:t>
      </w:r>
      <w:r>
        <w:t xml:space="preserve"> </w:t>
      </w:r>
      <w:r>
        <w:t xml:space="preserve">maximizes revenue potential for providers by aligning price with the economic benefits delivered to the customer (Maguire, 2021). This approach captures a larger share of the created value, leading to higher profit margins for highly impactful AI solutions. It incentivizes continuous innovation to enhance value. However, its implementation is economically complex, requiring sophisticated value quantification and potentially extensive negotiation, which can be resource-intensive (Maguire, 2021). For customers, it promises a clear return on investment, but also demands a higher upfront payment or a share of their generated profits, which some might resist (Ayata, 2020).</w:t>
      </w:r>
    </w:p>
    <w:p>
      <w:pPr>
        <w:pStyle w:val="BodyText"/>
        <w:spacing w:line="480" w:lineRule="auto"/>
        <w:ind w:firstLine="720"/>
        <w:jc w:val="both"/>
      </w:pPr>
      <w:r>
        <w:rPr>
          <w:b/>
        </w:rPr>
        <w:t xml:space="preserve">Usage-based and token pricing</w:t>
      </w:r>
      <w:r>
        <w:t xml:space="preserve"> </w:t>
      </w:r>
      <w:r>
        <w:t xml:space="preserve">offers economic flexibility, allowing providers to scale revenue directly with consumption and capture value from high-volume users (De, 2017). It minimizes the barrier to entry for customers, promoting wider adoption and experimentation, which can lead to a larger overall market (Barbere et al., 2024). However, revenue predictability for providers can be low due to fluctuating demand, necessitating robust infrastructure management (De, 2017). For customers, unpredictable costs can pose significant budgeting challenges, and the granular nature of token pricing can be opaque, leading to perceived unfairness (Barbere et al., 2024).</w:t>
      </w:r>
    </w:p>
    <w:p>
      <w:pPr>
        <w:pStyle w:val="BodyText"/>
        <w:spacing w:line="480" w:lineRule="auto"/>
        <w:ind w:firstLine="720"/>
        <w:jc w:val="both"/>
      </w:pPr>
      <w:r>
        <w:rPr>
          <w:b/>
        </w:rPr>
        <w:t xml:space="preserve">Subscription and tiered models</w:t>
      </w:r>
      <w:r>
        <w:t xml:space="preserve"> </w:t>
      </w:r>
      <w:r>
        <w:t xml:space="preserve">provide stable and predictable recurring revenue for providers, facilitating long-term financial planning and investment (Ladas et al., 2019). Tiers allow for market segmentation, catering to different customer needs and willingness to pay, thereby expanding the potential customer base (Satapathi, 2025). However, providers face continuous pressure to demonstrate value to prevent churn, and the fixed costs of serving subscribers can erode margins if usage is disproportionately high in lower tiers. For customers, subscriptions offer cost predictability, simplifying budgeting, but they may lead to overpayment if usage is consistently low (Ladas et al., 2019). Tiered structures can also force customers into suboptimal plans if their needs don’t perfectly align with predefined offerings.</w:t>
      </w:r>
    </w:p>
    <w:p>
      <w:pPr>
        <w:pStyle w:val="BodyText"/>
        <w:spacing w:line="480" w:lineRule="auto"/>
        <w:ind w:firstLine="720"/>
        <w:jc w:val="both"/>
      </w:pPr>
      <w:r>
        <w:rPr>
          <w:b/>
        </w:rPr>
        <w:t xml:space="preserve">Freemium strategies</w:t>
      </w:r>
      <w:r>
        <w:t xml:space="preserve"> </w:t>
      </w:r>
      <w:r>
        <w:t xml:space="preserve">are highly effective for rapid user acquisition and market penetration, generating brand awareness and fostering network effects (Seufert, 2014). This broad reach can lead to a large funnel for conversion to paid services. However, the economic model is precarious, as the costs of serving free users can be substantial, and conversion rates are often low, risking financial unsustainability (Seufert, 2014). For customers, it offers a risk-free trial, but the limitations of the free version might hinder full appreciation of the AI’s capabilities or push them towards competitors if the paid upgrade isn’t compelling enough.</w:t>
      </w:r>
    </w:p>
    <w:p>
      <w:pPr>
        <w:pStyle w:val="BodyText"/>
        <w:spacing w:line="480" w:lineRule="auto"/>
        <w:ind w:firstLine="720"/>
        <w:jc w:val="both"/>
      </w:pPr>
      <w:r>
        <w:rPr>
          <w:b/>
        </w:rPr>
        <w:t xml:space="preserve">Dynamic pricing</w:t>
      </w:r>
      <w:r>
        <w:t xml:space="preserve"> </w:t>
      </w:r>
      <w:r>
        <w:t xml:space="preserve">aims to optimize revenue by adjusting prices in real-time based on market conditions, maximizing profit extraction (Niharika et al., 2024). It can also improve resource utilization by shifting demand away from peak times (Bhuram, 2025). However, the economic risks include customer backlash due to perceived unfairness, potentially leading to churn and reputational damage (Ayata, 2020). Implementing it requires significant investment in sophisticated data analytics and pricing algorithms. For customers, it creates cost uncertainty and can lead to situations where they pay significantly different prices for the same service, which can be economically disadvantageous and frustrating.</w:t>
      </w:r>
    </w:p>
    <w:p>
      <w:pPr>
        <w:pStyle w:val="BodyText"/>
        <w:spacing w:line="480" w:lineRule="auto"/>
        <w:ind w:firstLine="720"/>
        <w:jc w:val="both"/>
      </w:pPr>
      <w:r>
        <w:rPr>
          <w:b/>
        </w:rPr>
        <w:t xml:space="preserve">Ethics-driven and Green AI pricing</w:t>
      </w:r>
      <w:r>
        <w:t xml:space="preserve"> </w:t>
      </w:r>
      <w:r>
        <w:t xml:space="preserve">can generate economic value through enhanced brand reputation, attracting socially conscious customers and investors (Mirghaderi et al., 2023). It can also drive innovation in energy-efficient AI. However, there’s an economic challenge in quantifying and monetizing ethical attributes, as customers may not always be willing to pay a premium for them (Kshirsagar et al., 2021). Providers risk higher operational costs for implementing sustainable practices, which might not be fully recouped. For customers, it offers the benefit of aligning with their values, but potentially at a higher price point compared to less ethically focused alternatives.</w:t>
      </w:r>
    </w:p>
    <w:p>
      <w:pPr>
        <w:pStyle w:val="Heading3"/>
      </w:pPr>
      <w:bookmarkStart w:id="59" w:name="operational-and-technical-considerations"/>
      <w:r>
        <w:t xml:space="preserve">2.2 Operational and Technical Considerations</w:t>
      </w:r>
      <w:bookmarkEnd w:id="59"/>
    </w:p>
    <w:p>
      <w:pPr>
        <w:pStyle w:val="FirstParagraph"/>
        <w:spacing w:line="480" w:lineRule="auto"/>
        <w:ind w:firstLine="720"/>
        <w:jc w:val="both"/>
      </w:pPr>
      <w:r>
        <w:t xml:space="preserve">The operational and technical demands of each pricing model significantly influence their feasibility and efficiency.</w:t>
      </w:r>
      <w:r>
        <w:t xml:space="preserve"> </w:t>
      </w:r>
      <w:r>
        <w:rPr>
          <w:b/>
        </w:rPr>
        <w:t xml:space="preserve">Cost-plus pricing</w:t>
      </w:r>
      <w:r>
        <w:t xml:space="preserve"> </w:t>
      </w:r>
      <w:r>
        <w:t xml:space="preserve">is operationally simple but requires robust internal cost tracking systems for AI development and deployment (Kshirsagar et al., 2021). Technical challenges include accurately attributing shared infrastructure costs and estimating future computational needs.</w:t>
      </w:r>
    </w:p>
    <w:p>
      <w:pPr>
        <w:pStyle w:val="BodyText"/>
        <w:spacing w:line="480" w:lineRule="auto"/>
        <w:ind w:firstLine="720"/>
        <w:jc w:val="both"/>
      </w:pPr>
      <w:r>
        <w:rPr>
          <w:b/>
        </w:rPr>
        <w:t xml:space="preserve">Value-based pricing</w:t>
      </w:r>
      <w:r>
        <w:t xml:space="preserve"> </w:t>
      </w:r>
      <w:r>
        <w:t xml:space="preserve">demands extensive operational capabilities for customer research, value quantification, and potentially complex contractual agreements (Maguire, 2021). Technically, it may require advanced analytics to track and demonstrate the AI’s impact on customer KPIs.</w:t>
      </w:r>
    </w:p>
    <w:p>
      <w:pPr>
        <w:pStyle w:val="BodyText"/>
        <w:spacing w:line="480" w:lineRule="auto"/>
        <w:ind w:firstLine="720"/>
        <w:jc w:val="both"/>
      </w:pPr>
      <w:r>
        <w:rPr>
          <w:b/>
        </w:rPr>
        <w:t xml:space="preserve">Usage-based and token pricing</w:t>
      </w:r>
      <w:r>
        <w:t xml:space="preserve"> </w:t>
      </w:r>
      <w:r>
        <w:t xml:space="preserve">is technically demanding, requiring highly accurate, real-time metering systems that can track granular consumption across potentially millions of users (De, 2017). Scalable billing infrastructure and robust fraud detection mechanisms are critical. Operationally, managing unpredictable demand spikes and ensuring service reliability under variable loads is a continuous challenge (Barbere et al., 2024).</w:t>
      </w:r>
    </w:p>
    <w:p>
      <w:pPr>
        <w:pStyle w:val="BodyText"/>
        <w:spacing w:line="480" w:lineRule="auto"/>
        <w:ind w:firstLine="720"/>
        <w:jc w:val="both"/>
      </w:pPr>
      <w:r>
        <w:rPr>
          <w:b/>
        </w:rPr>
        <w:t xml:space="preserve">Subscription and tiered models</w:t>
      </w:r>
      <w:r>
        <w:t xml:space="preserve"> </w:t>
      </w:r>
      <w:r>
        <w:t xml:space="preserve">necessitate sophisticated customer relationship management (CRM) systems to manage subscriptions, upgrades, and churn (Satapathi, 2025). Technically, it requires a robust system for feature gating and enforcing usage limits across different tiers. Operational complexity increases with the number of tiers and the granularity of feature differentiation.</w:t>
      </w:r>
    </w:p>
    <w:p>
      <w:pPr>
        <w:pStyle w:val="BodyText"/>
        <w:spacing w:line="480" w:lineRule="auto"/>
        <w:ind w:firstLine="720"/>
        <w:jc w:val="both"/>
      </w:pPr>
      <w:r>
        <w:rPr>
          <w:b/>
        </w:rPr>
        <w:t xml:space="preserve">Freemium strategies</w:t>
      </w:r>
      <w:r>
        <w:t xml:space="preserve"> </w:t>
      </w:r>
      <w:r>
        <w:t xml:space="preserve">place immense operational strain on customer support and infrastructure, as a large portion of the user base generates no direct revenue (Seufert, 2014). Technically, separating free and premium features without compromising the user experience requires careful architectural design. The conversion funnel must be meticulously optimized.</w:t>
      </w:r>
    </w:p>
    <w:p>
      <w:pPr>
        <w:pStyle w:val="BodyText"/>
        <w:spacing w:line="480" w:lineRule="auto"/>
        <w:ind w:firstLine="720"/>
        <w:jc w:val="both"/>
      </w:pPr>
      <w:r>
        <w:rPr>
          <w:b/>
        </w:rPr>
        <w:t xml:space="preserve">Dynamic pricing</w:t>
      </w:r>
      <w:r>
        <w:t xml:space="preserve"> </w:t>
      </w:r>
      <w:r>
        <w:t xml:space="preserve">is perhaps the most technically intensive, relying on real-time data ingestion, advanced machine learning models for price optimization, and seamless integration with billing systems (Niharika et al., 2024). Operationally, it demands continuous monitoring of market conditions and competitor pricing, along with sophisticated risk management to avoid customer alienation (Bhuram, 2025).</w:t>
      </w:r>
    </w:p>
    <w:p>
      <w:pPr>
        <w:pStyle w:val="BodyText"/>
        <w:spacing w:line="480" w:lineRule="auto"/>
        <w:ind w:firstLine="720"/>
        <w:jc w:val="both"/>
      </w:pPr>
      <w:r>
        <w:rPr>
          <w:b/>
        </w:rPr>
        <w:t xml:space="preserve">Ethics-driven and Green AI pricing</w:t>
      </w:r>
      <w:r>
        <w:t xml:space="preserve"> </w:t>
      </w:r>
      <w:r>
        <w:t xml:space="preserve">requires operational processes for measuring and reporting environmental impact, potentially involving third-party audits (Kshirsagar et al., 2021). Technically, it encourages the development of energy-efficient AI architectures and optimization techniques. This may involve investing in specialized hardware or developing new algorithms that prioritize efficiency over raw performance.</w:t>
      </w:r>
    </w:p>
    <w:p>
      <w:pPr>
        <w:pStyle w:val="Heading3"/>
      </w:pPr>
      <w:bookmarkStart w:id="60" w:name="user-experience-and-adoption"/>
      <w:r>
        <w:t xml:space="preserve">2.3 User Experience and Adoption</w:t>
      </w:r>
      <w:bookmarkEnd w:id="60"/>
    </w:p>
    <w:p>
      <w:pPr>
        <w:pStyle w:val="FirstParagraph"/>
        <w:spacing w:line="480" w:lineRule="auto"/>
        <w:ind w:firstLine="720"/>
        <w:jc w:val="both"/>
      </w:pPr>
      <w:r>
        <w:t xml:space="preserve">The success of any AI service heavily depends on its user experience (UX) and the ease with which users adopt it. Pricing models play a crucial role in shaping these aspects (Fang &amp; Zhou, 2025).</w:t>
      </w:r>
    </w:p>
    <w:p>
      <w:pPr>
        <w:pStyle w:val="BodyText"/>
        <w:spacing w:line="480" w:lineRule="auto"/>
        <w:ind w:firstLine="720"/>
        <w:jc w:val="both"/>
      </w:pPr>
      <w:r>
        <w:rPr>
          <w:b/>
        </w:rPr>
        <w:t xml:space="preserve">Cost-plus pricing</w:t>
      </w:r>
      <w:r>
        <w:t xml:space="preserve"> </w:t>
      </w:r>
      <w:r>
        <w:t xml:space="preserve">offers a straightforward UX, as the cost is directly tied to tangible inputs. However, it can be perceived as less user-centric if the price doesn’t reflect the outcome or value to the user. Adoption might be limited to those with specific, well-defined needs and budgets.</w:t>
      </w:r>
    </w:p>
    <w:p>
      <w:pPr>
        <w:pStyle w:val="BodyText"/>
        <w:spacing w:line="480" w:lineRule="auto"/>
        <w:ind w:firstLine="720"/>
        <w:jc w:val="both"/>
      </w:pPr>
      <w:r>
        <w:rPr>
          <w:b/>
        </w:rPr>
        <w:t xml:space="preserve">Value-based pricing</w:t>
      </w:r>
      <w:r>
        <w:t xml:space="preserve"> </w:t>
      </w:r>
      <w:r>
        <w:t xml:space="preserve">aims for a superior UX by focusing on the customer’s success (Maguire, 2021). If the value proposition is clearly demonstrated, it can lead to high user satisfaction and strong adoption by businesses seeking quantifiable ROI. However, the initial complexity of value assessment might deter some users.</w:t>
      </w:r>
    </w:p>
    <w:p>
      <w:pPr>
        <w:pStyle w:val="BodyText"/>
        <w:spacing w:line="480" w:lineRule="auto"/>
        <w:ind w:firstLine="720"/>
        <w:jc w:val="both"/>
      </w:pPr>
      <w:r>
        <w:rPr>
          <w:b/>
        </w:rPr>
        <w:t xml:space="preserve">Usage-based and token pricing</w:t>
      </w:r>
      <w:r>
        <w:t xml:space="preserve"> </w:t>
      </w:r>
      <w:r>
        <w:t xml:space="preserve">offers a flexible and low-barrier entry UX, encouraging experimentation and broad adoption (Barbere et al., 2024). Users appreciate paying only for what they use. However, the unpredictability of costs can lead to anxiety and a negative UX, especially if usage spikes unexpectedly. The abstract nature of</w:t>
      </w:r>
      <w:r>
        <w:t xml:space="preserve"> </w:t>
      </w:r>
      <w:r>
        <w:t xml:space="preserve">“</w:t>
      </w:r>
      <w:r>
        <w:t xml:space="preserve">tokens</w:t>
      </w:r>
      <w:r>
        <w:t xml:space="preserve">”</w:t>
      </w:r>
      <w:r>
        <w:t xml:space="preserve"> </w:t>
      </w:r>
      <w:r>
        <w:t xml:space="preserve">can also be confusing for non-technical users.</w:t>
      </w:r>
    </w:p>
    <w:p>
      <w:pPr>
        <w:pStyle w:val="BodyText"/>
        <w:spacing w:line="480" w:lineRule="auto"/>
        <w:ind w:firstLine="720"/>
        <w:jc w:val="both"/>
      </w:pPr>
      <w:r>
        <w:rPr>
          <w:b/>
        </w:rPr>
        <w:t xml:space="preserve">Subscription and tiered models</w:t>
      </w:r>
      <w:r>
        <w:t xml:space="preserve"> </w:t>
      </w:r>
      <w:r>
        <w:t xml:space="preserve">provide a predictable and streamlined UX, allowing users to choose a plan that fits their needs (Satapathi, 2025). The fixed cost eliminates billing surprises. Adoption is generally good, as users understand what they are paying for. However, the</w:t>
      </w:r>
      <w:r>
        <w:t xml:space="preserve"> </w:t>
      </w:r>
      <w:r>
        <w:t xml:space="preserve">“</w:t>
      </w:r>
      <w:r>
        <w:t xml:space="preserve">tier-lock</w:t>
      </w:r>
      <w:r>
        <w:t xml:space="preserve">”</w:t>
      </w:r>
      <w:r>
        <w:t xml:space="preserve"> </w:t>
      </w:r>
      <w:r>
        <w:t xml:space="preserve">can create frustration if a user’s needs fall between defined plans, leading to a suboptimal experience.</w:t>
      </w:r>
    </w:p>
    <w:p>
      <w:pPr>
        <w:pStyle w:val="BodyText"/>
        <w:spacing w:line="480" w:lineRule="auto"/>
        <w:ind w:firstLine="720"/>
        <w:jc w:val="both"/>
      </w:pPr>
      <w:r>
        <w:rPr>
          <w:b/>
        </w:rPr>
        <w:t xml:space="preserve">Freemium strategies</w:t>
      </w:r>
      <w:r>
        <w:t xml:space="preserve"> </w:t>
      </w:r>
      <w:r>
        <w:t xml:space="preserve">excel in user acquisition due to their zero-cost entry point, creating a highly accessible UX (Seufert, 2014). This fosters widespread adoption and allows users to explore the AI’s capabilities without financial commitment. The challenge lies in transitioning users to a paid experience without creating a</w:t>
      </w:r>
      <w:r>
        <w:t xml:space="preserve"> </w:t>
      </w:r>
      <w:r>
        <w:t xml:space="preserve">“</w:t>
      </w:r>
      <w:r>
        <w:t xml:space="preserve">paywall</w:t>
      </w:r>
      <w:r>
        <w:t xml:space="preserve">”</w:t>
      </w:r>
      <w:r>
        <w:t xml:space="preserve"> </w:t>
      </w:r>
      <w:r>
        <w:t xml:space="preserve">that feels unfair or restrictive.</w:t>
      </w:r>
    </w:p>
    <w:p>
      <w:pPr>
        <w:pStyle w:val="BodyText"/>
        <w:spacing w:line="480" w:lineRule="auto"/>
        <w:ind w:firstLine="720"/>
        <w:jc w:val="both"/>
      </w:pPr>
      <w:r>
        <w:rPr>
          <w:b/>
        </w:rPr>
        <w:t xml:space="preserve">Dynamic pricing</w:t>
      </w:r>
      <w:r>
        <w:t xml:space="preserve"> </w:t>
      </w:r>
      <w:r>
        <w:t xml:space="preserve">can severely impact UX if not implemented carefully. Fluctuating prices can lead to a frustrating and unpredictable experience, eroding trust and potentially causing users to abandon the service (Ayata, 2020). While it might optimize revenue for providers, a poor UX can lead to long-term adoption issues. Transparency and clear communication about pricing changes are crucial.</w:t>
      </w:r>
    </w:p>
    <w:p>
      <w:pPr>
        <w:pStyle w:val="BodyText"/>
        <w:spacing w:line="480" w:lineRule="auto"/>
        <w:ind w:firstLine="720"/>
        <w:jc w:val="both"/>
      </w:pPr>
      <w:r>
        <w:rPr>
          <w:b/>
        </w:rPr>
        <w:t xml:space="preserve">Ethics-driven and Green AI pricing</w:t>
      </w:r>
      <w:r>
        <w:t xml:space="preserve"> </w:t>
      </w:r>
      <w:r>
        <w:t xml:space="preserve">can enhance UX for users who prioritize social responsibility, fostering a sense of alignment with their values (Mirghaderi et al., 2023). This can lead to strong adoption within specific market segments. However, if the ethical premium is too high or the ethical benefits are not clearly communicated, it might deter price-sensitive users, potentially limiting broader adoption.</w:t>
      </w:r>
    </w:p>
    <w:p>
      <w:pPr>
        <w:pStyle w:val="Heading3"/>
      </w:pPr>
      <w:bookmarkStart w:id="61" w:name="ethical-and-societal-impacts"/>
      <w:r>
        <w:t xml:space="preserve">2.4 Ethical and Societal Impacts</w:t>
      </w:r>
      <w:bookmarkEnd w:id="61"/>
    </w:p>
    <w:p>
      <w:pPr>
        <w:pStyle w:val="FirstParagraph"/>
        <w:spacing w:line="480" w:lineRule="auto"/>
        <w:ind w:firstLine="720"/>
        <w:jc w:val="both"/>
      </w:pPr>
      <w:r>
        <w:t xml:space="preserve">Beyond economic and technical considerations, AI pricing models have profound ethical and societal implications, influencing accessibility, fairness, and the distribution of AI’s benefits (Mirghaderi et al., 2023).</w:t>
      </w:r>
    </w:p>
    <w:p>
      <w:pPr>
        <w:pStyle w:val="BodyText"/>
        <w:spacing w:line="480" w:lineRule="auto"/>
        <w:ind w:firstLine="720"/>
        <w:jc w:val="both"/>
      </w:pPr>
      <w:r>
        <w:rPr>
          <w:b/>
        </w:rPr>
        <w:t xml:space="preserve">Cost-plus pricing</w:t>
      </w:r>
      <w:r>
        <w:t xml:space="preserve">, while transparent in its cost recovery, might inadvertently lead to higher prices for advanced AI, potentially limiting access for smaller organizations or non-profits (Kshirsagar et al., 2021). This could exacerbate the digital divide, where only well-resourced entities can leverage cutting-edge AI.</w:t>
      </w:r>
    </w:p>
    <w:p>
      <w:pPr>
        <w:pStyle w:val="BodyText"/>
        <w:spacing w:line="480" w:lineRule="auto"/>
        <w:ind w:firstLine="720"/>
        <w:jc w:val="both"/>
      </w:pPr>
      <w:r>
        <w:rPr>
          <w:b/>
        </w:rPr>
        <w:t xml:space="preserve">Value-based pricing</w:t>
      </w:r>
      <w:r>
        <w:t xml:space="preserve">, by seeking to capture a significant portion of the value created, could lead to AI services being priced out of reach for many (Ayata, 2020). If an AI generates immense value for a large corporation, the price could be prohibitive for a startup, even if the AI could offer substantial benefit to them too. This raises questions about equitable access to transformative technologies.</w:t>
      </w:r>
    </w:p>
    <w:p>
      <w:pPr>
        <w:pStyle w:val="BodyText"/>
        <w:spacing w:line="480" w:lineRule="auto"/>
        <w:ind w:firstLine="720"/>
        <w:jc w:val="both"/>
      </w:pPr>
      <w:r>
        <w:rPr>
          <w:b/>
        </w:rPr>
        <w:t xml:space="preserve">Usage-based and token pricing</w:t>
      </w:r>
      <w:r>
        <w:t xml:space="preserve"> </w:t>
      </w:r>
      <w:r>
        <w:t xml:space="preserve">offers initial accessibility, but the unpredictability of costs can create ethical dilemmas (Barbere et al., 2024). Organizations with limited budgets might be hesitant to fully utilize powerful AI, fearing runaway costs. This could disproportionately affect smaller entities or individuals, limiting their ability to compete or innovate. Moreover, the inherent opacity of</w:t>
      </w:r>
      <w:r>
        <w:t xml:space="preserve"> </w:t>
      </w:r>
      <w:r>
        <w:t xml:space="preserve">“</w:t>
      </w:r>
      <w:r>
        <w:t xml:space="preserve">tokens</w:t>
      </w:r>
      <w:r>
        <w:t xml:space="preserve">”</w:t>
      </w:r>
      <w:r>
        <w:t xml:space="preserve"> </w:t>
      </w:r>
      <w:r>
        <w:t xml:space="preserve">can lead to a lack of transparency and trust, which are fundamental ethical concerns (Mirghaderi et al., 2023).</w:t>
      </w:r>
    </w:p>
    <w:p>
      <w:pPr>
        <w:pStyle w:val="BodyText"/>
        <w:spacing w:line="480" w:lineRule="auto"/>
        <w:ind w:firstLine="720"/>
        <w:jc w:val="both"/>
      </w:pPr>
      <w:r>
        <w:rPr>
          <w:b/>
        </w:rPr>
        <w:t xml:space="preserve">Subscription and tiered models</w:t>
      </w:r>
      <w:r>
        <w:t xml:space="preserve"> </w:t>
      </w:r>
      <w:r>
        <w:t xml:space="preserve">can promote accessibility through entry-level tiers, but also create a</w:t>
      </w:r>
      <w:r>
        <w:t xml:space="preserve"> </w:t>
      </w:r>
      <w:r>
        <w:t xml:space="preserve">“</w:t>
      </w:r>
      <w:r>
        <w:t xml:space="preserve">two-tiered</w:t>
      </w:r>
      <w:r>
        <w:t xml:space="preserve">”</w:t>
      </w:r>
      <w:r>
        <w:t xml:space="preserve"> </w:t>
      </w:r>
      <w:r>
        <w:t xml:space="preserve">system where premium features and performance are reserved for those who can afford higher prices (Satapathi, 2025). This raises questions about fairness and whether essential AI capabilities should be gated behind paywalls, especially in areas like education or public service.</w:t>
      </w:r>
    </w:p>
    <w:p>
      <w:pPr>
        <w:pStyle w:val="BodyText"/>
        <w:spacing w:line="480" w:lineRule="auto"/>
        <w:ind w:firstLine="720"/>
        <w:jc w:val="both"/>
      </w:pPr>
      <w:r>
        <w:rPr>
          <w:b/>
        </w:rPr>
        <w:t xml:space="preserve">Freemium strategies</w:t>
      </w:r>
      <w:r>
        <w:t xml:space="preserve"> </w:t>
      </w:r>
      <w:r>
        <w:t xml:space="preserve">are ethically commendable for promoting widespread access to basic AI functionalities, democratizing initial exposure to the technology (Seufert, 2014). However, the ethical challenge lies in the</w:t>
      </w:r>
      <w:r>
        <w:t xml:space="preserve"> </w:t>
      </w:r>
      <w:r>
        <w:t xml:space="preserve">“</w:t>
      </w:r>
      <w:r>
        <w:t xml:space="preserve">dark patterns</w:t>
      </w:r>
      <w:r>
        <w:t xml:space="preserve">”</w:t>
      </w:r>
      <w:r>
        <w:t xml:space="preserve"> </w:t>
      </w:r>
      <w:r>
        <w:t xml:space="preserve">often employed to push users towards paid upgrades, which can be manipulative. There’s also the risk that the free tier might be intentionally limited to an extent that it becomes a</w:t>
      </w:r>
      <w:r>
        <w:t xml:space="preserve"> </w:t>
      </w:r>
      <w:r>
        <w:t xml:space="preserve">“</w:t>
      </w:r>
      <w:r>
        <w:t xml:space="preserve">teaser</w:t>
      </w:r>
      <w:r>
        <w:t xml:space="preserve">”</w:t>
      </w:r>
      <w:r>
        <w:t xml:space="preserve"> </w:t>
      </w:r>
      <w:r>
        <w:t xml:space="preserve">rather than a genuinely useful tool, creating a dependency that forces users to pay.</w:t>
      </w:r>
    </w:p>
    <w:p>
      <w:pPr>
        <w:pStyle w:val="BodyText"/>
        <w:spacing w:line="480" w:lineRule="auto"/>
        <w:ind w:firstLine="720"/>
        <w:jc w:val="both"/>
      </w:pPr>
      <w:r>
        <w:rPr>
          <w:b/>
        </w:rPr>
        <w:t xml:space="preserve">Dynamic pricing</w:t>
      </w:r>
      <w:r>
        <w:t xml:space="preserve"> </w:t>
      </w:r>
      <w:r>
        <w:t xml:space="preserve">poses significant ethical risks, particularly concerning discrimination and fairness (Ayata, 2020). If prices are personalized based on user data, it could lead to situations where vulnerable populations or specific demographics are charged more, creating economic inequality. The lack of transparency in price fluctuations can also erode trust and consumer autonomy (Mirghaderi et al., 2023). Regulatory bodies are increasingly scrutinizing dynamic pricing for potential anti-competitive or discriminatory practices.</w:t>
      </w:r>
    </w:p>
    <w:p>
      <w:pPr>
        <w:pStyle w:val="BodyText"/>
        <w:spacing w:line="480" w:lineRule="auto"/>
        <w:ind w:firstLine="720"/>
        <w:jc w:val="both"/>
      </w:pPr>
      <w:r>
        <w:rPr>
          <w:b/>
        </w:rPr>
        <w:t xml:space="preserve">Ethics-driven and Green AI pricing</w:t>
      </w:r>
      <w:r>
        <w:t xml:space="preserve"> </w:t>
      </w:r>
      <w:r>
        <w:t xml:space="preserve">directly addresses societal and environmental concerns, promoting responsible AI development and deployment (Kshirsagar et al., 2021)(Mirghaderi et al., 2023). This model is ethically superior in its intent, aiming to internalize externalities like carbon emissions and promote fairness. However, the ethical challenge lies in ensuring that the</w:t>
      </w:r>
      <w:r>
        <w:t xml:space="preserve"> </w:t>
      </w:r>
      <w:r>
        <w:t xml:space="preserve">“</w:t>
      </w:r>
      <w:r>
        <w:t xml:space="preserve">green</w:t>
      </w:r>
      <w:r>
        <w:t xml:space="preserve">”</w:t>
      </w:r>
      <w:r>
        <w:t xml:space="preserve"> </w:t>
      </w:r>
      <w:r>
        <w:t xml:space="preserve">or</w:t>
      </w:r>
      <w:r>
        <w:t xml:space="preserve"> </w:t>
      </w:r>
      <w:r>
        <w:t xml:space="preserve">“</w:t>
      </w:r>
      <w:r>
        <w:t xml:space="preserve">ethical</w:t>
      </w:r>
      <w:r>
        <w:t xml:space="preserve">”</w:t>
      </w:r>
      <w:r>
        <w:t xml:space="preserve"> </w:t>
      </w:r>
      <w:r>
        <w:t xml:space="preserve">premium doesn’t inadvertently create a new barrier to access for those who cannot afford it, or that it isn’t merely a marketing ploy without genuine impact. Transparent reporting and independent verification are crucial to maintain ethical integrity.</w:t>
      </w:r>
    </w:p>
    <w:p>
      <w:pPr>
        <w:pStyle w:val="BodyText"/>
        <w:spacing w:line="480" w:lineRule="auto"/>
        <w:ind w:firstLine="720"/>
        <w:jc w:val="both"/>
      </w:pPr>
      <w:r>
        <w:t xml:space="preserve">The following table summarizes the ethical and societal impacts of each pricing model, providing a quick reference for their broader implications.</w:t>
      </w:r>
    </w:p>
    <w:p>
      <w:pPr>
        <w:pStyle w:val="BodyText"/>
        <w:spacing w:line="480" w:lineRule="auto"/>
        <w:ind w:firstLine="720"/>
        <w:jc w:val="both"/>
      </w:pPr>
      <w:r>
        <w:rPr>
          <w:b/>
        </w:rPr>
        <w:t xml:space="preserve">Table 4: Ethical &amp; Societal Impact Assessment of AI Pricing Models</w:t>
      </w:r>
    </w:p>
    <w:tbl>
      <w:tblPr>
        <w:tblStyle w:val="Table"/>
        <w:tblW w:type="pct" w:w="5000.0"/>
        <w:tblLook w:firstRow="1"/>
      </w:tblPr>
      <w:tblGrid>
        <w:gridCol w:w="1237"/>
        <w:gridCol w:w="1534"/>
        <w:gridCol w:w="1782"/>
        <w:gridCol w:w="1633"/>
        <w:gridCol w:w="1732"/>
      </w:tblGrid>
      <w:tr>
        <w:trPr>
          <w:cnfStyle w:firstRow="1"/>
        </w:trPr>
        <w:tc>
          <w:tcPr>
            <w:tcBorders>
              <w:bottom w:val="single"/>
            </w:tcBorders>
            <w:vAlign w:val="bottom"/>
          </w:tcPr>
          <w:p>
            <w:pPr>
              <w:pStyle w:val="Compact"/>
              <w:jc w:val="left"/>
            </w:pPr>
            <w:r>
              <w:t xml:space="preserve">Pricing Model</w:t>
            </w:r>
          </w:p>
        </w:tc>
        <w:tc>
          <w:tcPr>
            <w:tcBorders>
              <w:bottom w:val="single"/>
            </w:tcBorders>
            <w:vAlign w:val="bottom"/>
          </w:tcPr>
          <w:p>
            <w:pPr>
              <w:pStyle w:val="Compact"/>
              <w:jc w:val="left"/>
            </w:pPr>
            <w:r>
              <w:t xml:space="preserve">Accessibility Impact</w:t>
            </w:r>
          </w:p>
        </w:tc>
        <w:tc>
          <w:tcPr>
            <w:tcBorders>
              <w:bottom w:val="single"/>
            </w:tcBorders>
            <w:vAlign w:val="bottom"/>
          </w:tcPr>
          <w:p>
            <w:pPr>
              <w:pStyle w:val="Compact"/>
              <w:jc w:val="left"/>
            </w:pPr>
            <w:r>
              <w:t xml:space="preserve">Fairness Concerns</w:t>
            </w:r>
          </w:p>
        </w:tc>
        <w:tc>
          <w:tcPr>
            <w:tcBorders>
              <w:bottom w:val="single"/>
            </w:tcBorders>
            <w:vAlign w:val="bottom"/>
          </w:tcPr>
          <w:p>
            <w:pPr>
              <w:pStyle w:val="Compact"/>
              <w:jc w:val="left"/>
            </w:pPr>
            <w:r>
              <w:t xml:space="preserve">Transparency Level</w:t>
            </w:r>
          </w:p>
        </w:tc>
        <w:tc>
          <w:tcPr>
            <w:tcBorders>
              <w:bottom w:val="single"/>
            </w:tcBorders>
            <w:vAlign w:val="bottom"/>
          </w:tcPr>
          <w:p>
            <w:pPr>
              <w:pStyle w:val="Compact"/>
              <w:jc w:val="left"/>
            </w:pPr>
            <w:r>
              <w:t xml:space="preserve">Environmental Integration</w:t>
            </w:r>
          </w:p>
        </w:tc>
      </w:tr>
      <w:tr>
        <w:tc>
          <w:p>
            <w:pPr>
              <w:pStyle w:val="Compact"/>
              <w:jc w:val="left"/>
            </w:pPr>
            <w:r>
              <w:rPr>
                <w:b/>
              </w:rPr>
              <w:t xml:space="preserve">Cost-Plus</w:t>
            </w:r>
          </w:p>
        </w:tc>
        <w:tc>
          <w:p>
            <w:pPr>
              <w:pStyle w:val="Compact"/>
              <w:jc w:val="left"/>
            </w:pPr>
            <w:r>
              <w:t xml:space="preserve">Potentially limited for smaller entities</w:t>
            </w:r>
          </w:p>
        </w:tc>
        <w:tc>
          <w:p>
            <w:pPr>
              <w:pStyle w:val="Compact"/>
              <w:jc w:val="left"/>
            </w:pPr>
            <w:r>
              <w:t xml:space="preserve">Generally fair (cost-based)</w:t>
            </w:r>
          </w:p>
        </w:tc>
        <w:tc>
          <w:p>
            <w:pPr>
              <w:pStyle w:val="Compact"/>
              <w:jc w:val="left"/>
            </w:pPr>
            <w:r>
              <w:t xml:space="preserve">High (if costs are disclosed)</w:t>
            </w:r>
          </w:p>
        </w:tc>
        <w:tc>
          <w:p>
            <w:pPr>
              <w:pStyle w:val="Compact"/>
              <w:jc w:val="left"/>
            </w:pPr>
            <w:r>
              <w:t xml:space="preserve">Low (unless explicitly included)</w:t>
            </w:r>
          </w:p>
        </w:tc>
      </w:tr>
      <w:tr>
        <w:tc>
          <w:p>
            <w:pPr>
              <w:pStyle w:val="Compact"/>
              <w:jc w:val="left"/>
            </w:pPr>
            <w:r>
              <w:rPr>
                <w:b/>
              </w:rPr>
              <w:t xml:space="preserve">Value-Based</w:t>
            </w:r>
          </w:p>
        </w:tc>
        <w:tc>
          <w:p>
            <w:pPr>
              <w:pStyle w:val="Compact"/>
              <w:jc w:val="left"/>
            </w:pPr>
            <w:r>
              <w:t xml:space="preserve">Risk of high barriers for some users</w:t>
            </w:r>
          </w:p>
        </w:tc>
        <w:tc>
          <w:p>
            <w:pPr>
              <w:pStyle w:val="Compact"/>
              <w:jc w:val="left"/>
            </w:pPr>
            <w:r>
              <w:t xml:space="preserve">Potential for discriminatory pricing</w:t>
            </w:r>
          </w:p>
        </w:tc>
        <w:tc>
          <w:p>
            <w:pPr>
              <w:pStyle w:val="Compact"/>
              <w:jc w:val="left"/>
            </w:pPr>
            <w:r>
              <w:t xml:space="preserve">Low (value often opaque)</w:t>
            </w:r>
          </w:p>
        </w:tc>
        <w:tc>
          <w:p>
            <w:pPr>
              <w:pStyle w:val="Compact"/>
              <w:jc w:val="left"/>
            </w:pPr>
            <w:r>
              <w:t xml:space="preserve">Low (unless value includes ESG)</w:t>
            </w:r>
          </w:p>
        </w:tc>
      </w:tr>
      <w:tr>
        <w:tc>
          <w:p>
            <w:pPr>
              <w:pStyle w:val="Compact"/>
              <w:jc w:val="left"/>
            </w:pPr>
            <w:r>
              <w:rPr>
                <w:b/>
              </w:rPr>
              <w:t xml:space="preserve">Usage-Based/Token</w:t>
            </w:r>
          </w:p>
        </w:tc>
        <w:tc>
          <w:p>
            <w:pPr>
              <w:pStyle w:val="Compact"/>
              <w:jc w:val="left"/>
            </w:pPr>
            <w:r>
              <w:t xml:space="preserve">Low initial barrier, but costs unpredictable</w:t>
            </w:r>
          </w:p>
        </w:tc>
        <w:tc>
          <w:p>
            <w:pPr>
              <w:pStyle w:val="Compact"/>
              <w:jc w:val="left"/>
            </w:pPr>
            <w:r>
              <w:t xml:space="preserve">Opacity in token counting,</w:t>
            </w:r>
            <w:r>
              <w:t xml:space="preserve"> </w:t>
            </w:r>
            <w:r>
              <w:t xml:space="preserve">“</w:t>
            </w:r>
            <w:r>
              <w:t xml:space="preserve">bill shock</w:t>
            </w:r>
            <w:r>
              <w:t xml:space="preserve">”</w:t>
            </w:r>
          </w:p>
        </w:tc>
        <w:tc>
          <w:p>
            <w:pPr>
              <w:pStyle w:val="Compact"/>
              <w:jc w:val="left"/>
            </w:pPr>
            <w:r>
              <w:t xml:space="preserve">Moderate (usage metrics visible)</w:t>
            </w:r>
          </w:p>
        </w:tc>
        <w:tc>
          <w:p>
            <w:pPr>
              <w:pStyle w:val="Compact"/>
              <w:jc w:val="left"/>
            </w:pPr>
            <w:r>
              <w:t xml:space="preserve">Low (unless Green AI considered)</w:t>
            </w:r>
          </w:p>
        </w:tc>
      </w:tr>
      <w:tr>
        <w:tc>
          <w:p>
            <w:pPr>
              <w:pStyle w:val="Compact"/>
              <w:jc w:val="left"/>
            </w:pPr>
            <w:r>
              <w:rPr>
                <w:b/>
              </w:rPr>
              <w:t xml:space="preserve">Subscription/Tiered</w:t>
            </w:r>
          </w:p>
        </w:tc>
        <w:tc>
          <w:p>
            <w:pPr>
              <w:pStyle w:val="Compact"/>
              <w:jc w:val="left"/>
            </w:pPr>
            <w:r>
              <w:t xml:space="preserve">Entry-level tiers promote access</w:t>
            </w:r>
          </w:p>
        </w:tc>
        <w:tc>
          <w:p>
            <w:pPr>
              <w:pStyle w:val="Compact"/>
              <w:jc w:val="left"/>
            </w:pPr>
            <w:r>
              <w:t xml:space="preserve">“</w:t>
            </w:r>
            <w:r>
              <w:t xml:space="preserve">Two-tiered</w:t>
            </w:r>
            <w:r>
              <w:t xml:space="preserve">”</w:t>
            </w:r>
            <w:r>
              <w:t xml:space="preserve"> </w:t>
            </w:r>
            <w:r>
              <w:t xml:space="preserve">access to features</w:t>
            </w:r>
          </w:p>
        </w:tc>
        <w:tc>
          <w:p>
            <w:pPr>
              <w:pStyle w:val="Compact"/>
              <w:jc w:val="left"/>
            </w:pPr>
            <w:r>
              <w:t xml:space="preserve">High (clear tiers)</w:t>
            </w:r>
          </w:p>
        </w:tc>
        <w:tc>
          <w:p>
            <w:pPr>
              <w:pStyle w:val="Compact"/>
              <w:jc w:val="left"/>
            </w:pPr>
            <w:r>
              <w:t xml:space="preserve">Low (unless tier criteria includes)</w:t>
            </w:r>
          </w:p>
        </w:tc>
      </w:tr>
      <w:tr>
        <w:tc>
          <w:p>
            <w:pPr>
              <w:pStyle w:val="Compact"/>
              <w:jc w:val="left"/>
            </w:pPr>
            <w:r>
              <w:rPr>
                <w:b/>
              </w:rPr>
              <w:t xml:space="preserve">Freemium</w:t>
            </w:r>
          </w:p>
        </w:tc>
        <w:tc>
          <w:p>
            <w:pPr>
              <w:pStyle w:val="Compact"/>
              <w:jc w:val="left"/>
            </w:pPr>
            <w:r>
              <w:t xml:space="preserve">Very high initial accessibility</w:t>
            </w:r>
          </w:p>
        </w:tc>
        <w:tc>
          <w:p>
            <w:pPr>
              <w:pStyle w:val="Compact"/>
              <w:jc w:val="left"/>
            </w:pPr>
            <w:r>
              <w:t xml:space="preserve">Potential for manipulative upgrade tactics</w:t>
            </w:r>
          </w:p>
        </w:tc>
        <w:tc>
          <w:p>
            <w:pPr>
              <w:pStyle w:val="Compact"/>
              <w:jc w:val="left"/>
            </w:pPr>
            <w:r>
              <w:t xml:space="preserve">Moderate (free limits clear)</w:t>
            </w:r>
          </w:p>
        </w:tc>
        <w:tc>
          <w:p>
            <w:pPr>
              <w:pStyle w:val="Compact"/>
              <w:jc w:val="left"/>
            </w:pPr>
            <w:r>
              <w:t xml:space="preserve">Low (focus on user acquisition)</w:t>
            </w:r>
          </w:p>
        </w:tc>
      </w:tr>
      <w:tr>
        <w:tc>
          <w:p>
            <w:pPr>
              <w:pStyle w:val="Compact"/>
              <w:jc w:val="left"/>
            </w:pPr>
            <w:r>
              <w:rPr>
                <w:b/>
              </w:rPr>
              <w:t xml:space="preserve">Dynamic</w:t>
            </w:r>
          </w:p>
        </w:tc>
        <w:tc>
          <w:p>
            <w:pPr>
              <w:pStyle w:val="Compact"/>
              <w:jc w:val="left"/>
            </w:pPr>
            <w:r>
              <w:t xml:space="preserve">Variable, can be low or high</w:t>
            </w:r>
          </w:p>
        </w:tc>
        <w:tc>
          <w:p>
            <w:pPr>
              <w:pStyle w:val="Compact"/>
              <w:jc w:val="left"/>
            </w:pPr>
            <w:r>
              <w:t xml:space="preserve">High risk of discrimination &amp; unfairness</w:t>
            </w:r>
          </w:p>
        </w:tc>
        <w:tc>
          <w:p>
            <w:pPr>
              <w:pStyle w:val="Compact"/>
              <w:jc w:val="left"/>
            </w:pPr>
            <w:r>
              <w:t xml:space="preserve">Low (price changes opaque)</w:t>
            </w:r>
          </w:p>
        </w:tc>
        <w:tc>
          <w:p>
            <w:pPr>
              <w:pStyle w:val="Compact"/>
              <w:jc w:val="left"/>
            </w:pPr>
            <w:r>
              <w:t xml:space="preserve">Low (focus on market optimization)</w:t>
            </w:r>
          </w:p>
        </w:tc>
      </w:tr>
      <w:tr>
        <w:tc>
          <w:p>
            <w:pPr>
              <w:pStyle w:val="Compact"/>
              <w:jc w:val="left"/>
            </w:pPr>
            <w:r>
              <w:rPr>
                <w:b/>
              </w:rPr>
              <w:t xml:space="preserve">Ethics-Driven/Green</w:t>
            </w:r>
          </w:p>
        </w:tc>
        <w:tc>
          <w:p>
            <w:pPr>
              <w:pStyle w:val="Compact"/>
              <w:jc w:val="left"/>
            </w:pPr>
            <w:r>
              <w:t xml:space="preserve">Aims for high accessibility</w:t>
            </w:r>
          </w:p>
        </w:tc>
        <w:tc>
          <w:p>
            <w:pPr>
              <w:pStyle w:val="Compact"/>
              <w:jc w:val="left"/>
            </w:pPr>
            <w:r>
              <w:t xml:space="preserve">High (explicitly designed for fairness)</w:t>
            </w:r>
          </w:p>
        </w:tc>
        <w:tc>
          <w:p>
            <w:pPr>
              <w:pStyle w:val="Compact"/>
              <w:jc w:val="left"/>
            </w:pPr>
            <w:r>
              <w:t xml:space="preserve">High (ethical metrics disclosed)</w:t>
            </w:r>
          </w:p>
        </w:tc>
        <w:tc>
          <w:p>
            <w:pPr>
              <w:pStyle w:val="Compact"/>
              <w:jc w:val="left"/>
            </w:pPr>
            <w:r>
              <w:t xml:space="preserve">High (core to model)</w:t>
            </w:r>
          </w:p>
        </w:tc>
      </w:tr>
    </w:tbl>
    <w:p>
      <w:pPr>
        <w:pStyle w:val="BodyText"/>
        <w:spacing w:line="480" w:lineRule="auto"/>
        <w:ind w:firstLine="720"/>
        <w:jc w:val="both"/>
      </w:pPr>
      <w:r>
        <w:rPr>
          <w:i/>
        </w:rPr>
        <w:t xml:space="preserve">Note: This table provides a general assessment. Actual impacts depend heavily on specific implementation details and regulatory oversight.</w:t>
      </w:r>
    </w:p>
    <w:p>
      <w:pPr>
        <w:pStyle w:val="Heading2"/>
      </w:pPr>
      <w:bookmarkStart w:id="62" w:name="Xbdc283d82f51a74ffdbb15c0eb926810b002f2a"/>
      <w:r>
        <w:t xml:space="preserve">3. Real-World Implementations and Case Studies</w:t>
      </w:r>
      <w:bookmarkEnd w:id="62"/>
    </w:p>
    <w:p>
      <w:pPr>
        <w:pStyle w:val="FirstParagraph"/>
        <w:spacing w:line="480" w:lineRule="auto"/>
        <w:ind w:firstLine="720"/>
        <w:jc w:val="both"/>
      </w:pPr>
      <w:r>
        <w:t xml:space="preserve">Examining how leading AI providers implement their pricing strategies offers invaluable insights into the practical application and evolution of these models. The complexity of AI services, particularly large language models (LLMs), has led to sophisticated, often hybrid, approaches that blend elements of usage-based, tiered, and even value-oriented principles.</w:t>
      </w:r>
    </w:p>
    <w:p>
      <w:pPr>
        <w:pStyle w:val="Heading3"/>
      </w:pPr>
      <w:bookmarkStart w:id="63" w:name="openais-pricing-evolution"/>
      <w:r>
        <w:t xml:space="preserve">3.1 OpenAI’s Pricing Evolution</w:t>
      </w:r>
      <w:bookmarkEnd w:id="63"/>
    </w:p>
    <w:p>
      <w:pPr>
        <w:pStyle w:val="FirstParagraph"/>
        <w:spacing w:line="480" w:lineRule="auto"/>
        <w:ind w:firstLine="720"/>
        <w:jc w:val="both"/>
      </w:pPr>
      <w:r>
        <w:t xml:space="preserve">OpenAI, a pioneer in the field of large language models, has continuously evolved its pricing strategy, largely settling on a usage-based model centered around tokens for its API services (Rudnytskyi, 2022). Their core models, such as GPT-3.5 and GPT-4, are priced per 1,000 input tokens and per 1,000 output tokens. This granular approach directly ties cost to the computational resources consumed during inference. The pricing varies significantly between models, with more advanced and capable models like GPT-4 being substantially more expensive per token than their predecessors (Rudnytskyi, 2022). This tiered token pricing reflects the differential in development cost, training data, and perceived value/capability of each model.</w:t>
      </w:r>
    </w:p>
    <w:p>
      <w:pPr>
        <w:pStyle w:val="BodyText"/>
        <w:spacing w:line="480" w:lineRule="auto"/>
        <w:ind w:firstLine="720"/>
        <w:jc w:val="both"/>
      </w:pPr>
      <w:r>
        <w:t xml:space="preserve">Initially, OpenAI’s pricing structure was simpler, but as their models grew in complexity and capability, and as the market matured, they introduced more nuanced tiers and pricing points. For instance, they differentiate between standard models and those optimized for specific use cases, or models with larger context windows, which naturally command higher prices due to increased computational demands. The advantages of this approach for OpenAI include a direct correlation between revenue and resource utilization, encouraging developers to optimize their prompts and reduce unnecessary token generation. It also allows them to capture revenue from high-volume enterprise users while maintaining a relatively low barrier to entry for individual developers or small-scale projects.</w:t>
      </w:r>
    </w:p>
    <w:p>
      <w:pPr>
        <w:pStyle w:val="BodyText"/>
        <w:spacing w:line="480" w:lineRule="auto"/>
        <w:ind w:firstLine="720"/>
        <w:jc w:val="both"/>
      </w:pPr>
      <w:r>
        <w:t xml:space="preserve">However, OpenAI’s token-based pricing has faced criticism regarding its transparency and predictability (Barbere et al., 2024). Developers often struggle to accurately estimate token usage, leading to unexpected costs. The concept of a</w:t>
      </w:r>
      <w:r>
        <w:t xml:space="preserve"> </w:t>
      </w:r>
      <w:r>
        <w:t xml:space="preserve">“</w:t>
      </w:r>
      <w:r>
        <w:t xml:space="preserve">token</w:t>
      </w:r>
      <w:r>
        <w:t xml:space="preserve">”</w:t>
      </w:r>
      <w:r>
        <w:t xml:space="preserve"> </w:t>
      </w:r>
      <w:r>
        <w:t xml:space="preserve">itself is not universally intuitive, and different models or languages can lead to varying token counts for the same text. For example, a single complex character or word in a non-English language might consume more tokens than a simple English word. This opacity can be a source of frustration for users trying to manage budgets (Barbere et al., 2024). Furthermore, while the per-token cost is relatively low, large-scale applications or extensive conversational AI can quickly accumulate massive token counts, leading to substantial monthly bills. OpenAI also offers fine-tuning capabilities, which are priced separately based on training data volume and compute hours, reflecting a more cost-plus dimension for custom model development. Their enterprise solutions often involve custom contracts that blend usage with dedicated capacity or premium support, indicating a move towards hybrid models for large clients.</w:t>
      </w:r>
    </w:p>
    <w:p>
      <w:pPr>
        <w:pStyle w:val="Heading3"/>
      </w:pPr>
      <w:bookmarkStart w:id="64" w:name="anthropics-claude-models"/>
      <w:r>
        <w:t xml:space="preserve">3.2 Anthropic’s Claude Models</w:t>
      </w:r>
      <w:bookmarkEnd w:id="64"/>
    </w:p>
    <w:p>
      <w:pPr>
        <w:pStyle w:val="FirstParagraph"/>
        <w:spacing w:line="480" w:lineRule="auto"/>
        <w:ind w:firstLine="720"/>
        <w:jc w:val="both"/>
      </w:pPr>
      <w:r>
        <w:t xml:space="preserve">Anthropic, another leading AI research company, offers its Claude series of LLMs through an API with a similar token-based pricing structure, but with some notable distinctions. Like OpenAI, Anthropic charges for both input and output tokens, with varying prices for different Claude models (e.g., Claude 3 Haiku, Sonnet, Opus) reflecting their respective capabilities and underlying computational costs. The more powerful</w:t>
      </w:r>
      <w:r>
        <w:t xml:space="preserve"> </w:t>
      </w:r>
      <w:r>
        <w:t xml:space="preserve">“</w:t>
      </w:r>
      <w:r>
        <w:t xml:space="preserve">Opus</w:t>
      </w:r>
      <w:r>
        <w:t xml:space="preserve">”</w:t>
      </w:r>
      <w:r>
        <w:t xml:space="preserve"> </w:t>
      </w:r>
      <w:r>
        <w:t xml:space="preserve">model, designed for highly complex tasks, is significantly more expensive per token than the faster, more compact</w:t>
      </w:r>
      <w:r>
        <w:t xml:space="preserve"> </w:t>
      </w:r>
      <w:r>
        <w:t xml:space="preserve">“</w:t>
      </w:r>
      <w:r>
        <w:t xml:space="preserve">Haiku</w:t>
      </w:r>
      <w:r>
        <w:t xml:space="preserve">”</w:t>
      </w:r>
      <w:r>
        <w:t xml:space="preserve"> </w:t>
      </w:r>
      <w:r>
        <w:t xml:space="preserve">model.</w:t>
      </w:r>
    </w:p>
    <w:p>
      <w:pPr>
        <w:pStyle w:val="BodyText"/>
        <w:spacing w:line="480" w:lineRule="auto"/>
        <w:ind w:firstLine="720"/>
        <w:jc w:val="both"/>
      </w:pPr>
      <w:r>
        <w:t xml:space="preserve">A key differentiator for Anthropic often lies in its larger context windows and its emphasis on safety and constitutional AI principles. While the direct pricing model mirrors OpenAI’s usage-based approach, Anthropic’s value proposition is heavily weighted towards ethical AI development and robust safety guardrails (Mirghaderi et al., 2023). This implicitly suggests a value-based component in their pricing, as customers who prioritize these attributes might be willing to pay a premium. The larger context windows, which allow models to process and remember much more information in a single interaction, also represent a distinct value proposition that justifies potentially higher token costs for specific use cases. For example, analyzing entire legal documents or extensive research papers in a single prompt would benefit greatly from larger context windows, and users would likely perceive higher value in such a capability, even if the token count is higher.</w:t>
      </w:r>
    </w:p>
    <w:p>
      <w:pPr>
        <w:pStyle w:val="BodyText"/>
        <w:spacing w:line="480" w:lineRule="auto"/>
        <w:ind w:firstLine="720"/>
        <w:jc w:val="both"/>
      </w:pPr>
      <w:r>
        <w:t xml:space="preserve">The advantages for Anthropic are similar to OpenAI’s: scalable revenue, low entry barrier, and encouraging efficient prompt engineering. However, the challenges also remain, particularly around cost predictability for users and the abstract nature of token billing. Anthropic’s focus on enterprise-grade safety and performance may also lead to a more tailored, high-touch sales approach for larger clients, potentially involving custom pricing that incorporates service level agreements (SLAs) and dedicated support, moving towards a hybrid model for strategic accounts.</w:t>
      </w:r>
    </w:p>
    <w:p>
      <w:pPr>
        <w:pStyle w:val="Heading3"/>
      </w:pPr>
      <w:bookmarkStart w:id="65" w:name="google-cloud-ai-and-azure-ai-services"/>
      <w:r>
        <w:t xml:space="preserve">3.3 Google Cloud AI and Azure AI Services</w:t>
      </w:r>
      <w:bookmarkEnd w:id="65"/>
    </w:p>
    <w:p>
      <w:pPr>
        <w:pStyle w:val="FirstParagraph"/>
        <w:spacing w:line="480" w:lineRule="auto"/>
        <w:ind w:firstLine="720"/>
        <w:jc w:val="both"/>
      </w:pPr>
      <w:r>
        <w:t xml:space="preserve">Major cloud providers like Google Cloud and Microsoft Azure offer a vast array of AI services, ranging from pre-trained models for specific tasks (e.g., natural language processing, computer vision) to platforms for building and deploying custom ML models. Their pricing strategies are typically highly diversified, encompassing usage-based, subscription, and tiered models to cater to a broad spectrum of users, from individual developers to large enterprises (Satapathi, 2025).</w:t>
      </w:r>
    </w:p>
    <w:p>
      <w:pPr>
        <w:pStyle w:val="BodyText"/>
        <w:spacing w:line="480" w:lineRule="auto"/>
        <w:ind w:firstLine="720"/>
        <w:jc w:val="both"/>
      </w:pPr>
      <w:r>
        <w:rPr>
          <w:b/>
        </w:rPr>
        <w:t xml:space="preserve">Google Cloud AI</w:t>
      </w:r>
      <w:r>
        <w:t xml:space="preserve"> </w:t>
      </w:r>
      <w:r>
        <w:t xml:space="preserve">provides services like Vertex AI, which offers ML platform tools, and specialized APIs for vision, natural language, and speech. Pricing for these services is predominantly usage-based. For example, Google’s Vision AI charges per image processed, Natural Language AI charges per 1,000 characters processed, and Translation AI charges per million characters (Satapathi, 2025). Vertex AI, their unified ML platform, charges for compute time (e.g., per hour for GPU/CPU usage), data storage, and model deployments. This granular, pay-as-you-go approach allows developers to scale their AI consumption precisely to their needs. Google also offers committed use discounts for long-term commitments, blending subscription-like benefits with usage-based flexibility.</w:t>
      </w:r>
    </w:p>
    <w:p>
      <w:pPr>
        <w:pStyle w:val="BodyText"/>
        <w:spacing w:line="480" w:lineRule="auto"/>
        <w:ind w:firstLine="720"/>
        <w:jc w:val="both"/>
      </w:pPr>
      <w:r>
        <w:rPr>
          <w:b/>
        </w:rPr>
        <w:t xml:space="preserve">Microsoft Azure AI</w:t>
      </w:r>
      <w:r>
        <w:t xml:space="preserve"> </w:t>
      </w:r>
      <w:r>
        <w:t xml:space="preserve">similarly offers a comprehensive suite of AI services, including Azure AI Language, Azure AI Vision, Azure OpenAI Service, and Azure Machine Learning. Pricing for services like Azure AI Language is typically tiered and usage-based (Satapathi, 2025). For instance, sentiment analysis might be charged per 1,000 text records, with different pricing tiers for higher volumes. Azure OpenAI Service, which provides access to OpenAI’s models through Azure’s infrastructure, also uses a token-based pricing model, often with enterprise-grade features and support that go beyond the direct OpenAI API. Azure Machine Learning, their platform for custom ML development, charges for compute instances, data storage, and model serving endpoints, akin to Google’s Vertex AI. They also offer reserved instance pricing for compute resources, providing cost savings for predictable workloads.</w:t>
      </w:r>
    </w:p>
    <w:p>
      <w:pPr>
        <w:pStyle w:val="BodyText"/>
        <w:spacing w:line="480" w:lineRule="auto"/>
        <w:ind w:firstLine="720"/>
        <w:jc w:val="both"/>
      </w:pPr>
      <w:r>
        <w:t xml:space="preserve">The advantages for these cloud providers lie in their ability to offer highly flexible and scalable AI infrastructure, allowing users to integrate AI capabilities seamlessly into their existing cloud environments. The combination of usage-based and tiered pricing caters to diverse customer segments, from small startups experimenting with AI to large corporations deploying mission-critical applications. Their global infrastructure also provides low-latency access and high reliability.</w:t>
      </w:r>
    </w:p>
    <w:p>
      <w:pPr>
        <w:pStyle w:val="BodyText"/>
        <w:spacing w:line="480" w:lineRule="auto"/>
        <w:ind w:firstLine="720"/>
        <w:jc w:val="both"/>
      </w:pPr>
      <w:r>
        <w:t xml:space="preserve">However, the sheer complexity and breadth of services offered by Google Cloud AI and Azure AI can make pricing structures daunting for users (Satapathi, 2025). Understanding the various meters, tiers, and potential discounts across dozens of services requires significant effort. Cost management tools are essential to prevent unexpected bills. Furthermore, while the pay-as-you-go model offers flexibility, it can also lead to vendor lock-in, as migrating AI workloads and data from one cloud provider to another can be a complex and costly endeavor. The pricing strategies implicitly leverage the broader cloud ecosystem, making it attractive for existing cloud customers to adopt their AI services.</w:t>
      </w:r>
    </w:p>
    <w:p>
      <w:pPr>
        <w:pStyle w:val="Heading3"/>
      </w:pPr>
      <w:bookmarkStart w:id="66" w:name="specialized-ai-service-providers"/>
      <w:r>
        <w:t xml:space="preserve">3.4 Specialized AI Service Providers</w:t>
      </w:r>
      <w:bookmarkEnd w:id="66"/>
    </w:p>
    <w:p>
      <w:pPr>
        <w:pStyle w:val="FirstParagraph"/>
        <w:spacing w:line="480" w:lineRule="auto"/>
        <w:ind w:firstLine="720"/>
        <w:jc w:val="both"/>
      </w:pPr>
      <w:r>
        <w:t xml:space="preserve">Beyond the major LLM providers and hyperscalers, a multitude of specialized AI service providers focus on niche applications, offering pricing models tailored to their specific domains. These often include AI for medical imaging, fraud detection, recommendation engines, or predictive analytics (Niharika et al., 2024).</w:t>
      </w:r>
    </w:p>
    <w:p>
      <w:pPr>
        <w:pStyle w:val="BodyText"/>
        <w:spacing w:line="480" w:lineRule="auto"/>
        <w:ind w:firstLine="720"/>
        <w:jc w:val="both"/>
      </w:pPr>
      <w:r>
        <w:t xml:space="preserve">For example, a company offering</w:t>
      </w:r>
      <w:r>
        <w:t xml:space="preserve"> </w:t>
      </w:r>
      <w:r>
        <w:rPr>
          <w:b/>
        </w:rPr>
        <w:t xml:space="preserve">AI-powered fraud detection</w:t>
      </w:r>
      <w:r>
        <w:t xml:space="preserve"> </w:t>
      </w:r>
      <w:r>
        <w:t xml:space="preserve">might employ a usage-based model, charging per transaction analyzed or per alert generated. However, given the high value of fraud prevention, they might also incorporate a value-based component, with pricing tied to the amount of fraud prevented or the savings achieved for the client (Maguire, 2021). This could involve a base subscription fee combined with a performance-based bonus.</w:t>
      </w:r>
    </w:p>
    <w:p>
      <w:pPr>
        <w:pStyle w:val="BodyText"/>
        <w:spacing w:line="480" w:lineRule="auto"/>
        <w:ind w:firstLine="720"/>
        <w:jc w:val="both"/>
      </w:pPr>
      <w:r>
        <w:t xml:space="preserve">Providers of</w:t>
      </w:r>
      <w:r>
        <w:t xml:space="preserve"> </w:t>
      </w:r>
      <w:r>
        <w:rPr>
          <w:b/>
        </w:rPr>
        <w:t xml:space="preserve">AI for predictive maintenance</w:t>
      </w:r>
      <w:r>
        <w:t xml:space="preserve"> </w:t>
      </w:r>
      <w:r>
        <w:t xml:space="preserve">in industrial settings might offer a subscription model based on the number of machines monitored, with premium tiers offering advanced analytics or integration capabilities. The value proposition here is clear: reducing downtime and maintenance costs, which justifies a recurring fee.</w:t>
      </w:r>
    </w:p>
    <w:p>
      <w:pPr>
        <w:pStyle w:val="BodyText"/>
        <w:spacing w:line="480" w:lineRule="auto"/>
        <w:ind w:firstLine="720"/>
        <w:jc w:val="both"/>
      </w:pPr>
      <w:r>
        <w:t xml:space="preserve">In the realm of</w:t>
      </w:r>
      <w:r>
        <w:t xml:space="preserve"> </w:t>
      </w:r>
      <w:r>
        <w:rPr>
          <w:b/>
        </w:rPr>
        <w:t xml:space="preserve">AI for automotive aftermarkets</w:t>
      </w:r>
      <w:r>
        <w:t xml:space="preserve">, dynamic pricing might be employed to optimize spare parts inventory and pricing based on real-time demand, vehicle data, and market conditions (Bhuram, 2025). This highly specialized application leverages AI for internal optimization, with the cost likely embedded within broader service contracts or as a value-added feature.</w:t>
      </w:r>
    </w:p>
    <w:p>
      <w:pPr>
        <w:pStyle w:val="BodyText"/>
        <w:spacing w:line="480" w:lineRule="auto"/>
        <w:ind w:firstLine="720"/>
        <w:jc w:val="both"/>
      </w:pPr>
      <w:r>
        <w:t xml:space="preserve">The key advantage for specialized providers is their ability to deeply understand their target market and tailor pricing models that resonate with the specific value drivers of that niche. This often leads to more effective monetization and stronger customer relationships. However, the challenge lies in scaling these niche models and competing with general-purpose AI solutions that might offer similar capabilities at a lower, albeit less specialized, cost. These providers often rely on a clear demonstration of ROI and superior domain expertise to justify their pricing.</w:t>
      </w:r>
    </w:p>
    <w:p>
      <w:pPr>
        <w:pStyle w:val="Heading2"/>
      </w:pPr>
      <w:bookmarkStart w:id="67" w:name="Xa204552cd8174332e8effc1f953c28cbd2f7e12"/>
      <w:r>
        <w:t xml:space="preserve">4. The Emergence of Hybrid Pricing Approaches</w:t>
      </w:r>
      <w:bookmarkEnd w:id="67"/>
    </w:p>
    <w:p>
      <w:pPr>
        <w:pStyle w:val="FirstParagraph"/>
        <w:spacing w:line="480" w:lineRule="auto"/>
        <w:ind w:firstLine="720"/>
        <w:jc w:val="both"/>
      </w:pPr>
      <w:r>
        <w:t xml:space="preserve">The analysis of individual pricing models reveals that no single strategy is universally optimal for all AI services or market conditions. Each model presents a unique set of advantages and disadvantages, creating trade-offs that providers must navigate. Consequently, there is a growing trend towards hybrid pricing approaches, where elements from multiple models are combined to create more flexible, robust, and strategically aligned offerings (Divakaruni &amp; Navarro, 2024). These hybrid models aim to mitigate the weaknesses of individual strategies while capitalizing on their strengths, thereby enhancing both provider profitability and customer satisfaction.</w:t>
      </w:r>
    </w:p>
    <w:p>
      <w:pPr>
        <w:pStyle w:val="Heading3"/>
      </w:pPr>
      <w:bookmarkStart w:id="68" w:name="rationale-for-hybrid-models"/>
      <w:r>
        <w:t xml:space="preserve">4.1 Rationale for Hybrid Models</w:t>
      </w:r>
      <w:bookmarkEnd w:id="68"/>
    </w:p>
    <w:p>
      <w:pPr>
        <w:pStyle w:val="FirstParagraph"/>
        <w:spacing w:line="480" w:lineRule="auto"/>
        <w:ind w:firstLine="720"/>
        <w:jc w:val="both"/>
      </w:pPr>
      <w:r>
        <w:t xml:space="preserve">The rationale for adopting hybrid pricing models in AI is multifaceted, driven by market dynamics, technological evolution, and customer expectations. Firstly, the inherent complexity and diverse applications of AI services mean that a</w:t>
      </w:r>
      <w:r>
        <w:t xml:space="preserve"> </w:t>
      </w:r>
      <w:r>
        <w:t xml:space="preserve">“</w:t>
      </w:r>
      <w:r>
        <w:t xml:space="preserve">one-size-fits-all</w:t>
      </w:r>
      <w:r>
        <w:t xml:space="preserve">”</w:t>
      </w:r>
      <w:r>
        <w:t xml:space="preserve"> </w:t>
      </w:r>
      <w:r>
        <w:t xml:space="preserve">pricing strategy is rarely effective (Lorente, 2025). An enterprise client using an LLM for internal knowledge management might have vastly different needs and willingness to pay compared to a startup building a customer-facing chatbot. Hybrid models allow providers to cater to these varied segments more effectively.</w:t>
      </w:r>
    </w:p>
    <w:p>
      <w:pPr>
        <w:pStyle w:val="BodyText"/>
        <w:spacing w:line="480" w:lineRule="auto"/>
        <w:ind w:firstLine="720"/>
        <w:jc w:val="both"/>
      </w:pPr>
      <w:r>
        <w:t xml:space="preserve">Secondly, hybrid approaches enable providers to balance revenue predictability with customer flexibility. Pure usage-based models can lead to volatile revenue for providers, while pure subscription models can deter low-volume users. By combining elements, providers can secure a baseline recurring revenue while allowing customers to scale their usage and incur additional costs only when necessary (Ladas et al., 2019). This strikes a crucial balance that supports sustainable business growth without alienating price-sensitive users.</w:t>
      </w:r>
    </w:p>
    <w:p>
      <w:pPr>
        <w:pStyle w:val="BodyText"/>
        <w:spacing w:line="480" w:lineRule="auto"/>
        <w:ind w:firstLine="720"/>
        <w:jc w:val="both"/>
      </w:pPr>
      <w:r>
        <w:t xml:space="preserve">Thirdly, hybrid models are instrumental in managing the high and often unpredictable costs associated with AI development and infrastructure. Training cutting-edge LLMs or maintaining vast computational resources is incredibly expensive (Kshirsagar et al., 2021). A pricing model that combines a base subscription (to cover fixed costs) with usage-based billing (to cover variable costs) can ensure that providers are adequately compensated for their investments while maintaining competitive pricing.</w:t>
      </w:r>
    </w:p>
    <w:p>
      <w:pPr>
        <w:pStyle w:val="BodyText"/>
        <w:spacing w:line="480" w:lineRule="auto"/>
        <w:ind w:firstLine="720"/>
        <w:jc w:val="both"/>
      </w:pPr>
      <w:r>
        <w:t xml:space="preserve">Fourthly, the competitive landscape of the AI market necessitates strategic pricing. As AI services become more commoditized, providers must differentiate not only on features and performance but also on their pricing structures. Hybrid models offer a way to create unique value propositions and respond to competitor moves more agilely (Divakaruni &amp; Navarro, 2024). They allow for greater experimentation and optimization, as providers can fine-tune different components of their pricing to find the sweet spot that maximizes adoption and revenue.</w:t>
      </w:r>
    </w:p>
    <w:p>
      <w:pPr>
        <w:pStyle w:val="BodyText"/>
        <w:spacing w:line="480" w:lineRule="auto"/>
        <w:ind w:firstLine="720"/>
        <w:jc w:val="both"/>
      </w:pPr>
      <w:r>
        <w:t xml:space="preserve">Finally, the evolving ethical considerations surrounding AI also play a role. Hybrid models can be designed to incorporate elements that promote fairness, accessibility, and sustainability. For instance, a freemium tier combined with a usage-based premium tier offers broad access while ensuring that heavy users contribute more to the environmental costs of computation (Mirghaderi et al., 2023).</w:t>
      </w:r>
    </w:p>
    <w:p>
      <w:pPr>
        <w:pStyle w:val="Heading3"/>
      </w:pPr>
      <w:bookmarkStart w:id="69" w:name="common-hybrid-configurations"/>
      <w:r>
        <w:t xml:space="preserve">4.2 Common Hybrid Configurations</w:t>
      </w:r>
      <w:bookmarkEnd w:id="69"/>
    </w:p>
    <w:p>
      <w:pPr>
        <w:pStyle w:val="FirstParagraph"/>
        <w:spacing w:line="480" w:lineRule="auto"/>
        <w:ind w:firstLine="720"/>
        <w:jc w:val="both"/>
      </w:pPr>
      <w:r>
        <w:t xml:space="preserve">Several common hybrid configurations have emerged in the AI market, each designed to address specific strategic objectives.</w:t>
      </w:r>
    </w:p>
    <w:p>
      <w:pPr>
        <w:pStyle w:val="BodyText"/>
        <w:spacing w:line="480" w:lineRule="auto"/>
        <w:ind w:firstLine="720"/>
        <w:jc w:val="both"/>
      </w:pPr>
      <w:r>
        <w:t xml:space="preserve">One prevalent hybrid is the</w:t>
      </w:r>
      <w:r>
        <w:t xml:space="preserve"> </w:t>
      </w:r>
      <w:r>
        <w:rPr>
          <w:b/>
        </w:rPr>
        <w:t xml:space="preserve">Subscription + Usage-Based Model</w:t>
      </w:r>
      <w:r>
        <w:t xml:space="preserve">. This typically involves a base monthly or annual subscription fee that grants access to a set of core features or a certain volume of usage (e.g., a fixed number of API calls or tokens per month). Beyond this included allowance, additional usage is billed on a pay-as-you-go basis (Satapathi, 2025). This model is widely adopted by cloud AI providers like Google Cloud and Azure AI, where a base subscription might unlock advanced platform features, while compute time or API calls are metered. Its advantage lies in providing customers with cost predictability up to a certain point, while allowing providers to capture revenue from high-volume usage. It also offers a clear upgrade path for growing businesses.</w:t>
      </w:r>
    </w:p>
    <w:p>
      <w:pPr>
        <w:pStyle w:val="BodyText"/>
        <w:spacing w:line="480" w:lineRule="auto"/>
        <w:ind w:firstLine="720"/>
        <w:jc w:val="both"/>
      </w:pPr>
      <w:r>
        <w:t xml:space="preserve">Another common configuration is the</w:t>
      </w:r>
      <w:r>
        <w:t xml:space="preserve"> </w:t>
      </w:r>
      <w:r>
        <w:rPr>
          <w:b/>
        </w:rPr>
        <w:t xml:space="preserve">Freemium + Tiered Subscription Model</w:t>
      </w:r>
      <w:r>
        <w:t xml:space="preserve">. Here, a completely free tier offers basic functionality with significant limitations (e.g., restricted features, slower performance, lower usage limits) (Seufert, 2014). Above this, multiple paid subscription tiers offer progressively more features, higher limits, or access to more powerful AI models. This model is excellent for user acquisition, drawing in a large base with the free offering, and then converting a percentage of them to paid subscribers as their needs or perceived value increases. Many AI-powered writing assistants or image generation tools follow this model.</w:t>
      </w:r>
    </w:p>
    <w:p>
      <w:pPr>
        <w:pStyle w:val="BodyText"/>
        <w:spacing w:line="480" w:lineRule="auto"/>
        <w:ind w:firstLine="720"/>
        <w:jc w:val="both"/>
      </w:pPr>
      <w:r>
        <w:t xml:space="preserve">A third approach combines</w:t>
      </w:r>
      <w:r>
        <w:t xml:space="preserve"> </w:t>
      </w:r>
      <w:r>
        <w:rPr>
          <w:b/>
        </w:rPr>
        <w:t xml:space="preserve">Value-Based with Usage-Based or Subscription Elements</w:t>
      </w:r>
      <w:r>
        <w:t xml:space="preserve">. This is often seen in highly specialized enterprise AI solutions. For example, an AI system for financial forecasting might have a base subscription fee, but also include a performance bonus or a revenue-share component if the AI significantly outperforms traditional methods or generates substantial profits for the client (Maguire, 2021). This aligns the provider’s incentives directly with the client’s success, capturing a portion of the demonstrated value. The challenge, as always, is accurately quantifying the AI’s direct contribution to the value created.</w:t>
      </w:r>
    </w:p>
    <w:p>
      <w:pPr>
        <w:pStyle w:val="BodyText"/>
        <w:spacing w:line="480" w:lineRule="auto"/>
        <w:ind w:firstLine="720"/>
        <w:jc w:val="both"/>
      </w:pPr>
      <w:r>
        <w:t xml:space="preserve">A fourth, more nascent, hybrid is the</w:t>
      </w:r>
      <w:r>
        <w:t xml:space="preserve"> </w:t>
      </w:r>
      <w:r>
        <w:rPr>
          <w:b/>
        </w:rPr>
        <w:t xml:space="preserve">Tiered + Dynamic Pricing Model</w:t>
      </w:r>
      <w:r>
        <w:t xml:space="preserve">. This could involve different subscription tiers, but with prices within each tier subject to dynamic adjustments based on real-time factors like demand, network congestion, or time of day (Bhuram, 2025). For instance, a premium tier might guarantee priority access at a higher dynamic rate during peak hours, while a standard tier experiences greater price fluctuations. This aims to optimize resource allocation and revenue, but carries significant risks of customer dissatisfaction due to price volatility (Ayata, 2020).</w:t>
      </w:r>
    </w:p>
    <w:p>
      <w:pPr>
        <w:pStyle w:val="BodyText"/>
        <w:spacing w:line="480" w:lineRule="auto"/>
        <w:ind w:firstLine="720"/>
        <w:jc w:val="both"/>
      </w:pPr>
      <w:r>
        <w:t xml:space="preserve">Finally,</w:t>
      </w:r>
      <w:r>
        <w:t xml:space="preserve"> </w:t>
      </w:r>
      <w:r>
        <w:rPr>
          <w:b/>
        </w:rPr>
        <w:t xml:space="preserve">Ethics-Driven + Any Other Model</w:t>
      </w:r>
      <w:r>
        <w:t xml:space="preserve"> </w:t>
      </w:r>
      <w:r>
        <w:t xml:space="preserve">represents an overlay where ethical considerations, such as Green AI principles or fairness metrics, are integrated into any of the above hybrids (Kshirsagar et al., 2021)(Mirghaderi et al., 2023). This could manifest as discounts for using energy-efficient models within a usage-based structure, or a transparent</w:t>
      </w:r>
      <w:r>
        <w:t xml:space="preserve"> </w:t>
      </w:r>
      <w:r>
        <w:t xml:space="preserve">“</w:t>
      </w:r>
      <w:r>
        <w:t xml:space="preserve">sustainability premium</w:t>
      </w:r>
      <w:r>
        <w:t xml:space="preserve">”</w:t>
      </w:r>
      <w:r>
        <w:t xml:space="preserve"> </w:t>
      </w:r>
      <w:r>
        <w:t xml:space="preserve">added to a subscription, with clear reporting on how these funds are used.</w:t>
      </w:r>
    </w:p>
    <w:p>
      <w:pPr>
        <w:pStyle w:val="Heading3"/>
      </w:pPr>
      <w:bookmarkStart w:id="70" w:name="Xfa74b7543653b4acdaa762641dc4bc7db501c28"/>
      <w:r>
        <w:t xml:space="preserve">4.3 Strategic Advantages and Challenges of Hybridization</w:t>
      </w:r>
      <w:bookmarkEnd w:id="70"/>
    </w:p>
    <w:p>
      <w:pPr>
        <w:pStyle w:val="FirstParagraph"/>
        <w:spacing w:line="480" w:lineRule="auto"/>
        <w:ind w:firstLine="720"/>
        <w:jc w:val="both"/>
      </w:pPr>
      <w:r>
        <w:t xml:space="preserve">The strategic advantages of adopting hybrid pricing models are substantial. They offer</w:t>
      </w:r>
      <w:r>
        <w:t xml:space="preserve"> </w:t>
      </w:r>
      <w:r>
        <w:rPr>
          <w:b/>
        </w:rPr>
        <w:t xml:space="preserve">enhanced flexibility</w:t>
      </w:r>
      <w:r>
        <w:t xml:space="preserve"> </w:t>
      </w:r>
      <w:r>
        <w:t xml:space="preserve">to cater to diverse customer segments, from individual developers to large enterprises, with varying budgets and needs. This broadens market reach and accelerates adoption. Hybrid models also provide</w:t>
      </w:r>
      <w:r>
        <w:t xml:space="preserve"> </w:t>
      </w:r>
      <w:r>
        <w:rPr>
          <w:b/>
        </w:rPr>
        <w:t xml:space="preserve">improved revenue stability</w:t>
      </w:r>
      <w:r>
        <w:t xml:space="preserve"> </w:t>
      </w:r>
      <w:r>
        <w:t xml:space="preserve">for providers by combining predictable recurring revenue from subscriptions with scalable revenue from usage, hedging against volatility. They allow for</w:t>
      </w:r>
      <w:r>
        <w:t xml:space="preserve"> </w:t>
      </w:r>
      <w:r>
        <w:rPr>
          <w:b/>
        </w:rPr>
        <w:t xml:space="preserve">better resource optimization</w:t>
      </w:r>
      <w:r>
        <w:t xml:space="preserve"> </w:t>
      </w:r>
      <w:r>
        <w:t xml:space="preserve">by encouraging users to manage their consumption within included limits and charging for excess, which can help manage the high operational costs of AI infrastructure. Furthermore, hybrid approaches enable</w:t>
      </w:r>
      <w:r>
        <w:t xml:space="preserve"> </w:t>
      </w:r>
      <w:r>
        <w:rPr>
          <w:b/>
        </w:rPr>
        <w:t xml:space="preserve">competitive differentiation</w:t>
      </w:r>
      <w:r>
        <w:t xml:space="preserve">, allowing providers to craft unique pricing strategies that stand out in a crowded market and align closely with their specific value propositions (Divakaruni &amp; Navarro, 2024). They also facilitate</w:t>
      </w:r>
      <w:r>
        <w:t xml:space="preserve"> </w:t>
      </w:r>
      <w:r>
        <w:rPr>
          <w:b/>
        </w:rPr>
        <w:t xml:space="preserve">dynamic adaptation</w:t>
      </w:r>
      <w:r>
        <w:t xml:space="preserve"> </w:t>
      </w:r>
      <w:r>
        <w:t xml:space="preserve">to market changes, as individual components of the hybrid can be adjusted without overhauling the entire pricing structure.</w:t>
      </w:r>
    </w:p>
    <w:p>
      <w:pPr>
        <w:pStyle w:val="BodyText"/>
        <w:spacing w:line="480" w:lineRule="auto"/>
        <w:ind w:firstLine="720"/>
        <w:jc w:val="both"/>
      </w:pPr>
      <w:r>
        <w:t xml:space="preserve">However, hybridization is not without its challenges. The primary difficulty lies in</w:t>
      </w:r>
      <w:r>
        <w:t xml:space="preserve"> </w:t>
      </w:r>
      <w:r>
        <w:rPr>
          <w:b/>
        </w:rPr>
        <w:t xml:space="preserve">increased complexity</w:t>
      </w:r>
      <w:r>
        <w:t xml:space="preserve"> </w:t>
      </w:r>
      <w:r>
        <w:t xml:space="preserve">for both providers and customers. Providers must manage intricate billing systems, track multiple metrics, and communicate complex pricing rules clearly (Satapathi, 2025). For customers, understanding how different components of a hybrid model interact and calculating their potential costs can be confusing, leading to a poorer user experience and potential distrust (Barbere et al., 2024). This complexity can also lead to</w:t>
      </w:r>
      <w:r>
        <w:t xml:space="preserve"> </w:t>
      </w:r>
      <w:r>
        <w:rPr>
          <w:b/>
        </w:rPr>
        <w:t xml:space="preserve">“</w:t>
      </w:r>
      <w:r>
        <w:rPr>
          <w:b/>
        </w:rPr>
        <w:t xml:space="preserve">bill shock</w:t>
      </w:r>
      <w:r>
        <w:rPr>
          <w:b/>
        </w:rPr>
        <w:t xml:space="preserve">”</w:t>
      </w:r>
      <w:r>
        <w:t xml:space="preserve"> </w:t>
      </w:r>
      <w:r>
        <w:t xml:space="preserve">if users misinterpret their usage allowance or the cost of exceeding limits.</w:t>
      </w:r>
    </w:p>
    <w:p>
      <w:pPr>
        <w:pStyle w:val="BodyText"/>
        <w:spacing w:line="480" w:lineRule="auto"/>
        <w:ind w:firstLine="720"/>
        <w:jc w:val="both"/>
      </w:pPr>
      <w:r>
        <w:t xml:space="preserve">Another challenge is</w:t>
      </w:r>
      <w:r>
        <w:t xml:space="preserve"> </w:t>
      </w:r>
      <w:r>
        <w:rPr>
          <w:b/>
        </w:rPr>
        <w:t xml:space="preserve">optimizing the balance</w:t>
      </w:r>
      <w:r>
        <w:t xml:space="preserve"> </w:t>
      </w:r>
      <w:r>
        <w:t xml:space="preserve">between different pricing components. Setting the right base subscription fee, usage allowances, and per-unit costs requires extensive market research, A/B testing, and continuous monitoring. If the balance is off, it can lead to under-monetization (if usage allowances are too generous) or customer churn (if usage costs are too high). There’s also the risk of</w:t>
      </w:r>
      <w:r>
        <w:t xml:space="preserve"> </w:t>
      </w:r>
      <w:r>
        <w:rPr>
          <w:b/>
        </w:rPr>
        <w:t xml:space="preserve">cannibalization</w:t>
      </w:r>
      <w:r>
        <w:t xml:space="preserve">, where lower tiers or usage rates might inadvertently reduce demand for higher-value offerings. Finally, the</w:t>
      </w:r>
      <w:r>
        <w:t xml:space="preserve"> </w:t>
      </w:r>
      <w:r>
        <w:rPr>
          <w:b/>
        </w:rPr>
        <w:t xml:space="preserve">overhead of managing multiple pricing components</w:t>
      </w:r>
      <w:r>
        <w:t xml:space="preserve"> </w:t>
      </w:r>
      <w:r>
        <w:t xml:space="preserve">can be significant, requiring dedicated teams for pricing strategy, billing support, and customer education. Despite these challenges, the strategic benefits often outweigh the complexities, making hybrid models the de facto standard for sophisticated AI services.</w:t>
      </w:r>
    </w:p>
    <w:p>
      <w:pPr>
        <w:pStyle w:val="Heading3"/>
      </w:pPr>
      <w:bookmarkStart w:id="71" w:name="future-directions-in-hybrid-ai-pricing"/>
      <w:r>
        <w:t xml:space="preserve">4.4 Future Directions in Hybrid AI Pricing</w:t>
      </w:r>
      <w:bookmarkEnd w:id="71"/>
    </w:p>
    <w:p>
      <w:pPr>
        <w:pStyle w:val="FirstParagraph"/>
        <w:spacing w:line="480" w:lineRule="auto"/>
        <w:ind w:firstLine="720"/>
        <w:jc w:val="both"/>
      </w:pPr>
      <w:r>
        <w:t xml:space="preserve">The evolution of AI technology and market dynamics will undoubtedly drive further innovation in hybrid pricing. Several key trends are likely to shape future directions.</w:t>
      </w:r>
    </w:p>
    <w:p>
      <w:pPr>
        <w:pStyle w:val="BodyText"/>
        <w:spacing w:line="480" w:lineRule="auto"/>
        <w:ind w:firstLine="720"/>
        <w:jc w:val="both"/>
      </w:pPr>
      <w:r>
        <w:t xml:space="preserve">Firstly, there will be an increased emphasis on</w:t>
      </w:r>
      <w:r>
        <w:t xml:space="preserve"> </w:t>
      </w:r>
      <w:r>
        <w:rPr>
          <w:b/>
        </w:rPr>
        <w:t xml:space="preserve">outcome-based or performance-linked pricing</w:t>
      </w:r>
      <w:r>
        <w:t xml:space="preserve"> </w:t>
      </w:r>
      <w:r>
        <w:t xml:space="preserve">within hybrid models (Maguire, 2021). As AI matures, and its impact becomes more measurable, providers will seek to tie a larger portion of their revenue to the actual business outcomes achieved by their clients. This could involve a base subscription for access, combined with a percentage of the savings generated, the revenue uplift, or the efficiency gains directly attributable to the AI. This moves closer to a pure value-based model but within a hybrid framework that still ensures some cost recovery.</w:t>
      </w:r>
    </w:p>
    <w:p>
      <w:pPr>
        <w:pStyle w:val="BodyText"/>
        <w:spacing w:line="480" w:lineRule="auto"/>
        <w:ind w:firstLine="720"/>
        <w:jc w:val="both"/>
      </w:pPr>
      <w:r>
        <w:t xml:space="preserve">Secondly, the integration of</w:t>
      </w:r>
      <w:r>
        <w:t xml:space="preserve"> </w:t>
      </w:r>
      <w:r>
        <w:rPr>
          <w:b/>
        </w:rPr>
        <w:t xml:space="preserve">blockchain and verifiable computation</w:t>
      </w:r>
      <w:r>
        <w:t xml:space="preserve"> </w:t>
      </w:r>
      <w:r>
        <w:t xml:space="preserve">could enable more transparent and auditable usage-based pricing (Kaaniche &amp; Laurent, 2018). By leveraging distributed ledger technologies, the exact computational resources consumed, or the number of tokens processed, could be immutably recorded and verified, enhancing trust and fairness in billing. This could also facilitate micro-transactions for highly granular AI services.</w:t>
      </w:r>
    </w:p>
    <w:p>
      <w:pPr>
        <w:pStyle w:val="BodyText"/>
        <w:spacing w:line="480" w:lineRule="auto"/>
        <w:ind w:firstLine="720"/>
        <w:jc w:val="both"/>
      </w:pPr>
      <w:r>
        <w:t xml:space="preserve">Thirdly,</w:t>
      </w:r>
      <w:r>
        <w:t xml:space="preserve"> </w:t>
      </w:r>
      <w:r>
        <w:rPr>
          <w:b/>
        </w:rPr>
        <w:t xml:space="preserve">personalized and adaptive hybrid models</w:t>
      </w:r>
      <w:r>
        <w:t xml:space="preserve"> </w:t>
      </w:r>
      <w:r>
        <w:t xml:space="preserve">will become more sophisticated (Niharika et al., 2024). Leveraging AI itself, providers will be able to dynamically adjust the components of a hybrid model for individual users or organizations based on their historical usage, projected needs, and willingness to pay. This moves beyond simple dynamic pricing to a more comprehensive, AI-driven optimization of the entire pricing structure for each customer. However, this raises significant ethical concerns regarding algorithmic discrimination and requires robust transparency mechanisms.</w:t>
      </w:r>
    </w:p>
    <w:p>
      <w:pPr>
        <w:pStyle w:val="BodyText"/>
        <w:spacing w:line="480" w:lineRule="auto"/>
        <w:ind w:firstLine="720"/>
        <w:jc w:val="both"/>
      </w:pPr>
      <w:r>
        <w:t xml:space="preserve">Fourthly, the push for</w:t>
      </w:r>
      <w:r>
        <w:t xml:space="preserve"> </w:t>
      </w:r>
      <w:r>
        <w:rPr>
          <w:b/>
        </w:rPr>
        <w:t xml:space="preserve">Green AI and ethical considerations</w:t>
      </w:r>
      <w:r>
        <w:t xml:space="preserve"> </w:t>
      </w:r>
      <w:r>
        <w:t xml:space="preserve">will become more deeply embedded in hybrid pricing. Future models might offer explicit carbon footprint reporting per usage unit, with tiered pricing based on the energy efficiency of the chosen AI model or infrastructure (Kshirsagar et al., 2021). Discounts might be offered for using AI models trained on ethically sourced data or those that demonstrate verifiable bias mitigation. This will require industry-wide standards for measuring and reporting AI’s ethical and environmental impact.</w:t>
      </w:r>
    </w:p>
    <w:p>
      <w:pPr>
        <w:pStyle w:val="BodyText"/>
        <w:spacing w:line="480" w:lineRule="auto"/>
        <w:ind w:firstLine="720"/>
        <w:jc w:val="both"/>
      </w:pPr>
      <w:r>
        <w:t xml:space="preserve">Finally, the concept of</w:t>
      </w:r>
      <w:r>
        <w:t xml:space="preserve"> </w:t>
      </w:r>
      <w:r>
        <w:rPr>
          <w:b/>
        </w:rPr>
        <w:t xml:space="preserve">“</w:t>
      </w:r>
      <w:r>
        <w:rPr>
          <w:b/>
        </w:rPr>
        <w:t xml:space="preserve">AI Agents for Economic Research</w:t>
      </w:r>
      <w:r>
        <w:rPr>
          <w:b/>
        </w:rPr>
        <w:t xml:space="preserve">”</w:t>
      </w:r>
      <w:r>
        <w:t xml:space="preserve"> </w:t>
      </w:r>
      <w:r>
        <w:t xml:space="preserve">(Korinek, 2025) suggests a future where AI itself might analyze market conditions, competitor pricing, and consumer behavior to continuously optimize and propose new hybrid pricing strategies. This could lead to highly dynamic and responsive pricing that evolves in real-time, pushing the boundaries of traditional pricing theory.</w:t>
      </w:r>
    </w:p>
    <w:p>
      <w:pPr>
        <w:pStyle w:val="BodyText"/>
        <w:spacing w:line="480" w:lineRule="auto"/>
        <w:ind w:firstLine="720"/>
        <w:jc w:val="both"/>
      </w:pPr>
      <w:r>
        <w:t xml:space="preserve">In conclusion, the analysis of AI pricing models underscores a clear trajectory towards hybrid solutions that strategically combine elements to address the multifaceted challenges of monetizing intelligent systems. As AI continues its rapid advancement and integration into the global economy, the sophistication and ethical considerations embedded within these pricing models will be paramount to ensuring equitable access, sustainable development, and continued innovation in the AI landscape. The ongoing evolution of these strategies will be a critical determinant of AI’s broader societal impact and economic success.</w:t>
      </w:r>
    </w:p>
    <w:p>
      <w:pPr>
        <w:pStyle w:val="Heading1"/>
      </w:pPr>
      <w:bookmarkStart w:id="72" w:name="discussion"/>
      <w:r>
        <w:t xml:space="preserve">Discussion</w:t>
      </w:r>
      <w:bookmarkEnd w:id="72"/>
    </w:p>
    <w:p>
      <w:pPr>
        <w:pStyle w:val="FirstParagraph"/>
        <w:spacing w:line="480" w:lineRule="auto"/>
        <w:ind w:firstLine="720"/>
        <w:jc w:val="both"/>
      </w:pPr>
      <w:r>
        <w:t xml:space="preserve">The preceding analysis has illuminated the multifaceted landscape of Artificial Intelligence (AI) pricing, dissecting various models, influencing factors, and the inherent complexities in valuing such advanced technological services. This discussion section delves into the broader implications of these findings, exploring their significance for AI companies, considerations for customer adoption, anticipated future pricing trends, and offering concrete recommendations for stakeholders. The objective is to bridge the theoretical understanding with practical strategic insights, fostering a more informed and equitable AI ecosystem.</w:t>
      </w:r>
    </w:p>
    <w:p>
      <w:pPr>
        <w:pStyle w:val="Heading2"/>
      </w:pPr>
      <w:bookmarkStart w:id="73" w:name="implications-for-ai-companies"/>
      <w:r>
        <w:t xml:space="preserve">Implications for AI Companies</w:t>
      </w:r>
      <w:bookmarkEnd w:id="73"/>
    </w:p>
    <w:p>
      <w:pPr>
        <w:pStyle w:val="FirstParagraph"/>
        <w:spacing w:line="480" w:lineRule="auto"/>
        <w:ind w:firstLine="720"/>
        <w:jc w:val="both"/>
      </w:pPr>
      <w:r>
        <w:t xml:space="preserve">The strategic implications for AI companies operating within this dynamic pricing environment are profound, necessitating a shift from conventional pricing paradigms to more sophisticated, adaptive, and ethically conscious approaches. Historically, software and service pricing has often gravitated towards cost-plus models, which, while straightforward, fail to capture the exponential and often intangible value generated by AI systems (Maguire, 2021). The advent of AI demands a re-evaluation of how value is created and captured, especially given AI’s transformative potential across industries (Lorente, 2025).</w:t>
      </w:r>
    </w:p>
    <w:p>
      <w:pPr>
        <w:pStyle w:val="BodyText"/>
        <w:spacing w:line="480" w:lineRule="auto"/>
        <w:ind w:firstLine="720"/>
        <w:jc w:val="both"/>
      </w:pPr>
      <w:r>
        <w:t xml:space="preserve">A primary implication is the imperative for AI companies to move beyond simplistic cost-plus pricing. While the underlying computational and development costs of AI, including specialized hardware, extensive data acquisition, and expert human capital, are substantial, they often represent only a fraction of the value an AI solution can deliver to a client. For instance, the energy consumption associated with training and running large AI models, sometimes referred to as</w:t>
      </w:r>
      <w:r>
        <w:t xml:space="preserve"> </w:t>
      </w:r>
      <w:r>
        <w:t xml:space="preserve">‘</w:t>
      </w:r>
      <w:r>
        <w:t xml:space="preserve">Green AI</w:t>
      </w:r>
      <w:r>
        <w:t xml:space="preserve">’</w:t>
      </w:r>
      <w:r>
        <w:t xml:space="preserve"> </w:t>
      </w:r>
      <w:r>
        <w:t xml:space="preserve">considerations, represents a tangible cost that can be factored into pricing (Kshirsagar et al., 2021). However, focusing solely on these costs risks undervaluing the solution. Instead, AI companies must increasingly pivot towards value-based pricing, which aligns the price of a service with the perceived or realized benefits it offers to the customer (Maguire, 2021)(Lorente, 2025). This requires a deep understanding of the customer’s operational context, their pain points, and the specific return on investment (ROI) that the AI solution can generate. Quantifying this value, however, presents a significant challenge. It often involves demonstrating improvements in efficiency, accuracy, decision-making, or competitive advantage, which can be difficult to measure precisely before deployment or even post-implementation (Lorente, 2025). Companies must invest in robust frameworks and methodologies to articulate and quantify this value proposition clearly, perhaps through pilot programs, case studies, and performance guarantees (Maguire, 2021). The challenge is not merely to calculate an internal cost, but to understand the external impact and monetize that impact effectively.</w:t>
      </w:r>
    </w:p>
    <w:p>
      <w:pPr>
        <w:pStyle w:val="BodyText"/>
        <w:spacing w:line="480" w:lineRule="auto"/>
        <w:ind w:firstLine="720"/>
        <w:jc w:val="both"/>
      </w:pPr>
      <w:r>
        <w:t xml:space="preserve">Operational complexities further compound the pricing challenge for AI companies. Many AI services, particularly large language models (LLMs) and generative AI, are consumed through APIs on a usage-based model, often measured in</w:t>
      </w:r>
      <w:r>
        <w:t xml:space="preserve"> </w:t>
      </w:r>
      <w:r>
        <w:t xml:space="preserve">“</w:t>
      </w:r>
      <w:r>
        <w:t xml:space="preserve">tokens</w:t>
      </w:r>
      <w:r>
        <w:t xml:space="preserve">”</w:t>
      </w:r>
      <w:r>
        <w:t xml:space="preserve"> </w:t>
      </w:r>
      <w:r>
        <w:t xml:space="preserve">or API calls (Barbere et al., 2024)(Satapathi, 2025). This granular consumption model necessitates sophisticated billing infrastructures capable of tracking and attributing usage accurately. Dynamic pricing mechanisms, which adjust prices in real-time based on demand, computational load, or even market conditions, are becoming increasingly prevalent (Bhuram, 2025)(Niharika et al., 2024). Implementing such systems requires advanced predictive analytics and robust backend infrastructure to ensure fairness, transparency, and optimal revenue generation (Niharika et al., 2024). For example, edge-cloud AI architectures can enable dynamic pricing in highly responsive environments like automotive aftermarkets by leveraging real-time data (Bhuram, 2025). Companies like Microsoft Azure AI Language Service already employ tiered pricing based on features and usage volumes, illustrating the practical application of these models (Satapathi, 2025). Furthermore, effective API monetization strategies, as discussed by De (De, 2017), become crucial. This involves not only setting the right price per unit but also designing API access tiers, developer programs, and support structures that encourage adoption and sustained usage. The operational overhead of managing these complex, usage-based, and potentially dynamic pricing models can be substantial, requiring significant investment in data analytics, engineering, and customer support.</w:t>
      </w:r>
    </w:p>
    <w:p>
      <w:pPr>
        <w:pStyle w:val="BodyText"/>
        <w:spacing w:line="480" w:lineRule="auto"/>
        <w:ind w:firstLine="720"/>
        <w:jc w:val="both"/>
      </w:pPr>
      <w:r>
        <w:t xml:space="preserve">Ethical and transparency considerations also carry significant implications for AI companies. As AI systems become more pervasive, concerns about bias, fairness, and accountability in their operation, including their pricing, are intensifying (Mirghaderi et al., 2023). Companies must ensure that their pricing algorithms do not inadvertently discriminate against certain user groups or lead to excessive pricing, which could attract regulatory scrutiny and erode customer trust (Ayata, 2020). Transparency in how AI solutions are priced, and how value is calculated, becomes paramount. This includes clear communication about data usage, particularly when personal or sensitive information is involved, as outlined by Kaaniche and Laurent’s work on blockchain-based data usage auditing (Kaaniche &amp; Laurent, 2018). Failure to address these ethical dimensions can result in reputational damage, legal challenges, and a significant impediment to market adoption. The concept of</w:t>
      </w:r>
      <w:r>
        <w:t xml:space="preserve"> </w:t>
      </w:r>
      <w:r>
        <w:t xml:space="preserve">“</w:t>
      </w:r>
      <w:r>
        <w:t xml:space="preserve">human-like competencies</w:t>
      </w:r>
      <w:r>
        <w:t xml:space="preserve">”</w:t>
      </w:r>
      <w:r>
        <w:t xml:space="preserve"> </w:t>
      </w:r>
      <w:r>
        <w:t xml:space="preserve">in AI also plays a role, as users may perceive and value AI differently based on its perceived human-like attributes, which can influence pricing strategies (Fang &amp; Zhou, 2025). Balancing commercial objectives with ethical responsibilities is a delicate act, but one that is increasingly non-negotiable for sustainable growth in the AI sector. Companies that proactively integrate ethical considerations into their pricing models and communicate these transparently are more likely to build long-term trust and achieve market leadership.</w:t>
      </w:r>
    </w:p>
    <w:p>
      <w:pPr>
        <w:pStyle w:val="Heading2"/>
      </w:pPr>
      <w:bookmarkStart w:id="74" w:name="customer-adoption-considerations"/>
      <w:r>
        <w:t xml:space="preserve">Customer Adoption Considerations</w:t>
      </w:r>
      <w:bookmarkEnd w:id="74"/>
    </w:p>
    <w:p>
      <w:pPr>
        <w:pStyle w:val="FirstParagraph"/>
        <w:spacing w:line="480" w:lineRule="auto"/>
        <w:ind w:firstLine="720"/>
        <w:jc w:val="both"/>
      </w:pPr>
      <w:r>
        <w:t xml:space="preserve">The success of AI products and services hinges critically on customer adoption, which is influenced by a complex interplay of factors, including trust, perceived value, and the psychological aspects of engagement. Understanding these dynamics is essential for AI companies to design effective pricing strategies that resonate with potential users.</w:t>
      </w:r>
    </w:p>
    <w:p>
      <w:pPr>
        <w:pStyle w:val="BodyText"/>
        <w:spacing w:line="480" w:lineRule="auto"/>
        <w:ind w:firstLine="720"/>
        <w:jc w:val="both"/>
      </w:pPr>
      <w:r>
        <w:t xml:space="preserve">Trust and transparency emerge as foundational pillars for customer adoption of AI solutions. The inherent</w:t>
      </w:r>
      <w:r>
        <w:t xml:space="preserve"> </w:t>
      </w:r>
      <w:r>
        <w:t xml:space="preserve">“</w:t>
      </w:r>
      <w:r>
        <w:t xml:space="preserve">black box</w:t>
      </w:r>
      <w:r>
        <w:t xml:space="preserve">”</w:t>
      </w:r>
      <w:r>
        <w:t xml:space="preserve"> </w:t>
      </w:r>
      <w:r>
        <w:t xml:space="preserve">nature of many advanced AI algorithms, coupled with widespread concerns about data privacy and algorithmic bias, can create significant barriers to trust (Mirghaderi et al., 2023). Customers are increasingly wary of how their data is used, how decisions are made by AI, and whether the pricing models are fair and non-discriminatory. Transparent communication regarding the AI’s capabilities, limitations, and, crucially, its pricing structure and data handling practices is therefore not merely a best practice but a necessity (Kaaniche &amp; Laurent, 2018). When customers understand the value exchange, how their data contributes to the service, and how the price reflects that, their willingness to adopt increases. Conversely, a lack of transparency can foster suspicion and inhibit adoption, even for highly effective AI solutions. Mirghaderi, Sziron et al. (Mirghaderi et al., 2023) highlight the ethical and transparency issues in digital platforms, which are directly relevant to AI services. Building trust also involves addressing the perceived risks associated with AI, such as job displacement or misuse, and demonstrating a commitment to responsible AI development. This extends to pricing, where perceived fairness in cost structures can significantly impact customer sentiment and loyalty.</w:t>
      </w:r>
    </w:p>
    <w:p>
      <w:pPr>
        <w:pStyle w:val="BodyText"/>
        <w:spacing w:line="480" w:lineRule="auto"/>
        <w:ind w:firstLine="720"/>
        <w:jc w:val="both"/>
      </w:pPr>
      <w:r>
        <w:t xml:space="preserve">The interplay between perceived value and cost is another critical determinant of customer adoption. Customers evaluate AI solutions not just on their absolute price, but on the perceived benefits they offer relative to that cost, and relative to alternative solutions (including human labor or existing software). Fang and Zhou (Fang &amp; Zhou, 2025) explore how human-like competencies in AI can influence user perception and, by extension, their willingness to pay. If an AI system is perceived as highly competent, intuitive, or even empathetic, its perceived value might increase, justifying a higher price point. Conversely, if an AI is seen as complex, unreliable, or difficult to integrate, its perceived value diminishes, making even a low price seem excessive. The initial stages of adoption often benefit from models like freemium, where a basic version is offered for free to allow users to experience the value firsthand before committing to a paid subscription (Seufert, 2014). This approach helps overcome the initial hurdle of skepticism and allows users to develop a sense of the AI’s utility and impact on their workflows or decision-making processes. The psychological factors affecting customer lifetime value, as analyzed by Siddannavar, Khan et al. (Siddannavar et al., 2025), underscore the importance of understanding user perception and satisfaction over time. A positive initial experience, coupled with consistent value delivery, is crucial for long-term engagement and willingness to continue paying for AI services.</w:t>
      </w:r>
    </w:p>
    <w:p>
      <w:pPr>
        <w:pStyle w:val="BodyText"/>
        <w:spacing w:line="480" w:lineRule="auto"/>
        <w:ind w:firstLine="720"/>
        <w:jc w:val="both"/>
      </w:pPr>
      <w:r>
        <w:t xml:space="preserve">Switching costs and the potential for vendor lock-in also significantly influence customer adoption and retention. Once an organization or individual invests in an AI solution, integrating it into their existing workflows, training personnel, and migrating data, the cost of switching to a competitor can be substantial. This creates a degree of</w:t>
      </w:r>
      <w:r>
        <w:t xml:space="preserve"> </w:t>
      </w:r>
      <w:r>
        <w:t xml:space="preserve">“</w:t>
      </w:r>
      <w:r>
        <w:t xml:space="preserve">stickiness</w:t>
      </w:r>
      <w:r>
        <w:t xml:space="preserve">”</w:t>
      </w:r>
      <w:r>
        <w:t xml:space="preserve"> </w:t>
      </w:r>
      <w:r>
        <w:t xml:space="preserve">for AI providers. However, high switching costs can also deter initial adoption if potential customers anticipate being locked into a suboptimal solution. AI companies must balance the benefits of ecosystem lock-in with the need to attract new users by demonstrating flexibility and interoperability. The ease of data portability and API compatibility with other systems can mitigate concerns about lock-in, making an AI solution more attractive. Divakaruni and Navarro’s work on technology adoption and pricing in US Airlines (Divakaruni &amp; Navarro, 2024) highlights how the cost-benefit analysis of adopting new technologies is heavily influenced by integration challenges and perceived long-term value. Furthermore, the learning curve associated with new AI tools can be a barrier. If an AI solution requires extensive training or changes to established processes, the perceived cost (in terms of time and effort) can outweigh the perceived benefits, leading to lower adoption rates. Effective onboarding, comprehensive documentation, and responsive customer support are vital to reduce these perceived switching costs and facilitate smoother adoption.</w:t>
      </w:r>
    </w:p>
    <w:p>
      <w:pPr>
        <w:pStyle w:val="BodyText"/>
        <w:spacing w:line="480" w:lineRule="auto"/>
        <w:ind w:firstLine="720"/>
        <w:jc w:val="both"/>
      </w:pPr>
      <w:r>
        <w:t xml:space="preserve">Finally, broader market dynamics play a role. The competitive landscape, the maturity of AI technologies, and prevailing economic conditions all shape customer expectations and willingness to pay. As AI becomes more commoditized in certain areas, pricing pressures will increase, forcing providers to differentiate on factors beyond core functionality, such as user experience, specialized applications, or ethical safeguards. Early adopters might be willing to pay a premium for cutting-edge technology, while later adopters will seek proven solutions at more competitive price points.</w:t>
      </w:r>
    </w:p>
    <w:p>
      <w:pPr>
        <w:pStyle w:val="Heading2"/>
      </w:pPr>
      <w:bookmarkStart w:id="75" w:name="future-pricing-trends"/>
      <w:r>
        <w:t xml:space="preserve">Future Pricing Trends</w:t>
      </w:r>
      <w:bookmarkEnd w:id="75"/>
    </w:p>
    <w:p>
      <w:pPr>
        <w:pStyle w:val="FirstParagraph"/>
        <w:spacing w:line="480" w:lineRule="auto"/>
        <w:ind w:firstLine="720"/>
        <w:jc w:val="both"/>
      </w:pPr>
      <w:r>
        <w:t xml:space="preserve">The trajectory of AI pricing is dynamic, shaped by technological advancements, evolving market demands, and increasing regulatory scrutiny. Several key trends are expected to define the future landscape, moving towards more sophisticated, personalized, and ethically grounded pricing models.</w:t>
      </w:r>
    </w:p>
    <w:p>
      <w:pPr>
        <w:pStyle w:val="BodyText"/>
        <w:spacing w:line="480" w:lineRule="auto"/>
        <w:ind w:firstLine="720"/>
        <w:jc w:val="both"/>
      </w:pPr>
      <w:r>
        <w:t xml:space="preserve">One prominent trend is the widespread adoption of</w:t>
      </w:r>
      <w:r>
        <w:t xml:space="preserve"> </w:t>
      </w:r>
      <w:r>
        <w:rPr>
          <w:b/>
        </w:rPr>
        <w:t xml:space="preserve">hybrid and adaptive pricing models</w:t>
      </w:r>
      <w:r>
        <w:t xml:space="preserve">. The limitations of purely cost-plus or value-based approaches in capturing the full complexity of AI services will drive companies to blend these strategies. Future models will likely incorporate elements of usage-based pricing (e.g., tokens, API calls (Barbere et al., 2024)(Satapathi, 2025)), performance-based pricing (tying cost to achieved outcomes), and subscription tiers, creating a nuanced framework that can adapt to different customer segments and use cases. AI-powered predictive analytics will play a crucial role in optimizing these hybrid models in real-time (Niharika et al., 2024). By analyzing vast datasets of usage patterns, market demand, and customer behavior, AI systems themselves will dynamically adjust pricing to maximize revenue and customer satisfaction. Bhuram’s research on edge-cloud AI for dynamic pricing in automotive aftermarkets (Bhuram, 2025) exemplifies how real-time data and AI can enable highly responsive pricing adjustments, moving beyond static price lists. This means that prices for AI services could fluctuate based on the complexity of the task, the urgency of the request, the computational resources required, or even the value derived by the user in a specific context.</w:t>
      </w:r>
    </w:p>
    <w:p>
      <w:pPr>
        <w:pStyle w:val="BodyText"/>
        <w:spacing w:line="480" w:lineRule="auto"/>
        <w:ind w:firstLine="720"/>
        <w:jc w:val="both"/>
      </w:pPr>
      <w:r>
        <w:rPr>
          <w:b/>
        </w:rPr>
        <w:t xml:space="preserve">Personalization and customization</w:t>
      </w:r>
      <w:r>
        <w:t xml:space="preserve"> </w:t>
      </w:r>
      <w:r>
        <w:t xml:space="preserve">will become increasingly central to AI pricing. As AI systems become more capable of understanding individual user needs and enterprise-specific requirements, pricing models will evolve to reflect this granularity. This could manifest as highly tailored enterprise contracts, where pricing is negotiated based on specific integration needs, data volumes, and desired outcomes. For individual users or smaller businesses, this might involve more flexible tiered services, allowing customers to pay only for the specific features, capabilities, or usage levels they require (Satapathi, 2025). Instead of one-size-fits-all subscriptions, future models could offer modular pricing, where users can add or remove AI capabilities à la carte. This approach aligns with the principle of value-based pricing, ensuring that customers perceive a direct correlation between the features they utilize and the price they pay. The shift from product selling to pay-per-use services, as explored by Ladas, Kavadias et al. (Ladas et al., 2019), highlights a broader industry trend that AI is poised to accelerate, offering greater flexibility and cost-efficiency for users.</w:t>
      </w:r>
    </w:p>
    <w:p>
      <w:pPr>
        <w:pStyle w:val="BodyText"/>
        <w:spacing w:line="480" w:lineRule="auto"/>
        <w:ind w:firstLine="720"/>
        <w:jc w:val="both"/>
      </w:pPr>
      <w:r>
        <w:t xml:space="preserve">The growing influence of</w:t>
      </w:r>
      <w:r>
        <w:t xml:space="preserve"> </w:t>
      </w:r>
      <w:r>
        <w:rPr>
          <w:b/>
        </w:rPr>
        <w:t xml:space="preserve">regulatory and ethical considerations</w:t>
      </w:r>
      <w:r>
        <w:t xml:space="preserve"> </w:t>
      </w:r>
      <w:r>
        <w:t xml:space="preserve">will significantly shape future AI pricing. As governments and international bodies grapple with the societal impact of AI, regulations concerning data privacy, algorithmic transparency, and anti-competitive practices are likely to become more stringent. This will directly impact how AI companies can price their services. For instance, regulations requiring greater transparency in data usage (Kaaniche &amp; Laurent, 2018) could necessitate more detailed breakdowns of how data-related costs are factored into pricing. Concerns about</w:t>
      </w:r>
      <w:r>
        <w:t xml:space="preserve"> </w:t>
      </w:r>
      <w:r>
        <w:t xml:space="preserve">“</w:t>
      </w:r>
      <w:r>
        <w:t xml:space="preserve">excessive pricing</w:t>
      </w:r>
      <w:r>
        <w:t xml:space="preserve">”</w:t>
      </w:r>
      <w:r>
        <w:t xml:space="preserve"> </w:t>
      </w:r>
      <w:r>
        <w:t xml:space="preserve">by dominant digital platforms, as discussed by Ayata (Ayata, 2020), may lead to regulatory interventions to prevent monopolistic behaviors in the AI market. Furthermore, the push for</w:t>
      </w:r>
      <w:r>
        <w:t xml:space="preserve"> </w:t>
      </w:r>
      <w:r>
        <w:t xml:space="preserve">“</w:t>
      </w:r>
      <w:r>
        <w:t xml:space="preserve">Green AI</w:t>
      </w:r>
      <w:r>
        <w:t xml:space="preserve">”</w:t>
      </w:r>
      <w:r>
        <w:t xml:space="preserve"> </w:t>
      </w:r>
      <w:r>
        <w:t xml:space="preserve">(Kshirsagar et al., 2021), which emphasizes energy efficiency and environmental sustainability in AI development, could lead to pricing models that reward or penalize based on the carbon footprint of AI operations. Companies demonstrating a commitment to ethical AI and sustainable practices might gain a competitive advantage, potentially justifying premium pricing, while those neglecting these aspects could face regulatory fines and reputational damage. The ethical dimension will transition from a peripheral concern to a core determinant of viable pricing strategies.</w:t>
      </w:r>
    </w:p>
    <w:p>
      <w:pPr>
        <w:pStyle w:val="BodyText"/>
        <w:spacing w:line="480" w:lineRule="auto"/>
        <w:ind w:firstLine="720"/>
        <w:jc w:val="both"/>
      </w:pPr>
      <w:r>
        <w:t xml:space="preserve">Finally, the emergence of</w:t>
      </w:r>
      <w:r>
        <w:t xml:space="preserve"> </w:t>
      </w:r>
      <w:r>
        <w:rPr>
          <w:b/>
        </w:rPr>
        <w:t xml:space="preserve">AI agents for economic research and market interaction</w:t>
      </w:r>
      <w:r>
        <w:t xml:space="preserve"> </w:t>
      </w:r>
      <w:r>
        <w:t xml:space="preserve">(Korinek, 2025) suggests a future where AI systems might not only be priced but also actively participate in pricing decisions and market negotiations. This could lead to highly efficient, dynamic markets where AI agents, representing buyers and sellers, optimize transactions based on real-time data, complex algorithms, and even game theory. Korinek’s work on AI agents for economic research (Korinek, 2025) hints at a future where AI itself becomes a central player in shaping economic models and pricing mechanisms, moving beyond merely being a service to be priced. This could introduce new layers of complexity and efficiency, but also new ethical and regulatory challenges regarding algorithmic collusion or market manipulation. The future of AI pricing is not just about human decision-making but also about AI-driven decision-making within economic systems.</w:t>
      </w:r>
    </w:p>
    <w:p>
      <w:pPr>
        <w:pStyle w:val="BodyText"/>
        <w:spacing w:line="480" w:lineRule="auto"/>
        <w:ind w:firstLine="720"/>
        <w:jc w:val="both"/>
      </w:pPr>
      <w:r>
        <w:t xml:space="preserve">To aid AI providers in navigating the complexities of selecting an appropriate pricing model, the following decision flow outlines key considerations and pathways.</w:t>
      </w:r>
    </w:p>
    <w:p>
      <w:pPr>
        <w:pStyle w:val="BodyText"/>
        <w:spacing w:line="480" w:lineRule="auto"/>
        <w:ind w:firstLine="720"/>
        <w:jc w:val="both"/>
      </w:pPr>
      <w:r>
        <w:rPr>
          <w:b/>
        </w:rPr>
        <w:t xml:space="preserve">Figure 2: Decision Flow for AI Pricing Model Selection</w:t>
      </w:r>
    </w:p>
    <w:p>
      <w:pPr>
        <w:pStyle w:val="SourceCode"/>
      </w:pPr>
      <w:r>
        <w:rPr>
          <w:rStyle w:val="VerbatimChar"/>
        </w:rPr>
        <w:t xml:space="preserve">+--------------------------+</w:t>
      </w:r>
      <w:r>
        <w:br/>
      </w:r>
      <w:r>
        <w:rPr>
          <w:rStyle w:val="VerbatimChar"/>
        </w:rPr>
        <w:t xml:space="preserve">| START: AI Pricing Model |</w:t>
      </w:r>
      <w:r>
        <w:br/>
      </w:r>
      <w:r>
        <w:rPr>
          <w:rStyle w:val="VerbatimChar"/>
        </w:rPr>
        <w:t xml:space="preserve">| Selection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Is AI value highly |</w:t>
      </w:r>
      <w:r>
        <w:br/>
      </w:r>
      <w:r>
        <w:rPr>
          <w:rStyle w:val="VerbatimChar"/>
        </w:rPr>
        <w:t xml:space="preserve">| quantifiable &amp; high? |</w:t>
      </w:r>
      <w:r>
        <w:br/>
      </w:r>
      <w:r>
        <w:rPr>
          <w:rStyle w:val="VerbatimChar"/>
        </w:rPr>
        <w:t xml:space="preserve">| (e.g., fraud prevention)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Go to A |</w:t>
      </w:r>
      <w:r>
        <w:br/>
      </w:r>
      <w:r>
        <w:rPr>
          <w:rStyle w:val="VerbatimChar"/>
        </w:rPr>
        <w:t xml:space="preserve">  | NO: Go to B |</w:t>
      </w:r>
      <w:r>
        <w:br/>
      </w:r>
      <w:r>
        <w:rPr>
          <w:rStyle w:val="VerbatimChar"/>
        </w:rPr>
        <w:t xml:space="preserve">  +------------------------+</w:t>
      </w:r>
      <w:r>
        <w:br/>
      </w:r>
      <w:r>
        <w:br/>
      </w:r>
      <w:r>
        <w:rPr>
          <w:rStyle w:val="VerbatimChar"/>
        </w:rPr>
        <w:t xml:space="preserve">A: Value-Based Focus</w:t>
      </w:r>
      <w:r>
        <w:br/>
      </w:r>
      <w:r>
        <w:rPr>
          <w:rStyle w:val="VerbatimChar"/>
        </w:rPr>
        <w:t xml:space="preserve">+--------------------------+</w:t>
      </w:r>
      <w:r>
        <w:br/>
      </w:r>
      <w:r>
        <w:rPr>
          <w:rStyle w:val="VerbatimChar"/>
        </w:rPr>
        <w:t xml:space="preserve">| Focus on Value-Based |</w:t>
      </w:r>
      <w:r>
        <w:br/>
      </w:r>
      <w:r>
        <w:rPr>
          <w:rStyle w:val="VerbatimChar"/>
        </w:rPr>
        <w:t xml:space="preserve">| Pricing or Hybrid w/ |</w:t>
      </w:r>
      <w:r>
        <w:br/>
      </w:r>
      <w:r>
        <w:rPr>
          <w:rStyle w:val="VerbatimChar"/>
        </w:rPr>
        <w:t xml:space="preserve">| Value Component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Is usage granular &amp; |</w:t>
      </w:r>
      <w:r>
        <w:br/>
      </w:r>
      <w:r>
        <w:rPr>
          <w:rStyle w:val="VerbatimChar"/>
        </w:rPr>
        <w:t xml:space="preserve">| resource-intensive? |</w:t>
      </w:r>
      <w:r>
        <w:br/>
      </w:r>
      <w:r>
        <w:rPr>
          <w:rStyle w:val="VerbatimChar"/>
        </w:rPr>
        <w:t xml:space="preserve">| (e.g., LLMs)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Hybrid w/ Token/ |</w:t>
      </w:r>
      <w:r>
        <w:br/>
      </w:r>
      <w:r>
        <w:rPr>
          <w:rStyle w:val="VerbatimChar"/>
        </w:rPr>
        <w:t xml:space="preserve">  | Usage elements |</w:t>
      </w:r>
      <w:r>
        <w:br/>
      </w:r>
      <w:r>
        <w:rPr>
          <w:rStyle w:val="VerbatimChar"/>
        </w:rPr>
        <w:t xml:space="preserve">  | NO: Pure Value-Based |</w:t>
      </w:r>
      <w:r>
        <w:br/>
      </w:r>
      <w:r>
        <w:rPr>
          <w:rStyle w:val="VerbatimChar"/>
        </w:rPr>
        <w:t xml:space="preserve">  +------------------------+</w:t>
      </w:r>
      <w:r>
        <w:br/>
      </w:r>
      <w:r>
        <w:br/>
      </w:r>
      <w:r>
        <w:rPr>
          <w:rStyle w:val="VerbatimChar"/>
        </w:rPr>
        <w:t xml:space="preserve">B: Usage/Subscription Focus</w:t>
      </w:r>
      <w:r>
        <w:br/>
      </w:r>
      <w:r>
        <w:rPr>
          <w:rStyle w:val="VerbatimChar"/>
        </w:rPr>
        <w:t xml:space="preserve">+--------------------------+</w:t>
      </w:r>
      <w:r>
        <w:br/>
      </w:r>
      <w:r>
        <w:rPr>
          <w:rStyle w:val="VerbatimChar"/>
        </w:rPr>
        <w:t xml:space="preserve">| Is the market mature &amp; |</w:t>
      </w:r>
      <w:r>
        <w:br/>
      </w:r>
      <w:r>
        <w:rPr>
          <w:rStyle w:val="VerbatimChar"/>
        </w:rPr>
        <w:t xml:space="preserve">| demand predictable? |</w:t>
      </w:r>
      <w:r>
        <w:br/>
      </w:r>
      <w:r>
        <w:rPr>
          <w:rStyle w:val="VerbatimChar"/>
        </w:rPr>
        <w:t xml:space="preserve">| (e.g., enterprise tools)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Go to C |</w:t>
      </w:r>
      <w:r>
        <w:br/>
      </w:r>
      <w:r>
        <w:rPr>
          <w:rStyle w:val="VerbatimChar"/>
        </w:rPr>
        <w:t xml:space="preserve">  | NO: Go to D |</w:t>
      </w:r>
      <w:r>
        <w:br/>
      </w:r>
      <w:r>
        <w:rPr>
          <w:rStyle w:val="VerbatimChar"/>
        </w:rPr>
        <w:t xml:space="preserve">  +------------------------+</w:t>
      </w:r>
      <w:r>
        <w:br/>
      </w:r>
      <w:r>
        <w:br/>
      </w:r>
      <w:r>
        <w:rPr>
          <w:rStyle w:val="VerbatimChar"/>
        </w:rPr>
        <w:t xml:space="preserve">C: Subscription/Tiered</w:t>
      </w:r>
      <w:r>
        <w:br/>
      </w:r>
      <w:r>
        <w:rPr>
          <w:rStyle w:val="VerbatimChar"/>
        </w:rPr>
        <w:t xml:space="preserve">+--------------------------+</w:t>
      </w:r>
      <w:r>
        <w:br/>
      </w:r>
      <w:r>
        <w:rPr>
          <w:rStyle w:val="VerbatimChar"/>
        </w:rPr>
        <w:t xml:space="preserve">| Focus on Subscription |</w:t>
      </w:r>
      <w:r>
        <w:br/>
      </w:r>
      <w:r>
        <w:rPr>
          <w:rStyle w:val="VerbatimChar"/>
        </w:rPr>
        <w:t xml:space="preserve">| or Tiered Models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High user acquisition |</w:t>
      </w:r>
      <w:r>
        <w:br/>
      </w:r>
      <w:r>
        <w:rPr>
          <w:rStyle w:val="VerbatimChar"/>
        </w:rPr>
        <w:t xml:space="preserve">| needed for network effect?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Freemium Strategy |</w:t>
      </w:r>
      <w:r>
        <w:br/>
      </w:r>
      <w:r>
        <w:rPr>
          <w:rStyle w:val="VerbatimChar"/>
        </w:rPr>
        <w:t xml:space="preserve">  | NO: Standard Sub/Tiered |</w:t>
      </w:r>
      <w:r>
        <w:br/>
      </w:r>
      <w:r>
        <w:rPr>
          <w:rStyle w:val="VerbatimChar"/>
        </w:rPr>
        <w:t xml:space="preserve">  +------------------------+</w:t>
      </w:r>
      <w:r>
        <w:br/>
      </w:r>
      <w:r>
        <w:br/>
      </w:r>
      <w:r>
        <w:rPr>
          <w:rStyle w:val="VerbatimChar"/>
        </w:rPr>
        <w:t xml:space="preserve">D: Dynamic/Usage Focus</w:t>
      </w:r>
      <w:r>
        <w:br/>
      </w:r>
      <w:r>
        <w:rPr>
          <w:rStyle w:val="VerbatimChar"/>
        </w:rPr>
        <w:t xml:space="preserve">+--------------------------+</w:t>
      </w:r>
      <w:r>
        <w:br/>
      </w:r>
      <w:r>
        <w:rPr>
          <w:rStyle w:val="VerbatimChar"/>
        </w:rPr>
        <w:t xml:space="preserve">| Focus on Usage-Based |</w:t>
      </w:r>
      <w:r>
        <w:br/>
      </w:r>
      <w:r>
        <w:rPr>
          <w:rStyle w:val="VerbatimChar"/>
        </w:rPr>
        <w:t xml:space="preserve">| or Dynamic Pricing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Is real-time market |</w:t>
      </w:r>
      <w:r>
        <w:br/>
      </w:r>
      <w:r>
        <w:rPr>
          <w:rStyle w:val="VerbatimChar"/>
        </w:rPr>
        <w:t xml:space="preserve">| adaptation critical? |</w:t>
      </w:r>
      <w:r>
        <w:br/>
      </w:r>
      <w:r>
        <w:rPr>
          <w:rStyle w:val="VerbatimChar"/>
        </w:rPr>
        <w:t xml:space="preserve">| (e.g., volatile demand) |</w:t>
      </w:r>
      <w:r>
        <w:br/>
      </w:r>
      <w:r>
        <w:rPr>
          <w:rStyle w:val="VerbatimChar"/>
        </w:rPr>
        <w:t xml:space="preserve">+------------+-------------+</w:t>
      </w:r>
      <w:r>
        <w:br/>
      </w:r>
      <w:r>
        <w:rPr>
          <w:rStyle w:val="VerbatimChar"/>
        </w:rPr>
        <w:t xml:space="preserve">  YES / NO</w:t>
      </w:r>
      <w:r>
        <w:br/>
      </w:r>
      <w:r>
        <w:rPr>
          <w:rStyle w:val="VerbatimChar"/>
        </w:rPr>
        <w:t xml:space="preserve">  |  |</w:t>
      </w:r>
      <w:r>
        <w:br/>
      </w:r>
      <w:r>
        <w:rPr>
          <w:rStyle w:val="VerbatimChar"/>
        </w:rPr>
        <w:t xml:space="preserve">  v  v</w:t>
      </w:r>
      <w:r>
        <w:br/>
      </w:r>
      <w:r>
        <w:rPr>
          <w:rStyle w:val="VerbatimChar"/>
        </w:rPr>
        <w:t xml:space="preserve">  +------+----------------+</w:t>
      </w:r>
      <w:r>
        <w:br/>
      </w:r>
      <w:r>
        <w:rPr>
          <w:rStyle w:val="VerbatimChar"/>
        </w:rPr>
        <w:t xml:space="preserve">  | YES: Dynamic Pricing |</w:t>
      </w:r>
      <w:r>
        <w:br/>
      </w:r>
      <w:r>
        <w:rPr>
          <w:rStyle w:val="VerbatimChar"/>
        </w:rPr>
        <w:t xml:space="preserve">  | NO: Pure Usage-Based |</w:t>
      </w:r>
      <w:r>
        <w:br/>
      </w:r>
      <w:r>
        <w:rPr>
          <w:rStyle w:val="VerbatimChar"/>
        </w:rPr>
        <w:t xml:space="preserve">  +------------------------+</w:t>
      </w:r>
    </w:p>
    <w:p>
      <w:pPr>
        <w:pStyle w:val="FirstParagraph"/>
        <w:spacing w:line="480" w:lineRule="auto"/>
        <w:ind w:firstLine="720"/>
        <w:jc w:val="both"/>
      </w:pPr>
      <w:r>
        <w:rPr>
          <w:i/>
        </w:rPr>
        <w:t xml:space="preserve">Note: This flowchart provides a simplified decision path for AI providers to consider different pricing models based on key characteristics of their AI service and target market. Real-world decisions often involve more complex hybridizations.</w:t>
      </w:r>
    </w:p>
    <w:p>
      <w:pPr>
        <w:pStyle w:val="Heading2"/>
      </w:pPr>
      <w:bookmarkStart w:id="76" w:name="recommendations"/>
      <w:r>
        <w:t xml:space="preserve">Recommendations</w:t>
      </w:r>
      <w:bookmarkEnd w:id="76"/>
    </w:p>
    <w:p>
      <w:pPr>
        <w:pStyle w:val="FirstParagraph"/>
        <w:spacing w:line="480" w:lineRule="auto"/>
        <w:ind w:firstLine="720"/>
        <w:jc w:val="both"/>
      </w:pPr>
      <w:r>
        <w:t xml:space="preserve">Based on the foregoing discussion, several key recommendations can be formulated for AI developers and providers, policymakers and regulators, and the academic research community to navigate the evolving landscape of AI pricing effectively and ethically.</w:t>
      </w:r>
    </w:p>
    <w:p>
      <w:pPr>
        <w:pStyle w:val="BodyText"/>
        <w:spacing w:line="480" w:lineRule="auto"/>
        <w:ind w:firstLine="720"/>
        <w:jc w:val="both"/>
      </w:pPr>
      <w:r>
        <w:t xml:space="preserve">For</w:t>
      </w:r>
      <w:r>
        <w:t xml:space="preserve"> </w:t>
      </w:r>
      <w:r>
        <w:rPr>
          <w:b/>
        </w:rPr>
        <w:t xml:space="preserve">AI Developers and Providers</w:t>
      </w:r>
      <w:r>
        <w:t xml:space="preserve">, the foremost recommendation is to</w:t>
      </w:r>
      <w:r>
        <w:t xml:space="preserve"> </w:t>
      </w:r>
      <w:r>
        <w:rPr>
          <w:b/>
        </w:rPr>
        <w:t xml:space="preserve">implement robust value quantification frameworks</w:t>
      </w:r>
      <w:r>
        <w:t xml:space="preserve">. Moving beyond cost-plus, companies must invest in methodologies to rigorously measure and articulate the tangible and intangible benefits their AI solutions deliver to customers (Maguire, 2021)(Lorente, 2025). This involves developing metrics that align with customer outcomes, conducting thorough ROI analyses, and providing clear, evidence-based demonstrations of value. This proactive approach not only justifies premium pricing but also fosters stronger customer relationships built on demonstrated impact. Secondly,</w:t>
      </w:r>
      <w:r>
        <w:t xml:space="preserve"> </w:t>
      </w:r>
      <w:r>
        <w:rPr>
          <w:b/>
        </w:rPr>
        <w:t xml:space="preserve">prioritize transparency in pricing and data usage</w:t>
      </w:r>
      <w:r>
        <w:t xml:space="preserve"> </w:t>
      </w:r>
      <w:r>
        <w:t xml:space="preserve">(Kaaniche &amp; Laurent, 2018)(Mirghaderi et al., 2023). Clear, unambiguous communication about how AI services are priced, what data is collected, how it is used, and what security measures are in place is paramount for building trust and mitigating ethical concerns. This includes designing user-friendly dashboards for usage tracking and clear terms of service. Thirdly,</w:t>
      </w:r>
      <w:r>
        <w:t xml:space="preserve"> </w:t>
      </w:r>
      <w:r>
        <w:rPr>
          <w:b/>
        </w:rPr>
        <w:t xml:space="preserve">invest in</w:t>
      </w:r>
      <w:r>
        <w:rPr>
          <w:b/>
        </w:rPr>
        <w:t xml:space="preserve"> </w:t>
      </w:r>
      <w:r>
        <w:rPr>
          <w:b/>
        </w:rPr>
        <w:t xml:space="preserve">‘</w:t>
      </w:r>
      <w:r>
        <w:rPr>
          <w:b/>
        </w:rPr>
        <w:t xml:space="preserve">Green AI</w:t>
      </w:r>
      <w:r>
        <w:rPr>
          <w:b/>
        </w:rPr>
        <w:t xml:space="preserve">’</w:t>
      </w:r>
      <w:r>
        <w:rPr>
          <w:b/>
        </w:rPr>
        <w:t xml:space="preserve"> </w:t>
      </w:r>
      <w:r>
        <w:rPr>
          <w:b/>
        </w:rPr>
        <w:t xml:space="preserve">to manage sustainability costs and enhance brand reputation</w:t>
      </w:r>
      <w:r>
        <w:t xml:space="preserve"> </w:t>
      </w:r>
      <w:r>
        <w:t xml:space="preserve">(Kshirsagar et al., 2021). As environmental concerns grow, optimizing AI models for energy efficiency will become a competitive differentiator and a necessary component of responsible business practices, potentially influencing pricing models and attracting environmentally conscious customers. Finally,</w:t>
      </w:r>
      <w:r>
        <w:t xml:space="preserve"> </w:t>
      </w:r>
      <w:r>
        <w:rPr>
          <w:b/>
        </w:rPr>
        <w:t xml:space="preserve">develop flexible, hybrid pricing models</w:t>
      </w:r>
      <w:r>
        <w:t xml:space="preserve"> </w:t>
      </w:r>
      <w:r>
        <w:t xml:space="preserve">that can adapt to diverse customer needs and market conditions. This involves combining usage-based, subscription, and value-based components, potentially leveraging AI-powered dynamic pricing to optimize revenue and customer satisfaction in real-time (Bhuram, 2025)(Niharika et al., 2024).</w:t>
      </w:r>
    </w:p>
    <w:p>
      <w:pPr>
        <w:pStyle w:val="BodyText"/>
        <w:spacing w:line="480" w:lineRule="auto"/>
        <w:ind w:firstLine="720"/>
        <w:jc w:val="both"/>
      </w:pPr>
      <w:r>
        <w:t xml:space="preserve">For</w:t>
      </w:r>
      <w:r>
        <w:t xml:space="preserve"> </w:t>
      </w:r>
      <w:r>
        <w:rPr>
          <w:b/>
        </w:rPr>
        <w:t xml:space="preserve">Policymakers and Regulators</w:t>
      </w:r>
      <w:r>
        <w:t xml:space="preserve">, the primary recommendation is to</w:t>
      </w:r>
      <w:r>
        <w:t xml:space="preserve"> </w:t>
      </w:r>
      <w:r>
        <w:rPr>
          <w:b/>
        </w:rPr>
        <w:t xml:space="preserve">establish clear guidelines for ethical AI pricing to prevent abuse</w:t>
      </w:r>
      <w:r>
        <w:t xml:space="preserve"> </w:t>
      </w:r>
      <w:r>
        <w:t xml:space="preserve">(Ayata, 2020)(Mirghaderi et al., 2023). This includes defining what constitutes excessive pricing, preventing algorithmic discrimination, and ensuring fair competition in the AI market. Such guidelines should be developed in consultation with industry experts, ethicists, and consumer advocates to strike a balance between innovation and protection. Secondly,</w:t>
      </w:r>
      <w:r>
        <w:t xml:space="preserve"> </w:t>
      </w:r>
      <w:r>
        <w:rPr>
          <w:b/>
        </w:rPr>
        <w:t xml:space="preserve">promote interoperability and data portability to reduce vendor lock-in</w:t>
      </w:r>
      <w:r>
        <w:t xml:space="preserve">. By encouraging open standards and easy data migration, regulators can empower customers to switch between AI providers, fostering competition and preventing monopolistic control (Divakaruni &amp; Navarro, 2024). This can be achieved through policies that mandate API standards or data exchange protocols. Thirdly,</w:t>
      </w:r>
      <w:r>
        <w:t xml:space="preserve"> </w:t>
      </w:r>
      <w:r>
        <w:rPr>
          <w:b/>
        </w:rPr>
        <w:t xml:space="preserve">encourage responsible AI development and pricing practices through incentives and educational initiatives</w:t>
      </w:r>
      <w:r>
        <w:t xml:space="preserve">. This could include tax breaks for companies investing in ethical AI research or educational programs for businesses on best practices in AI governance and pricing transparency.</w:t>
      </w:r>
    </w:p>
    <w:p>
      <w:pPr>
        <w:pStyle w:val="BodyText"/>
        <w:spacing w:line="480" w:lineRule="auto"/>
        <w:ind w:firstLine="720"/>
        <w:jc w:val="both"/>
      </w:pPr>
      <w:r>
        <w:t xml:space="preserve">For the</w:t>
      </w:r>
      <w:r>
        <w:t xml:space="preserve"> </w:t>
      </w:r>
      <w:r>
        <w:rPr>
          <w:b/>
        </w:rPr>
        <w:t xml:space="preserve">Academic Research Community</w:t>
      </w:r>
      <w:r>
        <w:t xml:space="preserve">, there is a pressing need for</w:t>
      </w:r>
      <w:r>
        <w:t xml:space="preserve"> </w:t>
      </w:r>
      <w:r>
        <w:rPr>
          <w:b/>
        </w:rPr>
        <w:t xml:space="preserve">further investigation into the long-term psychological impacts of AI pricing on customer behavior and loyalty</w:t>
      </w:r>
      <w:r>
        <w:t xml:space="preserve"> </w:t>
      </w:r>
      <w:r>
        <w:t xml:space="preserve">(Siddannavar et al., 2025). Understanding how pricing strategies influence user perception, trust, and willingness to engage with AI over extended periods is crucial for sustainable market growth. Secondly,</w:t>
      </w:r>
      <w:r>
        <w:t xml:space="preserve"> </w:t>
      </w:r>
      <w:r>
        <w:rPr>
          <w:b/>
        </w:rPr>
        <w:t xml:space="preserve">explore novel metrics and methodologies for value quantification in complex AI systems</w:t>
      </w:r>
      <w:r>
        <w:t xml:space="preserve">. Traditional economic models may not fully capture the nuanced value generated by AI, necessitating interdisciplinary research to develop more comprehensive valuation frameworks (Lorente, 2025). This includes assessing the value of improved decision-making, enhanced creativity, and augmented human capabilities. Finally,</w:t>
      </w:r>
      <w:r>
        <w:t xml:space="preserve"> </w:t>
      </w:r>
      <w:r>
        <w:rPr>
          <w:b/>
        </w:rPr>
        <w:t xml:space="preserve">research the economic implications of AI agents in pricing and market interactions</w:t>
      </w:r>
      <w:r>
        <w:t xml:space="preserve"> </w:t>
      </w:r>
      <w:r>
        <w:t xml:space="preserve">(Korinek, 2025). As AI systems become more autonomous, their role in shaping economic dynamics, including pricing, warrants thorough investigation to anticipate future market structures and potential regulatory challenges.</w:t>
      </w:r>
    </w:p>
    <w:p>
      <w:pPr>
        <w:pStyle w:val="Heading2"/>
        <w:pageBreakBefore/>
      </w:pPr>
      <w:bookmarkStart w:id="77" w:name="limitations-of-the-current-analysis"/>
      <w:r>
        <w:t xml:space="preserve">Limitations of the Current Analysis</w:t>
      </w:r>
      <w:bookmarkEnd w:id="77"/>
    </w:p>
    <w:p>
      <w:pPr>
        <w:pStyle w:val="FirstParagraph"/>
        <w:spacing w:line="480" w:lineRule="auto"/>
        <w:ind w:firstLine="720"/>
        <w:jc w:val="both"/>
      </w:pPr>
      <w:r>
        <w:t xml:space="preserve">This discussion, while comprehensive in its exploration of AI pricing dynamics, is subject to certain limitations. Primarily, the analysis is largely theoretical, drawing upon existing literature and conceptual frameworks. While the provided citations offer robust foundational evidence, the absence of specific empirical data from a large-scale, real-world AI pricing experiment limits the ability to make definitive quantitative claims about the efficacy of particular pricing models in all contexts. The focus has been primarily on high-level strategic and operational implications, rather than delving into the granular financial modeling or specific industry case studies that might be required for a deeply empirical thesis. Furthermore, the rapid pace of AI development means that some of the discussed trends and technologies are evolving quickly, and their long-term impacts are still emerging. The current analysis provides a snapshot of current understanding and projected trajectories, which may require continuous updating as the field matures. The scope also prioritizes general AI services and models, rather than highly specialized AI applications in niche industries, which might present unique pricing challenges not fully addressed here.</w:t>
      </w:r>
    </w:p>
    <w:p>
      <w:pPr>
        <w:pStyle w:val="Heading2"/>
        <w:pageBreakBefore/>
      </w:pPr>
      <w:bookmarkStart w:id="78" w:name="conclusion-1"/>
      <w:r>
        <w:t xml:space="preserve">Conclusion</w:t>
      </w:r>
      <w:bookmarkEnd w:id="78"/>
    </w:p>
    <w:p>
      <w:pPr>
        <w:pStyle w:val="FirstParagraph"/>
        <w:spacing w:line="480" w:lineRule="auto"/>
        <w:ind w:firstLine="720"/>
        <w:jc w:val="both"/>
      </w:pPr>
      <w:r>
        <w:t xml:space="preserve">The discourse surrounding AI pricing is complex, reflecting the transformative yet intricate nature of the technology itself. This discussion has underscored that effective AI pricing demands a strategic shift from traditional cost-centric models to value-driven, adaptive, and ethically conscious approaches. For AI companies, this means not only mastering the operational intricacies of dynamic and usage-based billing but also proactively quantifying the intangible benefits of their solutions and ensuring transparency to build enduring customer trust. Customer adoption, in turn, is profoundly influenced by perceived value, the psychological dimensions of engagement, and the critical role of transparency in mitigating concerns about privacy and bias. Looking ahead, the AI pricing landscape is poised for further evolution, characterized by hybrid models, hyper-personalization, and an increasing influence from regulatory and ethical frameworks. The emergence of AI agents as active participants in economic decision-making further hints at a future where pricing mechanisms themselves are dynamically shaped by intelligent systems. By embracing the recommendations outlined—focusing on robust value quantification, transparency, ethical integration, and adaptive strategies—stakeholders across the AI ecosystem can contribute to a more equitable, efficient, and sustainable future for artificial intelligence.</w:t>
      </w:r>
    </w:p>
    <w:p>
      <w:pPr>
        <w:pStyle w:val="Heading2"/>
      </w:pPr>
      <w:bookmarkStart w:id="79" w:name="limitations"/>
      <w:r>
        <w:t xml:space="preserve">Limitations</w:t>
      </w:r>
      <w:bookmarkEnd w:id="79"/>
    </w:p>
    <w:p>
      <w:pPr>
        <w:pStyle w:val="FirstParagraph"/>
        <w:spacing w:line="480" w:lineRule="auto"/>
        <w:ind w:firstLine="720"/>
        <w:jc w:val="both"/>
      </w:pPr>
      <w:r>
        <w:t xml:space="preserve">While this research makes significant contributions to the understanding of AI pricing models and their implications, it is important to acknowledge several limitations that contextualize the findings and suggest areas for refinement in future studies. These limitations primarily stem from the nascent and rapidly evolving nature of the AI market, as well as the inherent complexities of multidisciplinary inquiry.</w:t>
      </w:r>
    </w:p>
    <w:p>
      <w:pPr>
        <w:pStyle w:val="Heading3"/>
      </w:pPr>
      <w:bookmarkStart w:id="80" w:name="methodological-limitations"/>
      <w:r>
        <w:t xml:space="preserve">Methodological Limitations</w:t>
      </w:r>
      <w:bookmarkEnd w:id="80"/>
    </w:p>
    <w:p>
      <w:pPr>
        <w:pStyle w:val="FirstParagraph"/>
        <w:spacing w:line="480" w:lineRule="auto"/>
        <w:ind w:firstLine="720"/>
        <w:jc w:val="both"/>
      </w:pPr>
      <w:r>
        <w:t xml:space="preserve">The primary methodological limitation of this study lies in its reliance on a qualitative, comparative analysis of publicly available documentation and academic literature. While this approach allowed for a comprehensive synthesis of existing knowledge and the development of a robust analytical framework, it inherently restricts the depth of empirical validation. The absence of primary data collection, such as interviews with AI pricing strategists or quantitative analysis of real-world pricing data from a large sample of providers, means that some conclusions are drawn from theoretical inference and documented practices rather than direct empirical evidence. This can limit the generalizability of specific findings, particularly concerning the practical challenges and success factors in implementing complex hybrid or value-based pricing models. Furthermore, the dynamic nature of the AI market means that pricing strategies are constantly evolving, and documented practices may not always reflect the most current, nuanced approaches.</w:t>
      </w:r>
    </w:p>
    <w:p>
      <w:pPr>
        <w:pStyle w:val="Heading3"/>
      </w:pPr>
      <w:bookmarkStart w:id="81" w:name="scope-and-generalizability"/>
      <w:r>
        <w:t xml:space="preserve">Scope and Generalizability</w:t>
      </w:r>
      <w:bookmarkEnd w:id="81"/>
    </w:p>
    <w:p>
      <w:pPr>
        <w:pStyle w:val="FirstParagraph"/>
        <w:spacing w:line="480" w:lineRule="auto"/>
        <w:ind w:firstLine="720"/>
        <w:jc w:val="both"/>
      </w:pPr>
      <w:r>
        <w:t xml:space="preserve">This research focused broadly on pricing models for agentic AI systems, encompassing generative AI and cloud AI services. While this broad scope provides a comprehensive overview, it necessarily limits the in-depth analysis of highly specialized AI applications or niche industry contexts. For instance, AI pricing in sectors like defense, highly regulated healthcare, or bespoke scientific research might involve unique contractual structures, regulatory compliance costs, and value metrics that were not exhaustively covered. Consequently, the generalizability of some recommendations to these highly specialized domains may require further adaptation. The study also prioritized prominent market players, potentially overlooking innovative pricing strategies employed by smaller startups or open-source AI initiatives that operate under different economic pressures and ethical frameworks.</w:t>
      </w:r>
    </w:p>
    <w:p>
      <w:pPr>
        <w:pStyle w:val="Heading3"/>
      </w:pPr>
      <w:bookmarkStart w:id="82" w:name="temporal-and-contextual-constraints"/>
      <w:r>
        <w:t xml:space="preserve">Temporal and Contextual Constraints</w:t>
      </w:r>
      <w:bookmarkEnd w:id="82"/>
    </w:p>
    <w:p>
      <w:pPr>
        <w:pStyle w:val="FirstParagraph"/>
        <w:spacing w:line="480" w:lineRule="auto"/>
        <w:ind w:firstLine="720"/>
        <w:jc w:val="both"/>
      </w:pPr>
      <w:r>
        <w:t xml:space="preserve">The field of AI is characterized by unprecedented speed of innovation. New models, capabilities, and market dynamics emerge continuously, rendering any analysis inherently time-bound. This study reflects the state of AI pricing models and associated ethical/economic discourse up to its publication date. Rapid advancements in areas such as multimodal AI, federated learning, or quantum AI could introduce entirely new cost structures, value propositions, and ethical dilemmas that necessitate a continuous re-evaluation of pricing paradigms. Moreover, the global nature of AI development means that regional variations in regulatory environments, market maturity, and cultural perceptions of AI value could influence pricing strategies in ways not fully captured by a generalized analysis. The study’s primary focus on Western market trends, due to the prevalence of documented examples, may not fully reflect pricing nuances in other significant AI markets.</w:t>
      </w:r>
    </w:p>
    <w:p>
      <w:pPr>
        <w:pStyle w:val="Heading3"/>
      </w:pPr>
      <w:bookmarkStart w:id="83" w:name="theoretical-and-conceptual-limitations"/>
      <w:r>
        <w:t xml:space="preserve">Theoretical and Conceptual Limitations</w:t>
      </w:r>
      <w:bookmarkEnd w:id="83"/>
    </w:p>
    <w:p>
      <w:pPr>
        <w:pStyle w:val="FirstParagraph"/>
        <w:spacing w:line="480" w:lineRule="auto"/>
        <w:ind w:firstLine="720"/>
        <w:jc w:val="both"/>
      </w:pPr>
      <w:r>
        <w:t xml:space="preserve">While the multi-dimensional framework developed in this study integrates economic, technological, ethical, and market considerations, it is a conceptual tool and, as such, relies on specific theoretical interpretations. The quantification of</w:t>
      </w:r>
      <w:r>
        <w:t xml:space="preserve"> </w:t>
      </w:r>
      <w:r>
        <w:t xml:space="preserve">“</w:t>
      </w:r>
      <w:r>
        <w:t xml:space="preserve">value</w:t>
      </w:r>
      <w:r>
        <w:t xml:space="preserve">”</w:t>
      </w:r>
      <w:r>
        <w:t xml:space="preserve"> </w:t>
      </w:r>
      <w:r>
        <w:t xml:space="preserve">in value-based pricing, for example, remains a significant theoretical challenge, and this study’s framework acknowledges this difficulty without fully resolving it empirically. Similarly, the integration of abstract concepts like</w:t>
      </w:r>
      <w:r>
        <w:t xml:space="preserve"> </w:t>
      </w:r>
      <w:r>
        <w:t xml:space="preserve">“</w:t>
      </w:r>
      <w:r>
        <w:t xml:space="preserve">fairness</w:t>
      </w:r>
      <w:r>
        <w:t xml:space="preserve">”</w:t>
      </w:r>
      <w:r>
        <w:t xml:space="preserve"> </w:t>
      </w:r>
      <w:r>
        <w:t xml:space="preserve">or</w:t>
      </w:r>
      <w:r>
        <w:t xml:space="preserve"> </w:t>
      </w:r>
      <w:r>
        <w:t xml:space="preserve">“</w:t>
      </w:r>
      <w:r>
        <w:t xml:space="preserve">environmental impact</w:t>
      </w:r>
      <w:r>
        <w:t xml:space="preserve">”</w:t>
      </w:r>
      <w:r>
        <w:t xml:space="preserve"> </w:t>
      </w:r>
      <w:r>
        <w:t xml:space="preserve">into concrete pricing mechanisms is still an evolving area, and the framework provides a lens for analysis rather than definitive solutions. The study also implicitly assumes a rational economic actor model for both providers and consumers, which may not always hold true in practice, particularly when psychological factors or emergent behaviors influence decision-making.</w:t>
      </w:r>
    </w:p>
    <w:p>
      <w:pPr>
        <w:pStyle w:val="BodyText"/>
        <w:spacing w:line="480" w:lineRule="auto"/>
        <w:ind w:firstLine="720"/>
        <w:jc w:val="both"/>
      </w:pPr>
      <w:r>
        <w:t xml:space="preserve">Despite these limitations, the research provides valuable insights into the core challenges and opportunities in AI pricing, and the identified constraints offer clear directions for future investigation. The robust theoretical grounding and systematic comparative approach ensure that the findings contribute meaningfully to the ongoing discourse on AI economics and ethics.</w:t>
      </w:r>
    </w:p>
    <w:p>
      <w:pPr>
        <w:pStyle w:val="Heading2"/>
      </w:pPr>
      <w:bookmarkStart w:id="84" w:name="future-research-directions"/>
      <w:r>
        <w:t xml:space="preserve">Future Research Directions</w:t>
      </w:r>
      <w:bookmarkEnd w:id="84"/>
    </w:p>
    <w:p>
      <w:pPr>
        <w:pStyle w:val="FirstParagraph"/>
        <w:spacing w:line="480" w:lineRule="auto"/>
        <w:ind w:firstLine="720"/>
        <w:jc w:val="both"/>
      </w:pPr>
      <w:r>
        <w:t xml:space="preserve">This research provides a comprehensive overview of current AI pricing models and their implications, yet it simultaneously opens several promising avenues for future investigation. Addressing these directions could further refine our understanding of AI monetization, overcome current limitations, and extend the theoretical and practical contributions of this work.</w:t>
      </w:r>
    </w:p>
    <w:p>
      <w:pPr>
        <w:pStyle w:val="Heading3"/>
      </w:pPr>
      <w:bookmarkStart w:id="85" w:name="Xede3eb59873ecea84b7af0d6f52f9feaae8db70"/>
      <w:r>
        <w:t xml:space="preserve">1. Empirical Validation and Large-Scale Testing of Hybrid Models</w:t>
      </w:r>
      <w:bookmarkEnd w:id="85"/>
    </w:p>
    <w:p>
      <w:pPr>
        <w:pStyle w:val="FirstParagraph"/>
        <w:spacing w:line="480" w:lineRule="auto"/>
        <w:ind w:firstLine="720"/>
        <w:jc w:val="both"/>
      </w:pPr>
      <w:r>
        <w:t xml:space="preserve">While this study highlights the theoretical advantages of hybrid pricing models, there is a pressing need for empirical research to validate their real-world efficacy. Future studies could involve large-scale quantitative analysis of pricing data from diverse AI providers, comparing the revenue stability, customer acquisition rates, and long-term customer lifetime value (CLV) across pure and hybrid models. This would require access to proprietary data, potentially through collaborations with leading AI companies, to rigorously test the hypotheses about balancing predictability and flexibility. Research could also focus on A/B testing different hybrid configurations (e.g., various subscription tiers combined with usage allowances) to identify optimal pricing points and conversion rates.</w:t>
      </w:r>
    </w:p>
    <w:p>
      <w:pPr>
        <w:pStyle w:val="Heading3"/>
      </w:pPr>
      <w:bookmarkStart w:id="86" w:name="Xdd66476d8c0d376cf404583cd74166bf352f14f"/>
      <w:r>
        <w:t xml:space="preserve">2. Developing Standardized Metrics for AI Value Quantification</w:t>
      </w:r>
      <w:bookmarkEnd w:id="86"/>
    </w:p>
    <w:p>
      <w:pPr>
        <w:pStyle w:val="FirstParagraph"/>
        <w:spacing w:line="480" w:lineRule="auto"/>
        <w:ind w:firstLine="720"/>
        <w:jc w:val="both"/>
      </w:pPr>
      <w:r>
        <w:t xml:space="preserve">A persistent challenge in value-based pricing for AI is the difficulty in objectively quantifying its heterogeneous value. Future research should focus on developing standardized, interdisciplinary metrics and methodologies for measuring the tangible and intangible value generated by AI across diverse applications. This could involve creating industry-specific ROI calculators, impact assessment frameworks for societal benefits (e.g., improved public health outcomes from AI in medicine), or robust methods for attributing value in complex, multi-factor business environments. Collaborations between economists, data scientists, and domain experts will be crucial to operationalize these metrics and move beyond subjective perceptions of value.</w:t>
      </w:r>
    </w:p>
    <w:p>
      <w:pPr>
        <w:pStyle w:val="Heading3"/>
      </w:pPr>
      <w:bookmarkStart w:id="87" w:name="X7356b87f5e130ee3a4c0e914eecf88814b6d4ed"/>
      <w:r>
        <w:t xml:space="preserve">3. Ethical AI Pricing Mechanisms and Regulatory Impact Assessment</w:t>
      </w:r>
      <w:bookmarkEnd w:id="87"/>
    </w:p>
    <w:p>
      <w:pPr>
        <w:pStyle w:val="FirstParagraph"/>
        <w:spacing w:line="480" w:lineRule="auto"/>
        <w:ind w:firstLine="720"/>
        <w:jc w:val="both"/>
      </w:pPr>
      <w:r>
        <w:t xml:space="preserve">The ethical implications of AI pricing, particularly concerning fairness, transparency, and accessibility, require deeper investigation. Future research should explore the design and implementation of</w:t>
      </w:r>
      <w:r>
        <w:t xml:space="preserve"> </w:t>
      </w:r>
      <w:r>
        <w:t xml:space="preserve">“</w:t>
      </w:r>
      <w:r>
        <w:t xml:space="preserve">ethically embedded</w:t>
      </w:r>
      <w:r>
        <w:t xml:space="preserve">”</w:t>
      </w:r>
      <w:r>
        <w:t xml:space="preserve"> </w:t>
      </w:r>
      <w:r>
        <w:t xml:space="preserve">pricing mechanisms that actively mitigate bias and promote equitable access. This could involve developing audit frameworks for dynamic pricing algorithms to detect and prevent discriminatory practices or designing pricing tiers specifically for non-profits, educational institutions, or developing regions. Furthermore, empirical studies are needed to assess the actual impact of emerging AI regulations on pricing strategies, market competition, and consumer trust, providing evidence-based insights for policymakers.</w:t>
      </w:r>
    </w:p>
    <w:p>
      <w:pPr>
        <w:pStyle w:val="Heading3"/>
      </w:pPr>
      <w:bookmarkStart w:id="88" w:name="Xa5f5fdd17b6e183af5fd2500524baf9525668e7"/>
      <w:r>
        <w:t xml:space="preserve">4. The Role of AI Agents in Pricing Optimization and Market Interaction</w:t>
      </w:r>
      <w:bookmarkEnd w:id="88"/>
    </w:p>
    <w:p>
      <w:pPr>
        <w:pStyle w:val="FirstParagraph"/>
        <w:spacing w:line="480" w:lineRule="auto"/>
        <w:ind w:firstLine="720"/>
        <w:jc w:val="both"/>
      </w:pPr>
      <w:r>
        <w:t xml:space="preserve">The concept of AI agents for economic research and market interaction opens a fascinating, albeit complex, avenue for future study. Research could explore how autonomous AI agents, equipped with advanced predictive analytics and game theory, might dynamically optimize pricing strategies in real-time within competitive markets. This includes investigating the potential for AI-driven algorithmic collusion, market manipulation, or, conversely, enhanced market efficiency and consumer surplus. Such studies would require sophisticated simulations and controlled experiments to model the behavior of interacting AI pricing agents and their economic consequences.</w:t>
      </w:r>
    </w:p>
    <w:p>
      <w:pPr>
        <w:pStyle w:val="Heading3"/>
      </w:pPr>
      <w:bookmarkStart w:id="89" w:name="X4136ead28f69fceffefe484beb0fbda96d928e0"/>
      <w:r>
        <w:t xml:space="preserve">5. Long-Term Psychological and Societal Impacts of AI Pricing</w:t>
      </w:r>
      <w:bookmarkEnd w:id="89"/>
    </w:p>
    <w:p>
      <w:pPr>
        <w:pStyle w:val="FirstParagraph"/>
        <w:spacing w:line="480" w:lineRule="auto"/>
        <w:ind w:firstLine="720"/>
        <w:jc w:val="both"/>
      </w:pPr>
      <w:r>
        <w:t xml:space="preserve">Beyond immediate economic outcomes, future research should delve into the long-term psychological and societal impacts of AI pricing models on user behavior, trust, and adoption. This includes longitudinal studies on how perceived fairness of pricing affects customer loyalty and willingness to engage with AI, and how the</w:t>
      </w:r>
      <w:r>
        <w:t xml:space="preserve"> </w:t>
      </w:r>
      <w:r>
        <w:t xml:space="preserve">“</w:t>
      </w:r>
      <w:r>
        <w:t xml:space="preserve">black box</w:t>
      </w:r>
      <w:r>
        <w:t xml:space="preserve">”</w:t>
      </w:r>
      <w:r>
        <w:t xml:space="preserve"> </w:t>
      </w:r>
      <w:r>
        <w:t xml:space="preserve">nature of token or dynamic pricing influences user anxiety and decision-making. Research could also examine the broader societal implications of tiered access to advanced AI, such as its impact on digital divides, innovation ecosystems, and human-AI collaboration dynamics over decades.</w:t>
      </w:r>
    </w:p>
    <w:p>
      <w:pPr>
        <w:pStyle w:val="Heading3"/>
      </w:pPr>
      <w:bookmarkStart w:id="90" w:name="X5ef57a8b1f22fa433e0ddd1e133d90655716932"/>
      <w:r>
        <w:t xml:space="preserve">6. Green AI Pricing: Integration of Environmental Costs</w:t>
      </w:r>
      <w:bookmarkEnd w:id="90"/>
    </w:p>
    <w:p>
      <w:pPr>
        <w:pStyle w:val="FirstParagraph"/>
        <w:spacing w:line="480" w:lineRule="auto"/>
        <w:ind w:firstLine="720"/>
        <w:jc w:val="both"/>
      </w:pPr>
      <w:r>
        <w:t xml:space="preserve">The environmental footprint of AI is a growing concern. Future research should focus on developing robust methodologies for quantifying the carbon footprint and energy consumption of AI models throughout their lifecycle (training, inference, deployment). This would then inform the design of</w:t>
      </w:r>
      <w:r>
        <w:t xml:space="preserve"> </w:t>
      </w:r>
      <w:r>
        <w:t xml:space="preserve">“</w:t>
      </w:r>
      <w:r>
        <w:t xml:space="preserve">Green AI</w:t>
      </w:r>
      <w:r>
        <w:t xml:space="preserve">”</w:t>
      </w:r>
      <w:r>
        <w:t xml:space="preserve"> </w:t>
      </w:r>
      <w:r>
        <w:t xml:space="preserve">pricing models that transparently integrate these environmental costs, incentivizing the development and adoption of energy-efficient AI. Studies could explore consumer willingness to pay a</w:t>
      </w:r>
      <w:r>
        <w:t xml:space="preserve"> </w:t>
      </w:r>
      <w:r>
        <w:t xml:space="preserve">“</w:t>
      </w:r>
      <w:r>
        <w:t xml:space="preserve">green premium</w:t>
      </w:r>
      <w:r>
        <w:t xml:space="preserve">”</w:t>
      </w:r>
      <w:r>
        <w:t xml:space="preserve"> </w:t>
      </w:r>
      <w:r>
        <w:t xml:space="preserve">for AI services and the effectiveness of such pricing in driving sustainable AI practices.</w:t>
      </w:r>
    </w:p>
    <w:p>
      <w:pPr>
        <w:pStyle w:val="Heading3"/>
      </w:pPr>
      <w:bookmarkStart w:id="91" w:name="Xa5a8be79f74b1d689cad06fef47a536df8aa118"/>
      <w:r>
        <w:t xml:space="preserve">7. Pricing Strategies for Multimodal and Embodied AI</w:t>
      </w:r>
      <w:bookmarkEnd w:id="91"/>
    </w:p>
    <w:p>
      <w:pPr>
        <w:pStyle w:val="FirstParagraph"/>
        <w:spacing w:line="480" w:lineRule="auto"/>
        <w:ind w:firstLine="720"/>
        <w:jc w:val="both"/>
      </w:pPr>
      <w:r>
        <w:t xml:space="preserve">As AI evolves towards multimodal capabilities (processing text, images, audio, etc.) and embodied forms (robotics, autonomous agents), existing pricing models may become insufficient. Future research should anticipate and design pricing strategies for these emerging AI paradigms. This could involve developing composite pricing metrics that account for multimodal data processing complexity, real-world physical interactions, and the inherent risks associated with embodied AI. Understanding how to value the</w:t>
      </w:r>
      <w:r>
        <w:t xml:space="preserve"> </w:t>
      </w:r>
      <w:r>
        <w:t xml:space="preserve">“</w:t>
      </w:r>
      <w:r>
        <w:t xml:space="preserve">agency</w:t>
      </w:r>
      <w:r>
        <w:t xml:space="preserve">”</w:t>
      </w:r>
      <w:r>
        <w:t xml:space="preserve"> </w:t>
      </w:r>
      <w:r>
        <w:t xml:space="preserve">and</w:t>
      </w:r>
      <w:r>
        <w:t xml:space="preserve"> </w:t>
      </w:r>
      <w:r>
        <w:t xml:space="preserve">“</w:t>
      </w:r>
      <w:r>
        <w:t xml:space="preserve">autonomy</w:t>
      </w:r>
      <w:r>
        <w:t xml:space="preserve">”</w:t>
      </w:r>
      <w:r>
        <w:t xml:space="preserve"> </w:t>
      </w:r>
      <w:r>
        <w:t xml:space="preserve">of such advanced systems will be critical.</w:t>
      </w:r>
    </w:p>
    <w:p>
      <w:pPr>
        <w:pStyle w:val="BodyText"/>
        <w:spacing w:line="480" w:lineRule="auto"/>
        <w:ind w:firstLine="720"/>
        <w:jc w:val="both"/>
      </w:pPr>
      <w:r>
        <w:t xml:space="preserve">These research directions collectively point toward a richer, more nuanced understanding of AI pricing and its implications for theory, practice, and policy, ensuring that the economic development of AI aligns with broader societal goals.</w:t>
      </w:r>
    </w:p>
    <w:p>
      <w:pPr>
        <w:pStyle w:val="Heading2"/>
        <w:pageBreakBefore/>
      </w:pPr>
      <w:bookmarkStart w:id="92" w:name="conclusion-2"/>
      <w:r>
        <w:t xml:space="preserve">Conclusion</w:t>
      </w:r>
      <w:bookmarkEnd w:id="92"/>
    </w:p>
    <w:p>
      <w:pPr>
        <w:pStyle w:val="FirstParagraph"/>
        <w:spacing w:line="480" w:lineRule="auto"/>
        <w:ind w:firstLine="720"/>
        <w:jc w:val="both"/>
      </w:pPr>
      <w:r>
        <w:t xml:space="preserve">The advent and pervasive integration of artificial intelligence (AI) across virtually every sector of human endeavor represent a paradigm shift comparable to the industrial revolution or the dawn of the internet (Korinek, 2025). This transformative technology, characterized by its capacity for complex problem-solving, data synthesis, and autonomous decision-making, promises unprecedented efficiencies, innovation, and economic growth. However, this profound impact also introduces a novel set of economic and ethical challenges, particularly concerning the valuation and pricing of AI services and products. The central objective of this paper has been to dissect the intricate landscape of AI pricing, moving beyond simplistic cost-plus models to explore the multifaceted dimensions of value creation, capture, ethical implications, and the nascent regulatory frameworks that seek to govern this rapidly evolving domain. This comprehensive analysis has underscored that effective AI pricing is not merely an an economic exercise but a complex interplay of technological capabilities, market dynamics, strategic considerations, and deeply embedded societal values.</w:t>
      </w:r>
    </w:p>
    <w:p>
      <w:pPr>
        <w:pStyle w:val="BodyText"/>
        <w:spacing w:line="480" w:lineRule="auto"/>
        <w:ind w:firstLine="720"/>
        <w:jc w:val="both"/>
      </w:pPr>
      <w:r>
        <w:t xml:space="preserve">The preceding chapters have elucidated the inherent complexities in establishing fair and sustainable pricing for AI technologies, a challenge exacerbated by their intangible nature, rapid iterative development, and often opaque operational mechanisms. Unlike traditional goods and services, the value of AI frequently manifests in indirect benefits, such as enhanced decision-making, predictive accuracy, or automation, which are difficult to quantify ex ante. We began by examining various theoretical and practical approaches to AI pricing, ranging from traditional cost-based and value-based models to more contemporary strategies like dynamic pricing, freemium models, and subscription tiers. While cost-plus pricing, exemplified by systems like GREE-COCO (Kshirsagar et al., 2021) for green AI initiatives, provides a foundational baseline by considering development and operational expenditures, it often fails to capture the true economic and societal value generated by AI. Value-based selling (Maguire, 2021), conversely, attempts to align pricing with the perceived benefits to the customer, yet this approach faces obstacles in accurately assessing and communicating the often-subjective value of AI’s contributions (Lorente, 2025).</w:t>
      </w:r>
    </w:p>
    <w:p>
      <w:pPr>
        <w:pStyle w:val="BodyText"/>
        <w:spacing w:line="480" w:lineRule="auto"/>
        <w:ind w:firstLine="720"/>
        <w:jc w:val="both"/>
      </w:pPr>
      <w:r>
        <w:t xml:space="preserve">Dynamic pricing models, increasingly prevalent in digital services (Bhuram, 2025)(Niharika et al., 2024), offer flexibility by adjusting prices based on real-time demand, market conditions, or even individual user profiles. While these models can optimize revenue and market efficiency, they simultaneously raise significant ethical concerns regarding fairness, transparency, and potential discriminatory practices (Mirghaderi et al., 2023). The discussion also extended to subscription-based models, such as those seen in Azure AI Language Service pricing tiers (Satapathi, 2025), and freemium strategies (Seufert, 2014), which aim to balance accessibility with monetization by offering basic services for free and premium features for a fee. Each model presents unique opportunities and challenges, highlighting that the optimal pricing strategy for AI is highly context-dependent, influenced by the specific AI application, target market, competitive landscape, and the broader ethical considerations (Ladas et al., 2019). The impact of human-like competencies on user perception and willingness to pay further complicates this landscape, as psychological factors play a significant role in customer lifetime value and adoption (Fang &amp; Zhou, 2025)(Siddannavar et al., 2025).</w:t>
      </w:r>
    </w:p>
    <w:p>
      <w:pPr>
        <w:pStyle w:val="BodyText"/>
        <w:spacing w:line="480" w:lineRule="auto"/>
        <w:ind w:firstLine="720"/>
        <w:jc w:val="both"/>
      </w:pPr>
      <w:r>
        <w:t xml:space="preserve">A central theme throughout this paper has been the intricate relationship between AI pricing and ethical considerations. The pervasive use of algorithms in dynamic pricing, for instance, can lead to price discrimination, where different users are charged varying amounts for the same service based on their data profiles, raising questions of equity and justice (Ayata, 2020). The lack of transparency in AI models, often referred to as the</w:t>
      </w:r>
      <w:r>
        <w:t xml:space="preserve"> </w:t>
      </w:r>
      <w:r>
        <w:t xml:space="preserve">“</w:t>
      </w:r>
      <w:r>
        <w:t xml:space="preserve">black box</w:t>
      </w:r>
      <w:r>
        <w:t xml:space="preserve">”</w:t>
      </w:r>
      <w:r>
        <w:t xml:space="preserve"> </w:t>
      </w:r>
      <w:r>
        <w:t xml:space="preserve">problem, exacerbates these concerns, making it difficult for consumers to understand how prices are determined or to challenge unfair practices (Mirghaderi et al., 2023). Furthermore, the data-intensive nature of AI necessitates rigorous attention to data privacy and security, with blockchain-based solutions like BDUA (Kaaniche &amp; Laurent, 2018) emerging as potential mechanisms for ensuring data usage auditing and transparency. The environmental impact of AI, particularly the energy consumption of large models, also introduces an ethical dimension, advocating for pricing models that internalize these external costs, as explored by green AI initiatives (Kshirsagar et al., 2021). This analysis revealed that ethical considerations are not peripheral to AI pricing but are fundamental to its long-term sustainability and societal acceptance.</w:t>
      </w:r>
    </w:p>
    <w:p>
      <w:pPr>
        <w:pStyle w:val="BodyText"/>
        <w:spacing w:line="480" w:lineRule="auto"/>
        <w:ind w:firstLine="720"/>
        <w:jc w:val="both"/>
      </w:pPr>
      <w:r>
        <w:t xml:space="preserve">The regulatory landscape, still in its nascent stages, reflects the global struggle to keep pace with rapid AI advancements. Governments and international bodies are grappling with how to foster innovation while mitigating risks associated with AI, including those related to pricing. Emerging regulations often focus on data governance, algorithmic transparency, and consumer protection, aiming to curb anti-competitive practices and prevent market abuses (Ayata, 2020). However, the theoretical framework presented herein suggests that effective regulation must move beyond reactive measures to proactively shape an environment where AI pricing aligns with public good and ethical norms. This includes promoting fair competition, ensuring data sovereignty, and potentially mandating greater transparency in pricing algorithms. The challenge lies in crafting regulations that are flexible enough to accommodate technological evolution while robust enough to protect societal interests.</w:t>
      </w:r>
    </w:p>
    <w:p>
      <w:pPr>
        <w:pStyle w:val="BodyText"/>
        <w:spacing w:line="480" w:lineRule="auto"/>
        <w:ind w:firstLine="720"/>
        <w:jc w:val="both"/>
      </w:pPr>
      <w:r>
        <w:t xml:space="preserve">In terms of its contributions, this paper offers a comprehensive synthesis of economic theories, ethical frameworks, and emerging regulatory considerations pertinent to AI pricing. By integrating these diverse perspectives, it provides a more holistic understanding of the challenges and opportunities in this critical domain, moving beyond siloed disciplinary approaches. Specifically, this research contributes to the academic discourse by: (1) systematically categorizing and critically evaluating various AI pricing models, highlighting their strengths, weaknesses, and ethical implications; (2) developing an integrated framework that underscores the interdependence of technological capabilities, market dynamics, ethical principles, and regulatory oversight in shaping AI valuation; and (3) offering practical insights for AI developers, policymakers, and ethicists to navigate the complexities of AI pricing, fostering strategies that are not only economically viable but also ethically sound and socially responsible. The emphasis on value creation and capture, particularly through the lens of a triple helix model (Lorente, 2025), further enriches the understanding of how AI generates and distributes benefits across stakeholders.</w:t>
      </w:r>
    </w:p>
    <w:p>
      <w:pPr>
        <w:pStyle w:val="BodyText"/>
        <w:spacing w:line="480" w:lineRule="auto"/>
        <w:ind w:firstLine="720"/>
        <w:jc w:val="both"/>
      </w:pPr>
      <w:r>
        <w:t xml:space="preserve">Despite these contributions, this study acknowledges certain limitations. The theoretical nature of this analysis means that while it provides a robust conceptual framework, it relies on existing literature and current understandings of AI, which is a field characterized by rapid and unpredictable advancements. The conclusions drawn are therefore subject to the evolving technological landscape and future empirical evidence. Furthermore, the broad scope of AI applications means that specific industry-level nuances in pricing and ethical considerations could not be exhaustively covered. The generalizability of some insights may vary depending on the specific AI product or service and its target market (Divakaruni &amp; Navarro, 2024).</w:t>
      </w:r>
    </w:p>
    <w:p>
      <w:pPr>
        <w:pStyle w:val="BodyText"/>
        <w:spacing w:line="480" w:lineRule="auto"/>
        <w:ind w:firstLine="720"/>
        <w:jc w:val="both"/>
      </w:pPr>
      <w:r>
        <w:t xml:space="preserve">Looking ahead, the field of AI pricing offers a rich array of avenues for future research. Empirical studies are urgently needed to validate the theoretical models proposed and to assess the real-world impact of different AI pricing strategies across diverse industries and geographical contexts. Such studies could investigate the effectiveness of dynamic pricing in specific AI-driven markets, the long-term consumer acceptance of freemium models for AI services, or the actual economic benefits derived from value-based pricing initiatives (Divakaruni &amp; Navarro, 2024). Research could also delve deeper into the psychological factors affecting customer lifetime value and willingness to pay for AI products, further building on current understanding (Siddannavar et al., 2025)(Fang &amp; Zhou, 2025).</w:t>
      </w:r>
    </w:p>
    <w:p>
      <w:pPr>
        <w:pStyle w:val="BodyText"/>
        <w:spacing w:line="480" w:lineRule="auto"/>
        <w:ind w:firstLine="720"/>
        <w:jc w:val="both"/>
      </w:pPr>
      <w:r>
        <w:t xml:space="preserve">Furthermore, future research should explore the development of novel AI pricing models that intrinsically incorporate ethical considerations and sustainability metrics. This could involve designing pricing algorithms that dynamically adjust based on real-time ethical auditing outcomes or carbon footprint metrics, moving beyond the GREE-COCO (Kshirsagar et al., 2021) model to a broader integration of environmental and social governance (ESG) factors. The role of blockchain technology in enhancing transparency and accountability in AI pricing mechanisms, particularly concerning data usage and algorithmic fairness (Kaaniche &amp; Laurent, 2018), warrants further investigation. Research into the implications of large multimodal agents (Barbere et al., 2024)(Trad &amp; Chehab, 2024) on pricing strategies, especially concerning their ability to analyze complex market signals and consumer behavior, will also be crucial. Finally, as AI becomes increasingly autonomous and agentic (Korinek, 2025), the economic implications of AI agents interacting in markets and the ethical considerations of their pricing decisions will become paramount, requiring interdisciplinary approaches that blend economics, ethics, computer science, and law. Addressing these research gaps will be essential for fostering an AI ecosystem that is not only economically prosperous but also ethically sound, equitable, and sustainable for future generations.</w:t>
      </w:r>
    </w:p>
    <w:p>
      <w:pPr>
        <w:spacing w:line="480" w:lineRule="auto"/>
        <w:ind w:firstLine="720"/>
        <w:jc w:val="both"/>
      </w:pPr>
      <w:r>
        <w:pict>
          <v:rect style="width:0;height:1.5pt" o:hralign="center" o:hrstd="t" o:hr="t"/>
        </w:pict>
      </w:r>
    </w:p>
    <w:p>
      <w:pPr>
        <w:pStyle w:val="Heading2"/>
        <w:pageBreakBefore/>
      </w:pPr>
      <w:bookmarkStart w:id="93" w:name="Xbfe661222ce1146fedb85d12fa7af623a6d67fb"/>
      <w:r>
        <w:t xml:space="preserve">Appendix A: Framework for AI Value Assessment</w:t>
      </w:r>
      <w:bookmarkEnd w:id="93"/>
    </w:p>
    <w:p>
      <w:pPr>
        <w:pStyle w:val="FirstParagraph"/>
        <w:spacing w:line="480" w:lineRule="auto"/>
        <w:ind w:firstLine="720"/>
        <w:jc w:val="both"/>
      </w:pPr>
      <w:r>
        <w:t xml:space="preserve">The transition from traditional software pricing to value-based models for Artificial Intelligence (AI) necessitates a robust framework for systematically assessing the multi-faceted value that AI solutions deliver. This framework extends the discussion on value-based pricing by providing a structured methodology for identifying, quantifying, and communicating the economic, strategic, and societal benefits of AI. It moves beyond mere cost recovery to focus on the impact AI creates for customers and society, offering a guide for both AI providers and adopters.</w:t>
      </w:r>
    </w:p>
    <w:p>
      <w:pPr>
        <w:pStyle w:val="Heading3"/>
      </w:pPr>
      <w:bookmarkStart w:id="94" w:name="a.1-core-dimensions-of-ai-value"/>
      <w:r>
        <w:t xml:space="preserve">A.1 Core Dimensions of AI Value</w:t>
      </w:r>
      <w:bookmarkEnd w:id="94"/>
    </w:p>
    <w:p>
      <w:pPr>
        <w:pStyle w:val="FirstParagraph"/>
        <w:spacing w:line="480" w:lineRule="auto"/>
        <w:ind w:firstLine="720"/>
        <w:jc w:val="both"/>
      </w:pPr>
      <w:r>
        <w:t xml:space="preserve">AI generates value across several interconnected dimensions, which must be comprehensively evaluated:</w:t>
      </w:r>
    </w:p>
    <w:p>
      <w:pPr>
        <w:pStyle w:val="Heading4"/>
      </w:pPr>
      <w:bookmarkStart w:id="95" w:name="a.1.1-economic-value-tangible-roi"/>
      <w:r>
        <w:t xml:space="preserve">A.1.1 Economic Value (Tangible ROI)</w:t>
      </w:r>
      <w:bookmarkEnd w:id="95"/>
    </w:p>
    <w:p>
      <w:pPr>
        <w:pStyle w:val="FirstParagraph"/>
        <w:spacing w:line="480" w:lineRule="auto"/>
        <w:ind w:firstLine="720"/>
        <w:jc w:val="both"/>
      </w:pPr>
      <w:r>
        <w:t xml:space="preserve">This dimension focuses on quantifiable financial benefits.</w:t>
      </w:r>
      <w:r>
        <w:t xml:space="preserve"> </w:t>
      </w:r>
      <w:r>
        <w:t xml:space="preserve">*</w:t>
      </w:r>
      <w:r>
        <w:t xml:space="preserve"> </w:t>
      </w:r>
      <w:r>
        <w:rPr>
          <w:b/>
        </w:rPr>
        <w:t xml:space="preserve">Cost Reduction:</w:t>
      </w:r>
      <w:r>
        <w:t xml:space="preserve"> </w:t>
      </w:r>
      <w:r>
        <w:t xml:space="preserve">Direct savings from automation (e.g., reduced labor costs, optimized resource allocation, energy efficiency in</w:t>
      </w:r>
      <w:r>
        <w:t xml:space="preserve"> </w:t>
      </w:r>
      <w:r>
        <w:t xml:space="preserve">“</w:t>
      </w:r>
      <w:r>
        <w:t xml:space="preserve">Green AI</w:t>
      </w:r>
      <w:r>
        <w:t xml:space="preserve">”</w:t>
      </w:r>
      <w:r>
        <w:t xml:space="preserve"> </w:t>
      </w:r>
      <w:r>
        <w:t xml:space="preserve">initiatives (Kshirsagar et al., 2021)).</w:t>
      </w:r>
      <w:r>
        <w:t xml:space="preserve"> </w:t>
      </w:r>
      <w:r>
        <w:t xml:space="preserve">*</w:t>
      </w:r>
      <w:r>
        <w:t xml:space="preserve"> </w:t>
      </w:r>
      <w:r>
        <w:rPr>
          <w:b/>
        </w:rPr>
        <w:t xml:space="preserve">Revenue Enhancement:</w:t>
      </w:r>
      <w:r>
        <w:t xml:space="preserve"> </w:t>
      </w:r>
      <w:r>
        <w:t xml:space="preserve">Increased sales, new product/service offerings enabled by AI, improved market penetration, personalized upselling/cross-selling.</w:t>
      </w:r>
      <w:r>
        <w:t xml:space="preserve"> </w:t>
      </w:r>
      <w:r>
        <w:t xml:space="preserve">*</w:t>
      </w:r>
      <w:r>
        <w:t xml:space="preserve"> </w:t>
      </w:r>
      <w:r>
        <w:rPr>
          <w:b/>
        </w:rPr>
        <w:t xml:space="preserve">Efficiency Gains:</w:t>
      </w:r>
      <w:r>
        <w:t xml:space="preserve"> </w:t>
      </w:r>
      <w:r>
        <w:t xml:space="preserve">Faster processing times, reduced error rates, optimized workflows, improved resource utilization.</w:t>
      </w:r>
      <w:r>
        <w:t xml:space="preserve"> </w:t>
      </w:r>
      <w:r>
        <w:t xml:space="preserve">*</w:t>
      </w:r>
      <w:r>
        <w:t xml:space="preserve"> </w:t>
      </w:r>
      <w:r>
        <w:rPr>
          <w:b/>
        </w:rPr>
        <w:t xml:space="preserve">Risk Mitigation:</w:t>
      </w:r>
      <w:r>
        <w:t xml:space="preserve"> </w:t>
      </w:r>
      <w:r>
        <w:t xml:space="preserve">Financial savings from preventing fraud (e.g., AI-powered fraud detection), cybersecurity breaches (Trad &amp; Chehab, 2024), or equipment failures (predictive maintenance).</w:t>
      </w:r>
      <w:r>
        <w:t xml:space="preserve"> </w:t>
      </w:r>
      <w:r>
        <w:t xml:space="preserve">*</w:t>
      </w:r>
      <w:r>
        <w:t xml:space="preserve"> </w:t>
      </w:r>
      <w:r>
        <w:rPr>
          <w:b/>
        </w:rPr>
        <w:t xml:space="preserve">Decision Optimization:</w:t>
      </w:r>
      <w:r>
        <w:t xml:space="preserve"> </w:t>
      </w:r>
      <w:r>
        <w:t xml:space="preserve">Improved financial forecasting (Niharika et al., 2024), supply chain optimization, and strategic planning leading to better resource allocation and higher returns.</w:t>
      </w:r>
    </w:p>
    <w:p>
      <w:pPr>
        <w:pStyle w:val="Heading4"/>
      </w:pPr>
      <w:bookmarkStart w:id="96" w:name="Xd7d299548f064ef27d1bcf22607a12a18c4e50d"/>
      <w:r>
        <w:t xml:space="preserve">A.1.2 Strategic Value (Competitive Advantage)</w:t>
      </w:r>
      <w:bookmarkEnd w:id="96"/>
    </w:p>
    <w:p>
      <w:pPr>
        <w:pStyle w:val="FirstParagraph"/>
        <w:spacing w:line="480" w:lineRule="auto"/>
        <w:ind w:firstLine="720"/>
        <w:jc w:val="both"/>
      </w:pPr>
      <w:r>
        <w:t xml:space="preserve">This dimension captures the non-financial, long-term benefits that enhance an organization’s competitive position.</w:t>
      </w:r>
      <w:r>
        <w:t xml:space="preserve"> </w:t>
      </w:r>
      <w:r>
        <w:t xml:space="preserve">*</w:t>
      </w:r>
      <w:r>
        <w:t xml:space="preserve"> </w:t>
      </w:r>
      <w:r>
        <w:rPr>
          <w:b/>
        </w:rPr>
        <w:t xml:space="preserve">Innovation Catalyst:</w:t>
      </w:r>
      <w:r>
        <w:t xml:space="preserve"> </w:t>
      </w:r>
      <w:r>
        <w:t xml:space="preserve">AI enabling the development of entirely new products, services, or business models that disrupt markets.</w:t>
      </w:r>
      <w:r>
        <w:t xml:space="preserve"> </w:t>
      </w:r>
      <w:r>
        <w:t xml:space="preserve">*</w:t>
      </w:r>
      <w:r>
        <w:t xml:space="preserve"> </w:t>
      </w:r>
      <w:r>
        <w:rPr>
          <w:b/>
        </w:rPr>
        <w:t xml:space="preserve">Market Differentiation:</w:t>
      </w:r>
      <w:r>
        <w:t xml:space="preserve"> </w:t>
      </w:r>
      <w:r>
        <w:t xml:space="preserve">Unique capabilities or insights provided by AI that set a company apart from competitors (Divakaruni &amp; Navarro, 2024).</w:t>
      </w:r>
      <w:r>
        <w:t xml:space="preserve"> </w:t>
      </w:r>
      <w:r>
        <w:t xml:space="preserve">*</w:t>
      </w:r>
      <w:r>
        <w:t xml:space="preserve"> </w:t>
      </w:r>
      <w:r>
        <w:rPr>
          <w:b/>
        </w:rPr>
        <w:t xml:space="preserve">Enhanced Customer Experience:</w:t>
      </w:r>
      <w:r>
        <w:t xml:space="preserve"> </w:t>
      </w:r>
      <w:r>
        <w:t xml:space="preserve">Personalized interactions, improved customer service, and proactive solutions that build brand loyalty and satisfaction (Siddannavar et al., 2025).</w:t>
      </w:r>
      <w:r>
        <w:t xml:space="preserve"> </w:t>
      </w:r>
      <w:r>
        <w:t xml:space="preserve">*</w:t>
      </w:r>
      <w:r>
        <w:t xml:space="preserve"> </w:t>
      </w:r>
      <w:r>
        <w:rPr>
          <w:b/>
        </w:rPr>
        <w:t xml:space="preserve">Data-Driven Insights:</w:t>
      </w:r>
      <w:r>
        <w:t xml:space="preserve"> </w:t>
      </w:r>
      <w:r>
        <w:t xml:space="preserve">Unlocking hidden patterns and intelligence from vast datasets, leading to superior strategic planning and operational agility.</w:t>
      </w:r>
      <w:r>
        <w:t xml:space="preserve"> </w:t>
      </w:r>
      <w:r>
        <w:t xml:space="preserve">*</w:t>
      </w:r>
      <w:r>
        <w:t xml:space="preserve"> </w:t>
      </w:r>
      <w:r>
        <w:rPr>
          <w:b/>
        </w:rPr>
        <w:t xml:space="preserve">Talent Attraction &amp; Retention:</w:t>
      </w:r>
      <w:r>
        <w:t xml:space="preserve"> </w:t>
      </w:r>
      <w:r>
        <w:t xml:space="preserve">AI tools that empower employees, automate mundane tasks, and create a more innovative work environment.</w:t>
      </w:r>
    </w:p>
    <w:p>
      <w:pPr>
        <w:pStyle w:val="Heading4"/>
      </w:pPr>
      <w:bookmarkStart w:id="97" w:name="X7ce10dd870ca0b46d2da779e6a04edc464eb0ed"/>
      <w:r>
        <w:t xml:space="preserve">A.1.3 Societal and Ethical Value (Impact &amp; Trust)</w:t>
      </w:r>
      <w:bookmarkEnd w:id="97"/>
    </w:p>
    <w:p>
      <w:pPr>
        <w:pStyle w:val="FirstParagraph"/>
        <w:spacing w:line="480" w:lineRule="auto"/>
        <w:ind w:firstLine="720"/>
        <w:jc w:val="both"/>
      </w:pPr>
      <w:r>
        <w:t xml:space="preserve">This dimension addresses the broader benefits and responsible implications of AI deployment.</w:t>
      </w:r>
      <w:r>
        <w:t xml:space="preserve"> </w:t>
      </w:r>
      <w:r>
        <w:t xml:space="preserve">*</w:t>
      </w:r>
      <w:r>
        <w:t xml:space="preserve"> </w:t>
      </w:r>
      <w:r>
        <w:rPr>
          <w:b/>
        </w:rPr>
        <w:t xml:space="preserve">Environmental Sustainability:</w:t>
      </w:r>
      <w:r>
        <w:t xml:space="preserve"> </w:t>
      </w:r>
      <w:r>
        <w:t xml:space="preserve">Reduced carbon footprint from optimized operations, energy-efficient AI models, and contributions to sustainable development goals (Kshirsagar et al., 2021).</w:t>
      </w:r>
      <w:r>
        <w:t xml:space="preserve"> </w:t>
      </w:r>
      <w:r>
        <w:t xml:space="preserve">*</w:t>
      </w:r>
      <w:r>
        <w:t xml:space="preserve"> </w:t>
      </w:r>
      <w:r>
        <w:rPr>
          <w:b/>
        </w:rPr>
        <w:t xml:space="preserve">Social Equity &amp; Accessibility:</w:t>
      </w:r>
      <w:r>
        <w:t xml:space="preserve"> </w:t>
      </w:r>
      <w:r>
        <w:t xml:space="preserve">AI solutions that promote fairness, reduce bias, or increase access to essential services (e.g., education, healthcare) for underserved populations.</w:t>
      </w:r>
      <w:r>
        <w:t xml:space="preserve"> </w:t>
      </w:r>
      <w:r>
        <w:t xml:space="preserve">*</w:t>
      </w:r>
      <w:r>
        <w:t xml:space="preserve"> </w:t>
      </w:r>
      <w:r>
        <w:rPr>
          <w:b/>
        </w:rPr>
        <w:t xml:space="preserve">Transparency &amp; Accountability:</w:t>
      </w:r>
      <w:r>
        <w:t xml:space="preserve"> </w:t>
      </w:r>
      <w:r>
        <w:t xml:space="preserve">AI systems designed with explainability and audibility, fostering trust and compliance (Mirghaderi et al., 2023)(Kaaniche &amp; Laurent, 2018).</w:t>
      </w:r>
      <w:r>
        <w:t xml:space="preserve"> </w:t>
      </w:r>
      <w:r>
        <w:t xml:space="preserve">*</w:t>
      </w:r>
      <w:r>
        <w:t xml:space="preserve"> </w:t>
      </w:r>
      <w:r>
        <w:rPr>
          <w:b/>
        </w:rPr>
        <w:t xml:space="preserve">Public Safety:</w:t>
      </w:r>
      <w:r>
        <w:t xml:space="preserve"> </w:t>
      </w:r>
      <w:r>
        <w:t xml:space="preserve">AI applications contributing to safer environments, disaster prediction, or emergency response.</w:t>
      </w:r>
      <w:r>
        <w:t xml:space="preserve"> </w:t>
      </w:r>
      <w:r>
        <w:t xml:space="preserve">*</w:t>
      </w:r>
      <w:r>
        <w:t xml:space="preserve"> </w:t>
      </w:r>
      <w:r>
        <w:rPr>
          <w:b/>
        </w:rPr>
        <w:t xml:space="preserve">Knowledge Advancement:</w:t>
      </w:r>
      <w:r>
        <w:t xml:space="preserve"> </w:t>
      </w:r>
      <w:r>
        <w:t xml:space="preserve">AI accelerating scientific discovery, research, and public understanding of complex phenomena (Korinek, 2025).</w:t>
      </w:r>
    </w:p>
    <w:p>
      <w:pPr>
        <w:pStyle w:val="Heading3"/>
      </w:pPr>
      <w:bookmarkStart w:id="98" w:name="a.2-value-assessment-methodology"/>
      <w:r>
        <w:t xml:space="preserve">A.2 Value Assessment Methodology</w:t>
      </w:r>
      <w:bookmarkEnd w:id="98"/>
    </w:p>
    <w:p>
      <w:pPr>
        <w:pStyle w:val="FirstParagraph"/>
        <w:spacing w:line="480" w:lineRule="auto"/>
        <w:ind w:firstLine="720"/>
        <w:jc w:val="both"/>
      </w:pPr>
      <w:r>
        <w:t xml:space="preserve">A systematic methodology is essential for translating these dimensions into actionable insights for pricing.</w:t>
      </w:r>
    </w:p>
    <w:p>
      <w:pPr>
        <w:pStyle w:val="Heading4"/>
      </w:pPr>
      <w:bookmarkStart w:id="99" w:name="X031eaf8eb38db5cc46aea1f11163d2463aa7805"/>
      <w:r>
        <w:t xml:space="preserve">A.2.1 Step 1: Define Customer Segments and Use Cases</w:t>
      </w:r>
      <w:bookmarkEnd w:id="99"/>
    </w:p>
    <w:p>
      <w:pPr>
        <w:pStyle w:val="FirstParagraph"/>
        <w:spacing w:line="480" w:lineRule="auto"/>
        <w:ind w:firstLine="720"/>
        <w:jc w:val="both"/>
      </w:pPr>
      <w:r>
        <w:t xml:space="preserve">Identify target customer groups (e.g., small businesses, large enterprises, government agencies) and the specific problems AI is solving for each. Different segments will prioritize different types of value.</w:t>
      </w:r>
    </w:p>
    <w:p>
      <w:pPr>
        <w:pStyle w:val="Heading4"/>
      </w:pPr>
      <w:bookmarkStart w:id="100" w:name="X12738639d52adefbaf88978363d8992578e0301"/>
      <w:r>
        <w:t xml:space="preserve">A.2.2 Step 2: Quantify Baseline and AI-Enabled Improvements</w:t>
      </w:r>
      <w:bookmarkEnd w:id="100"/>
    </w:p>
    <w:p>
      <w:pPr>
        <w:pStyle w:val="FirstParagraph"/>
        <w:spacing w:line="480" w:lineRule="auto"/>
        <w:ind w:firstLine="720"/>
        <w:jc w:val="both"/>
      </w:pPr>
      <w:r>
        <w:t xml:space="preserve">For each identified use case, establish clear baseline metrics (e.g., current costs, error rates, time-to-market). Then, project or measure the quantifiable improvements directly attributable to the AI solution. This often involves pilot programs, A/B testing, or historical data analysis.</w:t>
      </w:r>
    </w:p>
    <w:p>
      <w:pPr>
        <w:pStyle w:val="Heading4"/>
      </w:pPr>
      <w:bookmarkStart w:id="101" w:name="a.2.3-step-3-map-value-to-pricing-levers"/>
      <w:r>
        <w:t xml:space="preserve">A.2.3 Step 3: Map Value to Pricing Levers</w:t>
      </w:r>
      <w:bookmarkEnd w:id="101"/>
    </w:p>
    <w:p>
      <w:pPr>
        <w:pStyle w:val="FirstParagraph"/>
        <w:spacing w:line="480" w:lineRule="auto"/>
        <w:ind w:firstLine="720"/>
        <w:jc w:val="both"/>
      </w:pPr>
      <w:r>
        <w:t xml:space="preserve">Connect the quantified value to specific pricing levers. For instance, if an AI reduces fraud by $1 million annually, a value-based component could be a percentage of these savings. If it speeds up a process by 50%, a subscription tier could reflect this efficiency gain.</w:t>
      </w:r>
    </w:p>
    <w:p>
      <w:pPr>
        <w:pStyle w:val="Heading4"/>
      </w:pPr>
      <w:bookmarkStart w:id="102" w:name="Xac6726e8c8d9f191f6923455240c995aed71771"/>
      <w:r>
        <w:t xml:space="preserve">A.2.4 Step 4: Communicate Value Proposition Clearly</w:t>
      </w:r>
      <w:bookmarkEnd w:id="102"/>
    </w:p>
    <w:p>
      <w:pPr>
        <w:pStyle w:val="FirstParagraph"/>
        <w:spacing w:line="480" w:lineRule="auto"/>
        <w:ind w:firstLine="720"/>
        <w:jc w:val="both"/>
      </w:pPr>
      <w:r>
        <w:t xml:space="preserve">Articulate the AI’s value proposition in the customer’s language, focusing on outcomes and benefits rather than just features. Use case studies, ROI calculators, and performance guarantees to demonstrate impact.</w:t>
      </w:r>
    </w:p>
    <w:p>
      <w:pPr>
        <w:pStyle w:val="Heading4"/>
      </w:pPr>
      <w:bookmarkStart w:id="103" w:name="X014f06416a544651e6674f712eaa01212e309d2"/>
      <w:r>
        <w:t xml:space="preserve">A.2.5 Step 5: Iterative Evaluation and Adjustment</w:t>
      </w:r>
      <w:bookmarkEnd w:id="103"/>
    </w:p>
    <w:p>
      <w:pPr>
        <w:pStyle w:val="FirstParagraph"/>
        <w:spacing w:line="480" w:lineRule="auto"/>
        <w:ind w:firstLine="720"/>
        <w:jc w:val="both"/>
      </w:pPr>
      <w:r>
        <w:t xml:space="preserve">Value perception and market conditions change. Continuously monitor the AI’s performance, gather customer feedback, and re-evaluate the value proposition and pricing strategy. This iterative process allows for dynamic adjustment and optimization (Niharika et al., 2024).</w:t>
      </w:r>
    </w:p>
    <w:p>
      <w:pPr>
        <w:pStyle w:val="Heading3"/>
      </w:pPr>
      <w:bookmarkStart w:id="104" w:name="a.3-challenges-in-value-assessment"/>
      <w:r>
        <w:t xml:space="preserve">A.3 Challenges in Value Assessment</w:t>
      </w:r>
      <w:bookmarkEnd w:id="104"/>
    </w:p>
    <w:p>
      <w:pPr>
        <w:numPr>
          <w:ilvl w:val="0"/>
          <w:numId w:val="1001"/>
        </w:numPr>
        <w:pStyle w:val="Compact"/>
      </w:pPr>
      <w:r>
        <w:rPr>
          <w:b/>
        </w:rPr>
        <w:t xml:space="preserve">Attribution Problem:</w:t>
      </w:r>
      <w:r>
        <w:t xml:space="preserve"> </w:t>
      </w:r>
      <w:r>
        <w:t xml:space="preserve">Isolating the AI’s precise contribution to complex outcomes, especially when multiple factors are involved.</w:t>
      </w:r>
    </w:p>
    <w:p>
      <w:pPr>
        <w:numPr>
          <w:ilvl w:val="0"/>
          <w:numId w:val="1001"/>
        </w:numPr>
        <w:pStyle w:val="Compact"/>
      </w:pPr>
      <w:r>
        <w:rPr>
          <w:b/>
        </w:rPr>
        <w:t xml:space="preserve">Intangible Benefits:</w:t>
      </w:r>
      <w:r>
        <w:t xml:space="preserve"> </w:t>
      </w:r>
      <w:r>
        <w:t xml:space="preserve">Quantifying benefits like improved brand reputation, enhanced employee morale, or increased innovation capacity.</w:t>
      </w:r>
    </w:p>
    <w:p>
      <w:pPr>
        <w:numPr>
          <w:ilvl w:val="0"/>
          <w:numId w:val="1001"/>
        </w:numPr>
        <w:pStyle w:val="Compact"/>
      </w:pPr>
      <w:r>
        <w:rPr>
          <w:b/>
        </w:rPr>
        <w:t xml:space="preserve">Data Access &amp; Privacy:</w:t>
      </w:r>
      <w:r>
        <w:t xml:space="preserve"> </w:t>
      </w:r>
      <w:r>
        <w:t xml:space="preserve">Obtaining necessary customer data to perform accurate value assessments while respecting privacy concerns (Kaaniche &amp; Laurent, 2018).</w:t>
      </w:r>
    </w:p>
    <w:p>
      <w:pPr>
        <w:numPr>
          <w:ilvl w:val="0"/>
          <w:numId w:val="1001"/>
        </w:numPr>
        <w:pStyle w:val="Compact"/>
      </w:pPr>
      <w:r>
        <w:rPr>
          <w:b/>
        </w:rPr>
        <w:t xml:space="preserve">Evolving Value:</w:t>
      </w:r>
      <w:r>
        <w:t xml:space="preserve"> </w:t>
      </w:r>
      <w:r>
        <w:t xml:space="preserve">The value of AI can change as models improve, new data is acquired, or market conditions shift.</w:t>
      </w:r>
    </w:p>
    <w:p>
      <w:pPr>
        <w:numPr>
          <w:ilvl w:val="0"/>
          <w:numId w:val="1001"/>
        </w:numPr>
        <w:pStyle w:val="Compact"/>
      </w:pPr>
      <w:r>
        <w:rPr>
          <w:b/>
        </w:rPr>
        <w:t xml:space="preserve">Customer Willingness to Share:</w:t>
      </w:r>
      <w:r>
        <w:t xml:space="preserve"> </w:t>
      </w:r>
      <w:r>
        <w:t xml:space="preserve">Customers may be reluctant to share proprietary financial or operational data required for a thorough value assessment.</w:t>
      </w:r>
    </w:p>
    <w:p>
      <w:pPr>
        <w:pStyle w:val="FirstParagraph"/>
        <w:spacing w:line="480" w:lineRule="auto"/>
        <w:ind w:firstLine="720"/>
        <w:jc w:val="both"/>
      </w:pPr>
      <w:r>
        <w:t xml:space="preserve">By systematically applying this framework, AI providers can move towards more sophisticated, transparent, and equitable pricing models that truly reflect the transformative power of their solutions.</w:t>
      </w:r>
    </w:p>
    <w:p>
      <w:pPr>
        <w:spacing w:line="480" w:lineRule="auto"/>
        <w:ind w:firstLine="720"/>
        <w:jc w:val="both"/>
      </w:pPr>
      <w:r>
        <w:pict>
          <v:rect style="width:0;height:1.5pt" o:hralign="center" o:hrstd="t" o:hr="t"/>
        </w:pict>
      </w:r>
    </w:p>
    <w:p>
      <w:pPr>
        <w:pStyle w:val="Heading2"/>
        <w:pageBreakBefore/>
      </w:pPr>
      <w:bookmarkStart w:id="105" w:name="X5aa28c355b8b5fe63c15f847fbb9c69aa5e5598"/>
      <w:r>
        <w:t xml:space="preserve">Appendix C: Detailed Case Study Data and Projections</w:t>
      </w:r>
      <w:bookmarkEnd w:id="105"/>
    </w:p>
    <w:p>
      <w:pPr>
        <w:pStyle w:val="FirstParagraph"/>
        <w:spacing w:line="480" w:lineRule="auto"/>
        <w:ind w:firstLine="720"/>
        <w:jc w:val="both"/>
      </w:pPr>
      <w:r>
        <w:t xml:space="preserve">This appendix provides detailed quantitative data and projections for various AI services, illustrating the practical application and cost implications of token-based and usage-based pricing models. These tables expand on the case studies discussed in the main analysis, offering a more granular view of how costs accrue under different scenarios and usage patterns for prominent AI providers. The projections are hypothetical and designed to demonstrate principles rather than represent exact current pricing, which is subject to change.</w:t>
      </w:r>
    </w:p>
    <w:p>
      <w:pPr>
        <w:pStyle w:val="Heading3"/>
      </w:pPr>
      <w:bookmarkStart w:id="106" w:name="Xa01ea65ee47925408ec702f44841d0c568d4b7b"/>
      <w:r>
        <w:t xml:space="preserve">C.1 Generative AI: OpenAI GPT-4 API Usage Scenarios</w:t>
      </w:r>
      <w:bookmarkEnd w:id="106"/>
    </w:p>
    <w:p>
      <w:pPr>
        <w:pStyle w:val="FirstParagraph"/>
        <w:spacing w:line="480" w:lineRule="auto"/>
        <w:ind w:firstLine="720"/>
        <w:jc w:val="both"/>
      </w:pPr>
      <w:r>
        <w:t xml:space="preserve">This section presents projected costs for using OpenAI’s GPT-4 API (a high-capability model) across different common use cases, demonstrating the impact of input/output token differentiation and context window size.</w:t>
      </w:r>
    </w:p>
    <w:p>
      <w:pPr>
        <w:pStyle w:val="BodyText"/>
        <w:spacing w:line="480" w:lineRule="auto"/>
        <w:ind w:firstLine="720"/>
        <w:jc w:val="both"/>
      </w:pPr>
      <w:r>
        <w:rPr>
          <w:b/>
        </w:rPr>
        <w:t xml:space="preserve">Table C.1: OpenAI GPT-4 API Cost Projections for Example Scenarios</w:t>
      </w:r>
    </w:p>
    <w:tbl>
      <w:tblPr>
        <w:tblStyle w:val="Table"/>
        <w:tblW w:type="pct" w:w="5000.0"/>
        <w:tblLook w:firstRow="1"/>
      </w:tblPr>
      <w:tblGrid>
        <w:gridCol w:w="1211"/>
        <w:gridCol w:w="1164"/>
        <w:gridCol w:w="1211"/>
        <w:gridCol w:w="792"/>
        <w:gridCol w:w="1164"/>
        <w:gridCol w:w="1211"/>
        <w:gridCol w:w="1164"/>
      </w:tblGrid>
      <w:tr>
        <w:trPr>
          <w:cnfStyle w:firstRow="1"/>
        </w:trPr>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Input Tokens (per call)</w:t>
            </w:r>
          </w:p>
        </w:tc>
        <w:tc>
          <w:tcPr>
            <w:tcBorders>
              <w:bottom w:val="single"/>
            </w:tcBorders>
            <w:vAlign w:val="bottom"/>
          </w:tcPr>
          <w:p>
            <w:pPr>
              <w:pStyle w:val="Compact"/>
              <w:jc w:val="left"/>
            </w:pPr>
            <w:r>
              <w:t xml:space="preserve">Output Tokens (per call)</w:t>
            </w:r>
          </w:p>
        </w:tc>
        <w:tc>
          <w:tcPr>
            <w:tcBorders>
              <w:bottom w:val="single"/>
            </w:tcBorders>
            <w:vAlign w:val="bottom"/>
          </w:tcPr>
          <w:p>
            <w:pPr>
              <w:pStyle w:val="Compact"/>
              <w:jc w:val="left"/>
            </w:pPr>
            <w:r>
              <w:t xml:space="preserve">Calls per Month</w:t>
            </w:r>
          </w:p>
        </w:tc>
        <w:tc>
          <w:tcPr>
            <w:tcBorders>
              <w:bottom w:val="single"/>
            </w:tcBorders>
            <w:vAlign w:val="bottom"/>
          </w:tcPr>
          <w:p>
            <w:pPr>
              <w:pStyle w:val="Compact"/>
              <w:jc w:val="left"/>
            </w:pPr>
            <w:r>
              <w:t xml:space="preserve">Est. Monthly Input Cost</w:t>
            </w:r>
          </w:p>
        </w:tc>
        <w:tc>
          <w:tcPr>
            <w:tcBorders>
              <w:bottom w:val="single"/>
            </w:tcBorders>
            <w:vAlign w:val="bottom"/>
          </w:tcPr>
          <w:p>
            <w:pPr>
              <w:pStyle w:val="Compact"/>
              <w:jc w:val="left"/>
            </w:pPr>
            <w:r>
              <w:t xml:space="preserve">Est. Monthly Output Cost</w:t>
            </w:r>
          </w:p>
        </w:tc>
        <w:tc>
          <w:tcPr>
            <w:tcBorders>
              <w:bottom w:val="single"/>
            </w:tcBorders>
            <w:vAlign w:val="bottom"/>
          </w:tcPr>
          <w:p>
            <w:pPr>
              <w:pStyle w:val="Compact"/>
              <w:jc w:val="left"/>
            </w:pPr>
            <w:r>
              <w:t xml:space="preserve">Total Est. Monthly Cost</w:t>
            </w:r>
          </w:p>
        </w:tc>
      </w:tr>
      <w:tr>
        <w:tc>
          <w:p>
            <w:pPr>
              <w:pStyle w:val="Compact"/>
              <w:jc w:val="left"/>
            </w:pPr>
            <w:r>
              <w:rPr>
                <w:b/>
              </w:rPr>
              <w:t xml:space="preserve">Chatbot (Basic)</w:t>
            </w:r>
          </w:p>
        </w:tc>
        <w:tc>
          <w:p>
            <w:pPr>
              <w:pStyle w:val="Compact"/>
              <w:jc w:val="left"/>
            </w:pPr>
            <w:r>
              <w:t xml:space="preserve">150</w:t>
            </w:r>
          </w:p>
        </w:tc>
        <w:tc>
          <w:p>
            <w:pPr>
              <w:pStyle w:val="Compact"/>
              <w:jc w:val="left"/>
            </w:pPr>
            <w:r>
              <w:t xml:space="preserve">50</w:t>
            </w:r>
          </w:p>
        </w:tc>
        <w:tc>
          <w:p>
            <w:pPr>
              <w:pStyle w:val="Compact"/>
              <w:jc w:val="left"/>
            </w:pPr>
            <w:r>
              <w:t xml:space="preserve">100,000</w:t>
            </w:r>
          </w:p>
        </w:tc>
        <w:tc>
          <w:p>
            <w:pPr>
              <w:pStyle w:val="Compact"/>
              <w:jc w:val="left"/>
            </w:pPr>
            <w:r>
              <w:t xml:space="preserve">$45.00</w:t>
            </w:r>
          </w:p>
        </w:tc>
        <w:tc>
          <w:p>
            <w:pPr>
              <w:pStyle w:val="Compact"/>
              <w:jc w:val="left"/>
            </w:pPr>
            <w:r>
              <w:t xml:space="preserve">$15.00</w:t>
            </w:r>
          </w:p>
        </w:tc>
        <w:tc>
          <w:p>
            <w:pPr>
              <w:pStyle w:val="Compact"/>
              <w:jc w:val="left"/>
            </w:pPr>
            <w:r>
              <w:t xml:space="preserve">$60.00</w:t>
            </w:r>
          </w:p>
        </w:tc>
      </w:tr>
      <w:tr>
        <w:tc>
          <w:p>
            <w:pPr>
              <w:pStyle w:val="Compact"/>
              <w:jc w:val="left"/>
            </w:pPr>
            <w:r>
              <w:rPr>
                <w:b/>
              </w:rPr>
              <w:t xml:space="preserve">Content Generation</w:t>
            </w:r>
          </w:p>
        </w:tc>
        <w:tc>
          <w:p>
            <w:pPr>
              <w:pStyle w:val="Compact"/>
              <w:jc w:val="left"/>
            </w:pPr>
            <w:r>
              <w:t xml:space="preserve">500</w:t>
            </w:r>
          </w:p>
        </w:tc>
        <w:tc>
          <w:p>
            <w:pPr>
              <w:pStyle w:val="Compact"/>
              <w:jc w:val="left"/>
            </w:pPr>
            <w:r>
              <w:t xml:space="preserve">1,500</w:t>
            </w:r>
          </w:p>
        </w:tc>
        <w:tc>
          <w:p>
            <w:pPr>
              <w:pStyle w:val="Compact"/>
              <w:jc w:val="left"/>
            </w:pPr>
            <w:r>
              <w:t xml:space="preserve">5,000</w:t>
            </w:r>
          </w:p>
        </w:tc>
        <w:tc>
          <w:p>
            <w:pPr>
              <w:pStyle w:val="Compact"/>
              <w:jc w:val="left"/>
            </w:pPr>
            <w:r>
              <w:t xml:space="preserve">$7.50</w:t>
            </w:r>
          </w:p>
        </w:tc>
        <w:tc>
          <w:p>
            <w:pPr>
              <w:pStyle w:val="Compact"/>
              <w:jc w:val="left"/>
            </w:pPr>
            <w:r>
              <w:t xml:space="preserve">$22.50</w:t>
            </w:r>
          </w:p>
        </w:tc>
        <w:tc>
          <w:p>
            <w:pPr>
              <w:pStyle w:val="Compact"/>
              <w:jc w:val="left"/>
            </w:pPr>
            <w:r>
              <w:t xml:space="preserve">$30.00</w:t>
            </w:r>
          </w:p>
        </w:tc>
      </w:tr>
      <w:tr>
        <w:tc>
          <w:p>
            <w:pPr>
              <w:pStyle w:val="Compact"/>
              <w:jc w:val="left"/>
            </w:pPr>
            <w:r>
              <w:rPr>
                <w:b/>
              </w:rPr>
              <w:t xml:space="preserve">Document Summarization</w:t>
            </w:r>
          </w:p>
        </w:tc>
        <w:tc>
          <w:p>
            <w:pPr>
              <w:pStyle w:val="Compact"/>
              <w:jc w:val="left"/>
            </w:pPr>
            <w:r>
              <w:t xml:space="preserve">8,000</w:t>
            </w:r>
          </w:p>
        </w:tc>
        <w:tc>
          <w:p>
            <w:pPr>
              <w:pStyle w:val="Compact"/>
              <w:jc w:val="left"/>
            </w:pPr>
            <w:r>
              <w:t xml:space="preserve">500</w:t>
            </w:r>
          </w:p>
        </w:tc>
        <w:tc>
          <w:p>
            <w:pPr>
              <w:pStyle w:val="Compact"/>
              <w:jc w:val="left"/>
            </w:pPr>
            <w:r>
              <w:t xml:space="preserve">1,000</w:t>
            </w:r>
          </w:p>
        </w:tc>
        <w:tc>
          <w:p>
            <w:pPr>
              <w:pStyle w:val="Compact"/>
              <w:jc w:val="left"/>
            </w:pPr>
            <w:r>
              <w:t xml:space="preserve">$120.00</w:t>
            </w:r>
          </w:p>
        </w:tc>
        <w:tc>
          <w:p>
            <w:pPr>
              <w:pStyle w:val="Compact"/>
              <w:jc w:val="left"/>
            </w:pPr>
            <w:r>
              <w:t xml:space="preserve">$7.50</w:t>
            </w:r>
          </w:p>
        </w:tc>
        <w:tc>
          <w:p>
            <w:pPr>
              <w:pStyle w:val="Compact"/>
              <w:jc w:val="left"/>
            </w:pPr>
            <w:r>
              <w:t xml:space="preserve">$127.50</w:t>
            </w:r>
          </w:p>
        </w:tc>
      </w:tr>
      <w:tr>
        <w:tc>
          <w:p>
            <w:pPr>
              <w:pStyle w:val="Compact"/>
              <w:jc w:val="left"/>
            </w:pPr>
            <w:r>
              <w:rPr>
                <w:b/>
              </w:rPr>
              <w:t xml:space="preserve">Code Generation</w:t>
            </w:r>
          </w:p>
        </w:tc>
        <w:tc>
          <w:p>
            <w:pPr>
              <w:pStyle w:val="Compact"/>
              <w:jc w:val="left"/>
            </w:pPr>
            <w:r>
              <w:t xml:space="preserve">1,000</w:t>
            </w:r>
          </w:p>
        </w:tc>
        <w:tc>
          <w:p>
            <w:pPr>
              <w:pStyle w:val="Compact"/>
              <w:jc w:val="left"/>
            </w:pPr>
            <w:r>
              <w:t xml:space="preserve">300</w:t>
            </w:r>
          </w:p>
        </w:tc>
        <w:tc>
          <w:p>
            <w:pPr>
              <w:pStyle w:val="Compact"/>
              <w:jc w:val="left"/>
            </w:pPr>
            <w:r>
              <w:t xml:space="preserve">10,000</w:t>
            </w:r>
          </w:p>
        </w:tc>
        <w:tc>
          <w:p>
            <w:pPr>
              <w:pStyle w:val="Compact"/>
              <w:jc w:val="left"/>
            </w:pPr>
            <w:r>
              <w:t xml:space="preserve">$15.00</w:t>
            </w:r>
          </w:p>
        </w:tc>
        <w:tc>
          <w:p>
            <w:pPr>
              <w:pStyle w:val="Compact"/>
              <w:jc w:val="left"/>
            </w:pPr>
            <w:r>
              <w:t xml:space="preserve">$4.50</w:t>
            </w:r>
          </w:p>
        </w:tc>
        <w:tc>
          <w:p>
            <w:pPr>
              <w:pStyle w:val="Compact"/>
              <w:jc w:val="left"/>
            </w:pPr>
            <w:r>
              <w:t xml:space="preserve">$19.50</w:t>
            </w:r>
          </w:p>
        </w:tc>
      </w:tr>
      <w:tr>
        <w:tc>
          <w:p>
            <w:pPr>
              <w:pStyle w:val="Compact"/>
              <w:jc w:val="left"/>
            </w:pPr>
            <w:r>
              <w:rPr>
                <w:b/>
              </w:rPr>
              <w:t xml:space="preserve">Advanced Research (Large Context)</w:t>
            </w:r>
          </w:p>
        </w:tc>
        <w:tc>
          <w:p>
            <w:pPr>
              <w:pStyle w:val="Compact"/>
              <w:jc w:val="left"/>
            </w:pPr>
            <w:r>
              <w:t xml:space="preserve">20,000</w:t>
            </w:r>
          </w:p>
        </w:tc>
        <w:tc>
          <w:p>
            <w:pPr>
              <w:pStyle w:val="Compact"/>
              <w:jc w:val="left"/>
            </w:pPr>
            <w:r>
              <w:t xml:space="preserve">1,000</w:t>
            </w:r>
          </w:p>
        </w:tc>
        <w:tc>
          <w:p>
            <w:pPr>
              <w:pStyle w:val="Compact"/>
              <w:jc w:val="left"/>
            </w:pPr>
            <w:r>
              <w:t xml:space="preserve">500</w:t>
            </w:r>
          </w:p>
        </w:tc>
        <w:tc>
          <w:p>
            <w:pPr>
              <w:pStyle w:val="Compact"/>
              <w:jc w:val="left"/>
            </w:pPr>
            <w:r>
              <w:t xml:space="preserve">$150.00</w:t>
            </w:r>
          </w:p>
        </w:tc>
        <w:tc>
          <w:p>
            <w:pPr>
              <w:pStyle w:val="Compact"/>
              <w:jc w:val="left"/>
            </w:pPr>
            <w:r>
              <w:t xml:space="preserve">$7.50</w:t>
            </w:r>
          </w:p>
        </w:tc>
        <w:tc>
          <w:p>
            <w:pPr>
              <w:pStyle w:val="Compact"/>
              <w:jc w:val="left"/>
            </w:pPr>
            <w:r>
              <w:t xml:space="preserve">$157.50</w:t>
            </w:r>
          </w:p>
        </w:tc>
      </w:tr>
      <w:tr>
        <w:tc>
          <w:p>
            <w:pPr>
              <w:pStyle w:val="Compact"/>
              <w:jc w:val="left"/>
            </w:pPr>
            <w:r>
              <w:rPr>
                <w:b/>
              </w:rPr>
              <w:t xml:space="preserve">High-Volume Data Extraction</w:t>
            </w:r>
          </w:p>
        </w:tc>
        <w:tc>
          <w:p>
            <w:pPr>
              <w:pStyle w:val="Compact"/>
              <w:jc w:val="left"/>
            </w:pPr>
            <w:r>
              <w:t xml:space="preserve">300</w:t>
            </w:r>
          </w:p>
        </w:tc>
        <w:tc>
          <w:p>
            <w:pPr>
              <w:pStyle w:val="Compact"/>
              <w:jc w:val="left"/>
            </w:pPr>
            <w:r>
              <w:t xml:space="preserve">100</w:t>
            </w:r>
          </w:p>
        </w:tc>
        <w:tc>
          <w:p>
            <w:pPr>
              <w:pStyle w:val="Compact"/>
              <w:jc w:val="left"/>
            </w:pPr>
            <w:r>
              <w:t xml:space="preserve">500,000</w:t>
            </w:r>
          </w:p>
        </w:tc>
        <w:tc>
          <w:p>
            <w:pPr>
              <w:pStyle w:val="Compact"/>
              <w:jc w:val="left"/>
            </w:pPr>
            <w:r>
              <w:t xml:space="preserve">$450.00</w:t>
            </w:r>
          </w:p>
        </w:tc>
        <w:tc>
          <w:p>
            <w:pPr>
              <w:pStyle w:val="Compact"/>
              <w:jc w:val="left"/>
            </w:pPr>
            <w:r>
              <w:t xml:space="preserve">$150.00</w:t>
            </w:r>
          </w:p>
        </w:tc>
        <w:tc>
          <w:p>
            <w:pPr>
              <w:pStyle w:val="Compact"/>
              <w:jc w:val="left"/>
            </w:pPr>
            <w:r>
              <w:t xml:space="preserve">$600.00</w:t>
            </w:r>
          </w:p>
        </w:tc>
      </w:tr>
    </w:tbl>
    <w:p>
      <w:pPr>
        <w:pStyle w:val="BodyText"/>
        <w:spacing w:line="480" w:lineRule="auto"/>
        <w:ind w:firstLine="720"/>
        <w:jc w:val="both"/>
      </w:pPr>
      <w:r>
        <w:rPr>
          <w:i/>
        </w:rPr>
        <w:t xml:space="preserve">Note: Assumed GPT-4 pricing: $30.00/1M input tokens, $60.00/1M output tokens. Costs are illustrative and actual pricing may vary. This table highlights how high call volumes or large context windows significantly impact total cost, even with relatively low per-token rates.</w:t>
      </w:r>
    </w:p>
    <w:p>
      <w:pPr>
        <w:pStyle w:val="Heading3"/>
      </w:pPr>
      <w:bookmarkStart w:id="107" w:name="Xc72ab9e2653f5f97a3d9e80c162fdaf46f186eb"/>
      <w:r>
        <w:t xml:space="preserve">C.2 Cloud AI Services: Azure AI Language (Text Analytics)</w:t>
      </w:r>
      <w:bookmarkEnd w:id="107"/>
    </w:p>
    <w:p>
      <w:pPr>
        <w:pStyle w:val="FirstParagraph"/>
        <w:spacing w:line="480" w:lineRule="auto"/>
        <w:ind w:firstLine="720"/>
        <w:jc w:val="both"/>
      </w:pPr>
      <w:r>
        <w:t xml:space="preserve">This section details usage-based pricing for specific Azure AI Language services, demonstrating how different functionalities are metered and priced.</w:t>
      </w:r>
    </w:p>
    <w:p>
      <w:pPr>
        <w:pStyle w:val="BodyText"/>
        <w:spacing w:line="480" w:lineRule="auto"/>
        <w:ind w:firstLine="720"/>
        <w:jc w:val="both"/>
      </w:pPr>
      <w:r>
        <w:rPr>
          <w:b/>
        </w:rPr>
        <w:t xml:space="preserve">Table C.2: Azure AI Language Service Cost Breakdown (Per 1,000 Text Records)</w:t>
      </w:r>
    </w:p>
    <w:tbl>
      <w:tblPr>
        <w:tblStyle w:val="Table"/>
        <w:tblW w:type="pct" w:w="5000.0"/>
        <w:tblLook w:firstRow="1"/>
      </w:tblPr>
      <w:tblGrid>
        <w:gridCol w:w="1225"/>
        <w:gridCol w:w="1272"/>
        <w:gridCol w:w="1461"/>
        <w:gridCol w:w="1461"/>
        <w:gridCol w:w="1602"/>
        <w:gridCol w:w="895"/>
      </w:tblGrid>
      <w:tr>
        <w:trPr>
          <w:cnfStyle w:firstRow="1"/>
        </w:trPr>
        <w:tc>
          <w:tcPr>
            <w:tcBorders>
              <w:bottom w:val="single"/>
            </w:tcBorders>
            <w:vAlign w:val="bottom"/>
          </w:tcPr>
          <w:p>
            <w:pPr>
              <w:pStyle w:val="Compact"/>
              <w:jc w:val="left"/>
            </w:pPr>
            <w:r>
              <w:t xml:space="preserve">Service Functionality</w:t>
            </w:r>
          </w:p>
        </w:tc>
        <w:tc>
          <w:tcPr>
            <w:tcBorders>
              <w:bottom w:val="single"/>
            </w:tcBorders>
            <w:vAlign w:val="bottom"/>
          </w:tcPr>
          <w:p>
            <w:pPr>
              <w:pStyle w:val="Compact"/>
              <w:jc w:val="left"/>
            </w:pPr>
            <w:r>
              <w:t xml:space="preserve">Free Tier (Records/Month)</w:t>
            </w:r>
          </w:p>
        </w:tc>
        <w:tc>
          <w:tcPr>
            <w:tcBorders>
              <w:bottom w:val="single"/>
            </w:tcBorders>
            <w:vAlign w:val="bottom"/>
          </w:tcPr>
          <w:p>
            <w:pPr>
              <w:pStyle w:val="Compact"/>
              <w:jc w:val="left"/>
            </w:pPr>
            <w:r>
              <w:t xml:space="preserve">Tier 1 Price (per 1k records)</w:t>
            </w:r>
          </w:p>
        </w:tc>
        <w:tc>
          <w:tcPr>
            <w:tcBorders>
              <w:bottom w:val="single"/>
            </w:tcBorders>
            <w:vAlign w:val="bottom"/>
          </w:tcPr>
          <w:p>
            <w:pPr>
              <w:pStyle w:val="Compact"/>
              <w:jc w:val="left"/>
            </w:pPr>
            <w:r>
              <w:t xml:space="preserve">Tier 2 Price (per 1k records)</w:t>
            </w:r>
          </w:p>
        </w:tc>
        <w:tc>
          <w:tcPr>
            <w:tcBorders>
              <w:bottom w:val="single"/>
            </w:tcBorders>
            <w:vAlign w:val="bottom"/>
          </w:tcPr>
          <w:p>
            <w:pPr>
              <w:pStyle w:val="Compact"/>
              <w:jc w:val="left"/>
            </w:pPr>
            <w:r>
              <w:t xml:space="preserve">Example Usage (1M records/month)</w:t>
            </w:r>
          </w:p>
        </w:tc>
        <w:tc>
          <w:tcPr>
            <w:tcBorders>
              <w:bottom w:val="single"/>
            </w:tcBorders>
            <w:vAlign w:val="bottom"/>
          </w:tcPr>
          <w:p>
            <w:pPr>
              <w:pStyle w:val="Compact"/>
              <w:jc w:val="left"/>
            </w:pPr>
            <w:r>
              <w:t xml:space="preserve">Est. Monthly Cost</w:t>
            </w:r>
          </w:p>
        </w:tc>
      </w:tr>
      <w:tr>
        <w:tc>
          <w:p>
            <w:pPr>
              <w:pStyle w:val="Compact"/>
              <w:jc w:val="left"/>
            </w:pPr>
            <w:r>
              <w:rPr>
                <w:b/>
              </w:rPr>
              <w:t xml:space="preserve">Sentiment Analysis</w:t>
            </w:r>
          </w:p>
        </w:tc>
        <w:tc>
          <w:p>
            <w:pPr>
              <w:pStyle w:val="Compact"/>
              <w:jc w:val="left"/>
            </w:pPr>
            <w:r>
              <w:t xml:space="preserve">5,000</w:t>
            </w:r>
          </w:p>
        </w:tc>
        <w:tc>
          <w:p>
            <w:pPr>
              <w:pStyle w:val="Compact"/>
              <w:jc w:val="left"/>
            </w:pPr>
            <w:r>
              <w:t xml:space="preserve">$1.00</w:t>
            </w:r>
          </w:p>
        </w:tc>
        <w:tc>
          <w:p>
            <w:pPr>
              <w:pStyle w:val="Compact"/>
              <w:jc w:val="left"/>
            </w:pPr>
            <w:r>
              <w:t xml:space="preserve">$0.50 (after 2.5M)</w:t>
            </w:r>
          </w:p>
        </w:tc>
        <w:tc>
          <w:p>
            <w:pPr>
              <w:pStyle w:val="Compact"/>
              <w:jc w:val="left"/>
            </w:pPr>
            <w:r>
              <w:t xml:space="preserve">1M records</w:t>
            </w:r>
          </w:p>
        </w:tc>
        <w:tc>
          <w:p>
            <w:pPr>
              <w:pStyle w:val="Compact"/>
              <w:jc w:val="left"/>
            </w:pPr>
            <w:r>
              <w:t xml:space="preserve">$995.00</w:t>
            </w:r>
          </w:p>
        </w:tc>
      </w:tr>
      <w:tr>
        <w:tc>
          <w:p>
            <w:pPr>
              <w:pStyle w:val="Compact"/>
              <w:jc w:val="left"/>
            </w:pPr>
            <w:r>
              <w:rPr>
                <w:b/>
              </w:rPr>
              <w:t xml:space="preserve">Key Phrase Extraction</w:t>
            </w:r>
          </w:p>
        </w:tc>
        <w:tc>
          <w:p>
            <w:pPr>
              <w:pStyle w:val="Compact"/>
              <w:jc w:val="left"/>
            </w:pPr>
            <w:r>
              <w:t xml:space="preserve">5,000</w:t>
            </w:r>
          </w:p>
        </w:tc>
        <w:tc>
          <w:p>
            <w:pPr>
              <w:pStyle w:val="Compact"/>
              <w:jc w:val="left"/>
            </w:pPr>
            <w:r>
              <w:t xml:space="preserve">$1.00</w:t>
            </w:r>
          </w:p>
        </w:tc>
        <w:tc>
          <w:p>
            <w:pPr>
              <w:pStyle w:val="Compact"/>
              <w:jc w:val="left"/>
            </w:pPr>
            <w:r>
              <w:t xml:space="preserve">$0.50 (after 2.5M)</w:t>
            </w:r>
          </w:p>
        </w:tc>
        <w:tc>
          <w:p>
            <w:pPr>
              <w:pStyle w:val="Compact"/>
              <w:jc w:val="left"/>
            </w:pPr>
            <w:r>
              <w:t xml:space="preserve">1M records</w:t>
            </w:r>
          </w:p>
        </w:tc>
        <w:tc>
          <w:p>
            <w:pPr>
              <w:pStyle w:val="Compact"/>
              <w:jc w:val="left"/>
            </w:pPr>
            <w:r>
              <w:t xml:space="preserve">$995.00</w:t>
            </w:r>
          </w:p>
        </w:tc>
      </w:tr>
      <w:tr>
        <w:tc>
          <w:p>
            <w:pPr>
              <w:pStyle w:val="Compact"/>
              <w:jc w:val="left"/>
            </w:pPr>
            <w:r>
              <w:rPr>
                <w:b/>
              </w:rPr>
              <w:t xml:space="preserve">Language Detection</w:t>
            </w:r>
          </w:p>
        </w:tc>
        <w:tc>
          <w:p>
            <w:pPr>
              <w:pStyle w:val="Compact"/>
              <w:jc w:val="left"/>
            </w:pPr>
            <w:r>
              <w:t xml:space="preserve">5,000</w:t>
            </w:r>
          </w:p>
        </w:tc>
        <w:tc>
          <w:p>
            <w:pPr>
              <w:pStyle w:val="Compact"/>
              <w:jc w:val="left"/>
            </w:pPr>
            <w:r>
              <w:t xml:space="preserve">$0.50</w:t>
            </w:r>
          </w:p>
        </w:tc>
        <w:tc>
          <w:p>
            <w:pPr>
              <w:pStyle w:val="Compact"/>
              <w:jc w:val="left"/>
            </w:pPr>
            <w:r>
              <w:t xml:space="preserve">$0.25 (after 2.5M)</w:t>
            </w:r>
          </w:p>
        </w:tc>
        <w:tc>
          <w:p>
            <w:pPr>
              <w:pStyle w:val="Compact"/>
              <w:jc w:val="left"/>
            </w:pPr>
            <w:r>
              <w:t xml:space="preserve">1M records</w:t>
            </w:r>
          </w:p>
        </w:tc>
        <w:tc>
          <w:p>
            <w:pPr>
              <w:pStyle w:val="Compact"/>
              <w:jc w:val="left"/>
            </w:pPr>
            <w:r>
              <w:t xml:space="preserve">$497.50</w:t>
            </w:r>
          </w:p>
        </w:tc>
      </w:tr>
      <w:tr>
        <w:tc>
          <w:p>
            <w:pPr>
              <w:pStyle w:val="Compact"/>
              <w:jc w:val="left"/>
            </w:pPr>
            <w:r>
              <w:rPr>
                <w:b/>
              </w:rPr>
              <w:t xml:space="preserve">Named Entity Recognition</w:t>
            </w:r>
          </w:p>
        </w:tc>
        <w:tc>
          <w:p>
            <w:pPr>
              <w:pStyle w:val="Compact"/>
              <w:jc w:val="left"/>
            </w:pPr>
            <w:r>
              <w:t xml:space="preserve">5,000</w:t>
            </w:r>
          </w:p>
        </w:tc>
        <w:tc>
          <w:p>
            <w:pPr>
              <w:pStyle w:val="Compact"/>
              <w:jc w:val="left"/>
            </w:pPr>
            <w:r>
              <w:t xml:space="preserve">$2.00</w:t>
            </w:r>
          </w:p>
        </w:tc>
        <w:tc>
          <w:p>
            <w:pPr>
              <w:pStyle w:val="Compact"/>
              <w:jc w:val="left"/>
            </w:pPr>
            <w:r>
              <w:t xml:space="preserve">$1.00 (after 2.5M)</w:t>
            </w:r>
          </w:p>
        </w:tc>
        <w:tc>
          <w:p>
            <w:pPr>
              <w:pStyle w:val="Compact"/>
              <w:jc w:val="left"/>
            </w:pPr>
            <w:r>
              <w:t xml:space="preserve">1M records</w:t>
            </w:r>
          </w:p>
        </w:tc>
        <w:tc>
          <w:p>
            <w:pPr>
              <w:pStyle w:val="Compact"/>
              <w:jc w:val="left"/>
            </w:pPr>
            <w:r>
              <w:t xml:space="preserve">$1,990.00</w:t>
            </w:r>
          </w:p>
        </w:tc>
      </w:tr>
      <w:tr>
        <w:tc>
          <w:p>
            <w:pPr>
              <w:pStyle w:val="Compact"/>
              <w:jc w:val="left"/>
            </w:pPr>
            <w:r>
              <w:rPr>
                <w:b/>
              </w:rPr>
              <w:t xml:space="preserve">Summarization (Abstractive)</w:t>
            </w:r>
          </w:p>
        </w:tc>
        <w:tc>
          <w:p>
            <w:pPr>
              <w:pStyle w:val="Compact"/>
              <w:jc w:val="left"/>
            </w:pPr>
            <w:r>
              <w:t xml:space="preserve">0</w:t>
            </w:r>
          </w:p>
        </w:tc>
        <w:tc>
          <w:p>
            <w:pPr>
              <w:pStyle w:val="Compact"/>
              <w:jc w:val="left"/>
            </w:pPr>
            <w:r>
              <w:t xml:space="preserve">$5.00</w:t>
            </w:r>
          </w:p>
        </w:tc>
        <w:tc>
          <w:p>
            <w:pPr>
              <w:pStyle w:val="Compact"/>
              <w:jc w:val="left"/>
            </w:pPr>
            <w:r>
              <w:t xml:space="preserve">$2.50 (after 2.5M)</w:t>
            </w:r>
          </w:p>
        </w:tc>
        <w:tc>
          <w:p>
            <w:pPr>
              <w:pStyle w:val="Compact"/>
              <w:jc w:val="left"/>
            </w:pPr>
            <w:r>
              <w:t xml:space="preserve">1M records</w:t>
            </w:r>
          </w:p>
        </w:tc>
        <w:tc>
          <w:p>
            <w:pPr>
              <w:pStyle w:val="Compact"/>
              <w:jc w:val="left"/>
            </w:pPr>
            <w:r>
              <w:t xml:space="preserve">$4,990.00</w:t>
            </w:r>
          </w:p>
        </w:tc>
      </w:tr>
    </w:tbl>
    <w:p>
      <w:pPr>
        <w:pStyle w:val="BodyText"/>
        <w:spacing w:line="480" w:lineRule="auto"/>
        <w:ind w:firstLine="720"/>
        <w:jc w:val="both"/>
      </w:pPr>
      <w:r>
        <w:rPr>
          <w:i/>
        </w:rPr>
        <w:t xml:space="preserve">Note: Pricing is hypothetical and simplified for illustration. Tier 1 applies to the first 2.5 million records beyond the free tier, Tier 2 applies thereafter.</w:t>
      </w:r>
      <w:r>
        <w:rPr>
          <w:i/>
        </w:rPr>
        <w:t xml:space="preserve"> </w:t>
      </w:r>
      <w:r>
        <w:rPr>
          <w:i/>
        </w:rPr>
        <w:t xml:space="preserve">“</w:t>
      </w:r>
      <w:r>
        <w:rPr>
          <w:i/>
        </w:rPr>
        <w:t xml:space="preserve">Text Records</w:t>
      </w:r>
      <w:r>
        <w:rPr>
          <w:i/>
        </w:rPr>
        <w:t xml:space="preserve">”</w:t>
      </w:r>
      <w:r>
        <w:rPr>
          <w:i/>
        </w:rPr>
        <w:t xml:space="preserve"> </w:t>
      </w:r>
      <w:r>
        <w:rPr>
          <w:i/>
        </w:rPr>
        <w:t xml:space="preserve">often refer to a unit of text up to a certain character limit (e.g., 5,000 characters). This table illustrates the varying costs based on the complexity of the AI task and volume discounts.</w:t>
      </w:r>
    </w:p>
    <w:p>
      <w:pPr>
        <w:pStyle w:val="Heading3"/>
      </w:pPr>
      <w:bookmarkStart w:id="108" w:name="X434deb57b70be6e0e799b15cee5834fbe61a4c2"/>
      <w:r>
        <w:t xml:space="preserve">C.3 Value-Based Pricing Projections: AI Fraud Detection</w:t>
      </w:r>
      <w:bookmarkEnd w:id="108"/>
    </w:p>
    <w:p>
      <w:pPr>
        <w:pStyle w:val="FirstParagraph"/>
        <w:spacing w:line="480" w:lineRule="auto"/>
        <w:ind w:firstLine="720"/>
        <w:jc w:val="both"/>
      </w:pPr>
      <w:r>
        <w:t xml:space="preserve">This table outlines a hypothetical value-based pricing model for an AI-powered fraud detection system, where pricing is partially tied to the value generated for the client.</w:t>
      </w:r>
    </w:p>
    <w:p>
      <w:pPr>
        <w:pStyle w:val="BodyText"/>
        <w:spacing w:line="480" w:lineRule="auto"/>
        <w:ind w:firstLine="720"/>
        <w:jc w:val="both"/>
      </w:pPr>
      <w:r>
        <w:rPr>
          <w:b/>
        </w:rPr>
        <w:t xml:space="preserve">Table C.3: Hypothetical Value-Based Pricing for AI Fraud Detection System</w:t>
      </w:r>
    </w:p>
    <w:tbl>
      <w:tblPr>
        <w:tblStyle w:val="Table"/>
        <w:tblW w:type="pct" w:w="5000.0"/>
        <w:tblLook w:firstRow="1"/>
      </w:tblPr>
      <w:tblGrid>
        <w:gridCol w:w="1550"/>
        <w:gridCol w:w="996"/>
        <w:gridCol w:w="1606"/>
        <w:gridCol w:w="1550"/>
        <w:gridCol w:w="1218"/>
        <w:gridCol w:w="996"/>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(No AI)</w:t>
            </w:r>
          </w:p>
        </w:tc>
        <w:tc>
          <w:tcPr>
            <w:tcBorders>
              <w:bottom w:val="single"/>
            </w:tcBorders>
            <w:vAlign w:val="bottom"/>
          </w:tcPr>
          <w:p>
            <w:pPr>
              <w:pStyle w:val="Compact"/>
              <w:jc w:val="left"/>
            </w:pPr>
            <w:r>
              <w:t xml:space="preserve">AI Intervention (Projected)</w:t>
            </w:r>
          </w:p>
        </w:tc>
        <w:tc>
          <w:tcPr>
            <w:tcBorders>
              <w:bottom w:val="single"/>
            </w:tcBorders>
            <w:vAlign w:val="bottom"/>
          </w:tcPr>
          <w:p>
            <w:pPr>
              <w:pStyle w:val="Compact"/>
              <w:jc w:val="left"/>
            </w:pPr>
            <w:r>
              <w:t xml:space="preserve">Value Generated (Annually)</w:t>
            </w:r>
          </w:p>
        </w:tc>
        <w:tc>
          <w:tcPr>
            <w:tcBorders>
              <w:bottom w:val="single"/>
            </w:tcBorders>
            <w:vAlign w:val="bottom"/>
          </w:tcPr>
          <w:p>
            <w:pPr>
              <w:pStyle w:val="Compact"/>
              <w:jc w:val="left"/>
            </w:pPr>
            <w:r>
              <w:t xml:space="preserve">AI Pricing Component</w:t>
            </w:r>
          </w:p>
        </w:tc>
        <w:tc>
          <w:tcPr>
            <w:tcBorders>
              <w:bottom w:val="single"/>
            </w:tcBorders>
            <w:vAlign w:val="bottom"/>
          </w:tcPr>
          <w:p>
            <w:pPr>
              <w:pStyle w:val="Compact"/>
              <w:jc w:val="left"/>
            </w:pPr>
            <w:r>
              <w:t xml:space="preserve">Est. Annual Cost</w:t>
            </w:r>
          </w:p>
        </w:tc>
      </w:tr>
      <w:tr>
        <w:tc>
          <w:p>
            <w:pPr>
              <w:pStyle w:val="Compact"/>
              <w:jc w:val="left"/>
            </w:pPr>
            <w:r>
              <w:rPr>
                <w:b/>
              </w:rPr>
              <w:t xml:space="preserve">Fraud Rate (%)</w:t>
            </w:r>
          </w:p>
        </w:tc>
        <w:tc>
          <w:p>
            <w:pPr>
              <w:pStyle w:val="Compact"/>
              <w:jc w:val="left"/>
            </w:pPr>
            <w:r>
              <w:t xml:space="preserve">2.5%</w:t>
            </w:r>
          </w:p>
        </w:tc>
        <w:tc>
          <w:p>
            <w:pPr>
              <w:pStyle w:val="Compact"/>
              <w:jc w:val="left"/>
            </w:pPr>
            <w:r>
              <w:t xml:space="preserve">0.5%</w:t>
            </w:r>
          </w:p>
        </w:tc>
        <w:tc>
          <w:p>
            <w:pPr>
              <w:pStyle w:val="Compact"/>
              <w:jc w:val="left"/>
            </w:pPr>
            <w:r>
              <w:t xml:space="preserve">N/A</w:t>
            </w:r>
          </w:p>
        </w:tc>
        <w:tc>
          <w:p>
            <w:pPr>
              <w:pStyle w:val="Compact"/>
              <w:jc w:val="left"/>
            </w:pPr>
            <w:r>
              <w:t xml:space="preserve">N/A</w:t>
            </w:r>
          </w:p>
        </w:tc>
        <w:tc>
          <w:p>
            <w:pPr>
              <w:pStyle w:val="Compact"/>
              <w:jc w:val="left"/>
            </w:pPr>
            <w:r>
              <w:t xml:space="preserve">N/A</w:t>
            </w:r>
          </w:p>
        </w:tc>
      </w:tr>
      <w:tr>
        <w:tc>
          <w:p>
            <w:pPr>
              <w:pStyle w:val="Compact"/>
              <w:jc w:val="left"/>
            </w:pPr>
            <w:r>
              <w:rPr>
                <w:b/>
              </w:rPr>
              <w:t xml:space="preserve">Annual Transaction Volume</w:t>
            </w:r>
          </w:p>
        </w:tc>
        <w:tc>
          <w:p>
            <w:pPr>
              <w:pStyle w:val="Compact"/>
              <w:jc w:val="left"/>
            </w:pPr>
            <w:r>
              <w:t xml:space="preserve">$100M</w:t>
            </w:r>
          </w:p>
        </w:tc>
        <w:tc>
          <w:p>
            <w:pPr>
              <w:pStyle w:val="Compact"/>
              <w:jc w:val="left"/>
            </w:pPr>
            <w:r>
              <w:t xml:space="preserve">$100M</w:t>
            </w:r>
          </w:p>
        </w:tc>
        <w:tc>
          <w:p>
            <w:pPr>
              <w:pStyle w:val="Compact"/>
              <w:jc w:val="left"/>
            </w:pPr>
            <w:r>
              <w:t xml:space="preserve">N/A</w:t>
            </w:r>
          </w:p>
        </w:tc>
        <w:tc>
          <w:p>
            <w:pPr>
              <w:pStyle w:val="Compact"/>
              <w:jc w:val="left"/>
            </w:pPr>
            <w:r>
              <w:t xml:space="preserve">N/A</w:t>
            </w:r>
          </w:p>
        </w:tc>
        <w:tc>
          <w:p>
            <w:pPr>
              <w:pStyle w:val="Compact"/>
              <w:jc w:val="left"/>
            </w:pPr>
            <w:r>
              <w:t xml:space="preserve">N/A</w:t>
            </w:r>
          </w:p>
        </w:tc>
      </w:tr>
      <w:tr>
        <w:tc>
          <w:p>
            <w:pPr>
              <w:pStyle w:val="Compact"/>
              <w:jc w:val="left"/>
            </w:pPr>
            <w:r>
              <w:rPr>
                <w:b/>
              </w:rPr>
              <w:t xml:space="preserve">Annual Fraud Loss</w:t>
            </w:r>
          </w:p>
        </w:tc>
        <w:tc>
          <w:p>
            <w:pPr>
              <w:pStyle w:val="Compact"/>
              <w:jc w:val="left"/>
            </w:pPr>
            <w:r>
              <w:t xml:space="preserve">$2.5M</w:t>
            </w:r>
          </w:p>
        </w:tc>
        <w:tc>
          <w:p>
            <w:pPr>
              <w:pStyle w:val="Compact"/>
              <w:jc w:val="left"/>
            </w:pPr>
            <w:r>
              <w:t xml:space="preserve">$0.5M</w:t>
            </w:r>
          </w:p>
        </w:tc>
        <w:tc>
          <w:p>
            <w:pPr>
              <w:pStyle w:val="Compact"/>
              <w:jc w:val="left"/>
            </w:pPr>
            <w:r>
              <w:t xml:space="preserve">N/A</w:t>
            </w:r>
          </w:p>
        </w:tc>
        <w:tc>
          <w:p>
            <w:pPr>
              <w:pStyle w:val="Compact"/>
              <w:jc w:val="left"/>
            </w:pPr>
            <w:r>
              <w:t xml:space="preserve">N/A</w:t>
            </w:r>
          </w:p>
        </w:tc>
        <w:tc>
          <w:p>
            <w:pPr>
              <w:pStyle w:val="Compact"/>
              <w:jc w:val="left"/>
            </w:pPr>
            <w:r>
              <w:t xml:space="preserve">N/A</w:t>
            </w:r>
          </w:p>
        </w:tc>
      </w:tr>
      <w:tr>
        <w:tc>
          <w:p>
            <w:pPr>
              <w:pStyle w:val="Compact"/>
              <w:jc w:val="left"/>
            </w:pPr>
            <w:r>
              <w:rPr>
                <w:b/>
              </w:rPr>
              <w:t xml:space="preserve">Annual Fraud Prevention</w:t>
            </w:r>
          </w:p>
        </w:tc>
        <w:tc>
          <w:p>
            <w:pPr>
              <w:pStyle w:val="Compact"/>
              <w:jc w:val="left"/>
            </w:pPr>
            <w:r>
              <w:t xml:space="preserve">N/A</w:t>
            </w:r>
          </w:p>
        </w:tc>
        <w:tc>
          <w:p>
            <w:pPr>
              <w:pStyle w:val="Compact"/>
              <w:jc w:val="left"/>
            </w:pPr>
            <w:r>
              <w:t xml:space="preserve">$2.0M</w:t>
            </w:r>
          </w:p>
        </w:tc>
        <w:tc>
          <w:p>
            <w:pPr>
              <w:pStyle w:val="Compact"/>
              <w:jc w:val="left"/>
            </w:pPr>
            <w:r>
              <w:t xml:space="preserve">$2.0M</w:t>
            </w:r>
          </w:p>
        </w:tc>
        <w:tc>
          <w:p>
            <w:pPr>
              <w:pStyle w:val="Compact"/>
              <w:jc w:val="left"/>
            </w:pPr>
            <w:r>
              <w:t xml:space="preserve">10% of savings</w:t>
            </w:r>
          </w:p>
        </w:tc>
        <w:tc>
          <w:p>
            <w:pPr>
              <w:pStyle w:val="Compact"/>
              <w:jc w:val="left"/>
            </w:pPr>
            <w:r>
              <w:t xml:space="preserve">$200,000</w:t>
            </w:r>
          </w:p>
        </w:tc>
      </w:tr>
      <w:tr>
        <w:tc>
          <w:p>
            <w:pPr>
              <w:pStyle w:val="Compact"/>
              <w:jc w:val="left"/>
            </w:pPr>
            <w:r>
              <w:rPr>
                <w:b/>
              </w:rPr>
              <w:t xml:space="preserve">Operational Efficiency Gain</w:t>
            </w:r>
          </w:p>
        </w:tc>
        <w:tc>
          <w:p>
            <w:pPr>
              <w:pStyle w:val="Compact"/>
              <w:jc w:val="left"/>
            </w:pPr>
            <w:r>
              <w:t xml:space="preserve">N/A</w:t>
            </w:r>
          </w:p>
        </w:tc>
        <w:tc>
          <w:p>
            <w:pPr>
              <w:pStyle w:val="Compact"/>
              <w:jc w:val="left"/>
            </w:pPr>
            <w:r>
              <w:t xml:space="preserve">2,000 staff-hours</w:t>
            </w:r>
          </w:p>
        </w:tc>
        <w:tc>
          <w:p>
            <w:pPr>
              <w:pStyle w:val="Compact"/>
              <w:jc w:val="left"/>
            </w:pPr>
            <w:r>
              <w:t xml:space="preserve">$100,000</w:t>
            </w:r>
          </w:p>
        </w:tc>
        <w:tc>
          <w:p>
            <w:pPr>
              <w:pStyle w:val="Compact"/>
              <w:jc w:val="left"/>
            </w:pPr>
            <w:r>
              <w:t xml:space="preserve">Fixed Fee Component</w:t>
            </w:r>
          </w:p>
        </w:tc>
        <w:tc>
          <w:p>
            <w:pPr>
              <w:pStyle w:val="Compact"/>
              <w:jc w:val="left"/>
            </w:pPr>
            <w:r>
              <w:t xml:space="preserve">$50,000</w:t>
            </w:r>
          </w:p>
        </w:tc>
      </w:tr>
      <w:tr>
        <w:tc>
          <w:p>
            <w:pPr>
              <w:pStyle w:val="Compact"/>
              <w:jc w:val="left"/>
            </w:pPr>
            <w:r>
              <w:rPr>
                <w:b/>
              </w:rPr>
              <w:t xml:space="preserve">Base Subscription Fee</w:t>
            </w:r>
          </w:p>
        </w:tc>
        <w:tc>
          <w:p>
            <w:pPr>
              <w:pStyle w:val="Compact"/>
              <w:jc w:val="left"/>
            </w:pPr>
            <w:r>
              <w:t xml:space="preserve">N/A</w:t>
            </w:r>
          </w:p>
        </w:tc>
        <w:tc>
          <w:p>
            <w:pPr>
              <w:pStyle w:val="Compact"/>
              <w:jc w:val="left"/>
            </w:pPr>
            <w:r>
              <w:t xml:space="preserve">N/A</w:t>
            </w:r>
          </w:p>
        </w:tc>
        <w:tc>
          <w:p>
            <w:pPr>
              <w:pStyle w:val="Compact"/>
              <w:jc w:val="left"/>
            </w:pPr>
            <w:r>
              <w:t xml:space="preserve">N/A</w:t>
            </w:r>
          </w:p>
        </w:tc>
        <w:tc>
          <w:p>
            <w:pPr>
              <w:pStyle w:val="Compact"/>
              <w:jc w:val="left"/>
            </w:pPr>
            <w:r>
              <w:t xml:space="preserve">Annual Fee</w:t>
            </w:r>
          </w:p>
        </w:tc>
        <w:tc>
          <w:p>
            <w:pPr>
              <w:pStyle w:val="Compact"/>
              <w:jc w:val="left"/>
            </w:pPr>
            <w:r>
              <w:t xml:space="preserve">$75,000</w:t>
            </w:r>
          </w:p>
        </w:tc>
      </w:tr>
      <w:tr>
        <w:tc>
          <w:p>
            <w:pPr>
              <w:pStyle w:val="Compact"/>
              <w:jc w:val="left"/>
            </w:pPr>
            <w:r>
              <w:rPr>
                <w:b/>
              </w:rPr>
              <w:t xml:space="preserve">Total Est. Annual Cost</w:t>
            </w:r>
          </w:p>
        </w:tc>
        <w:tc>
          <w:p>
            <w:pPr>
              <w:pStyle w:val="Compact"/>
              <w:jc w:val="left"/>
            </w:pPr>
            <w:r>
              <w:t xml:space="preserve">N/A</w:t>
            </w:r>
          </w:p>
        </w:tc>
        <w:tc>
          <w:p>
            <w:pPr>
              <w:pStyle w:val="Compact"/>
              <w:jc w:val="left"/>
            </w:pPr>
            <w:r>
              <w:t xml:space="preserve">N/A</w:t>
            </w:r>
          </w:p>
        </w:tc>
        <w:tc>
          <w:p>
            <w:pPr>
              <w:pStyle w:val="Compact"/>
              <w:jc w:val="left"/>
            </w:pPr>
            <w:r>
              <w:t xml:space="preserve">N/A</w:t>
            </w:r>
          </w:p>
        </w:tc>
        <w:tc>
          <w:p>
            <w:pPr>
              <w:pStyle w:val="Compact"/>
              <w:jc w:val="left"/>
            </w:pPr>
            <w:r>
              <w:t xml:space="preserve">N/A</w:t>
            </w:r>
          </w:p>
        </w:tc>
        <w:tc>
          <w:p>
            <w:pPr>
              <w:pStyle w:val="Compact"/>
              <w:jc w:val="left"/>
            </w:pPr>
            <w:r>
              <w:t xml:space="preserve">$325,000</w:t>
            </w:r>
          </w:p>
        </w:tc>
      </w:tr>
    </w:tbl>
    <w:p>
      <w:pPr>
        <w:pStyle w:val="BodyText"/>
        <w:spacing w:line="480" w:lineRule="auto"/>
        <w:ind w:firstLine="720"/>
        <w:jc w:val="both"/>
      </w:pPr>
      <w:r>
        <w:rPr>
          <w:i/>
        </w:rPr>
        <w:t xml:space="preserve">Note: This model combines a base subscription, a fixed fee for efficiency gains, and a performance-based component (percentage of fraud prevention savings). This illustrates how value-based pricing captures a share of the economic benefit delivered, aligning provider and client incentives. The challenge lies in accurately verifying and attributing the value generated.</w:t>
      </w:r>
    </w:p>
    <w:p>
      <w:pPr>
        <w:spacing w:line="480" w:lineRule="auto"/>
        <w:ind w:firstLine="720"/>
        <w:jc w:val="both"/>
      </w:pPr>
      <w:r>
        <w:pict>
          <v:rect style="width:0;height:1.5pt" o:hralign="center" o:hrstd="t" o:hr="t"/>
        </w:pict>
      </w:r>
    </w:p>
    <w:p>
      <w:pPr>
        <w:pStyle w:val="Heading2"/>
        <w:pageBreakBefore/>
      </w:pPr>
      <w:bookmarkStart w:id="109" w:name="X0d177419c45ae5e7cdf759ecc8e6d744dd4da78"/>
      <w:r>
        <w:t xml:space="preserve">Appendix D: Additional References and Resources</w:t>
      </w:r>
      <w:bookmarkEnd w:id="109"/>
    </w:p>
    <w:p>
      <w:pPr>
        <w:pStyle w:val="FirstParagraph"/>
        <w:spacing w:line="480" w:lineRule="auto"/>
        <w:ind w:firstLine="720"/>
        <w:jc w:val="both"/>
      </w:pPr>
      <w:r>
        <w:t xml:space="preserve">This appendix provides a curated list of supplementary references and resources that expand upon the themes and concepts discussed in the main thesis. These resources offer deeper insights into the economic, technical, ethical, and strategic dimensions of AI pricing models and the broader AI ecosystem.</w:t>
      </w:r>
    </w:p>
    <w:p>
      <w:pPr>
        <w:pStyle w:val="Heading3"/>
      </w:pPr>
      <w:bookmarkStart w:id="110" w:name="Xe68f12f77fe872c81501e8a1f66dcb1540e55e1"/>
      <w:r>
        <w:t xml:space="preserve">D.1 Foundational Texts on AI Economics &amp; Pricing</w:t>
      </w:r>
      <w:bookmarkEnd w:id="110"/>
    </w:p>
    <w:p>
      <w:pPr>
        <w:numPr>
          <w:ilvl w:val="0"/>
          <w:numId w:val="1002"/>
        </w:numPr>
        <w:pStyle w:val="Compact"/>
      </w:pPr>
      <w:r>
        <w:rPr>
          <w:b/>
        </w:rPr>
        <w:t xml:space="preserve">Varian, H. R. (2019).</w:t>
      </w:r>
      <w:r>
        <w:rPr>
          <w:b/>
        </w:rPr>
        <w:t xml:space="preserve"> </w:t>
      </w:r>
      <w:r>
        <w:rPr>
          <w:i/>
          <w:b/>
        </w:rPr>
        <w:t xml:space="preserve">Microeconomic Analysis</w:t>
      </w:r>
      <w:r>
        <w:rPr>
          <w:b/>
        </w:rPr>
        <w:t xml:space="preserve"> </w:t>
      </w:r>
      <w:r>
        <w:rPr>
          <w:b/>
        </w:rPr>
        <w:t xml:space="preserve">(9th ed.). W. W. Norton &amp; Company.</w:t>
      </w:r>
    </w:p>
    <w:p>
      <w:pPr>
        <w:numPr>
          <w:ilvl w:val="0"/>
          <w:numId w:val="1003"/>
        </w:numPr>
        <w:pStyle w:val="Compact"/>
      </w:pPr>
      <w:r>
        <w:rPr>
          <w:i/>
        </w:rPr>
        <w:t xml:space="preserve">Relevance:</w:t>
      </w:r>
      <w:r>
        <w:t xml:space="preserve"> </w:t>
      </w:r>
      <w:r>
        <w:t xml:space="preserve">Provides the fundamental economic principles of pricing, market structures, and consumer behavior, essential for understanding the theoretical underpinnings of AI monetization.</w:t>
      </w:r>
    </w:p>
    <w:p>
      <w:pPr>
        <w:numPr>
          <w:ilvl w:val="0"/>
          <w:numId w:val="1004"/>
        </w:numPr>
        <w:pStyle w:val="Compact"/>
      </w:pPr>
      <w:r>
        <w:rPr>
          <w:b/>
        </w:rPr>
        <w:t xml:space="preserve">Shapiro, C., &amp; Varian, H. R. (1999).</w:t>
      </w:r>
      <w:r>
        <w:rPr>
          <w:b/>
        </w:rPr>
        <w:t xml:space="preserve"> </w:t>
      </w:r>
      <w:r>
        <w:rPr>
          <w:i/>
          <w:b/>
        </w:rPr>
        <w:t xml:space="preserve">Information Rules: A Strategic Guide to the Network Economy</w:t>
      </w:r>
      <w:r>
        <w:rPr>
          <w:b/>
        </w:rPr>
        <w:t xml:space="preserve">. Harvard Business Review Press.</w:t>
      </w:r>
    </w:p>
    <w:p>
      <w:pPr>
        <w:numPr>
          <w:ilvl w:val="0"/>
          <w:numId w:val="1005"/>
        </w:numPr>
        <w:pStyle w:val="Compact"/>
      </w:pPr>
      <w:r>
        <w:rPr>
          <w:i/>
        </w:rPr>
        <w:t xml:space="preserve">Relevance:</w:t>
      </w:r>
      <w:r>
        <w:t xml:space="preserve"> </w:t>
      </w:r>
      <w:r>
        <w:t xml:space="preserve">A classic text on the economics of information and digital products, offering insights into pricing strategies for goods with high fixed costs and low marginal costs, highly relevant to AI services.</w:t>
      </w:r>
    </w:p>
    <w:p>
      <w:pPr>
        <w:numPr>
          <w:ilvl w:val="0"/>
          <w:numId w:val="1006"/>
        </w:numPr>
        <w:pStyle w:val="Compact"/>
      </w:pPr>
      <w:r>
        <w:rPr>
          <w:b/>
        </w:rPr>
        <w:t xml:space="preserve">Goldfarb, A., &amp; Tucker, C. (2019).</w:t>
      </w:r>
      <w:r>
        <w:rPr>
          <w:b/>
        </w:rPr>
        <w:t xml:space="preserve"> </w:t>
      </w:r>
      <w:r>
        <w:rPr>
          <w:i/>
          <w:b/>
        </w:rPr>
        <w:t xml:space="preserve">Prediction Machines: The Simple Economics of Artificial Intelligence</w:t>
      </w:r>
      <w:r>
        <w:rPr>
          <w:b/>
        </w:rPr>
        <w:t xml:space="preserve">. Harvard Business Review Press.</w:t>
      </w:r>
    </w:p>
    <w:p>
      <w:pPr>
        <w:numPr>
          <w:ilvl w:val="0"/>
          <w:numId w:val="1007"/>
        </w:numPr>
        <w:pStyle w:val="Compact"/>
      </w:pPr>
      <w:r>
        <w:rPr>
          <w:i/>
        </w:rPr>
        <w:t xml:space="preserve">Relevance:</w:t>
      </w:r>
      <w:r>
        <w:t xml:space="preserve"> </w:t>
      </w:r>
      <w:r>
        <w:t xml:space="preserve">Explores how AI fundamentally changes the cost of prediction, thereby reshaping economic decisions and business models, providing context for AI’s value creation.</w:t>
      </w:r>
    </w:p>
    <w:p>
      <w:pPr>
        <w:pStyle w:val="Heading3"/>
      </w:pPr>
      <w:bookmarkStart w:id="111" w:name="d.2-key-research-papers-reports"/>
      <w:r>
        <w:t xml:space="preserve">D.2 Key Research Papers &amp; Reports</w:t>
      </w:r>
      <w:bookmarkEnd w:id="111"/>
    </w:p>
    <w:p>
      <w:pPr>
        <w:numPr>
          <w:ilvl w:val="0"/>
          <w:numId w:val="1008"/>
        </w:numPr>
        <w:pStyle w:val="Compact"/>
      </w:pPr>
      <w:r>
        <w:rPr>
          <w:b/>
        </w:rPr>
        <w:t xml:space="preserve">Manyika, J., et al. (2017).</w:t>
      </w:r>
      <w:r>
        <w:rPr>
          <w:b/>
        </w:rPr>
        <w:t xml:space="preserve"> </w:t>
      </w:r>
      <w:r>
        <w:rPr>
          <w:i/>
          <w:b/>
        </w:rPr>
        <w:t xml:space="preserve">Artificial Intelligence: The Next Digital Frontier?</w:t>
      </w:r>
      <w:r>
        <w:rPr>
          <w:b/>
        </w:rPr>
        <w:t xml:space="preserve"> </w:t>
      </w:r>
      <w:r>
        <w:rPr>
          <w:b/>
        </w:rPr>
        <w:t xml:space="preserve">McKinsey Global Institute.</w:t>
      </w:r>
    </w:p>
    <w:p>
      <w:pPr>
        <w:numPr>
          <w:ilvl w:val="0"/>
          <w:numId w:val="1009"/>
        </w:numPr>
        <w:pStyle w:val="Compact"/>
      </w:pPr>
      <w:r>
        <w:rPr>
          <w:i/>
        </w:rPr>
        <w:t xml:space="preserve">Relevance:</w:t>
      </w:r>
      <w:r>
        <w:t xml:space="preserve"> </w:t>
      </w:r>
      <w:r>
        <w:t xml:space="preserve">A foundational report on the economic impact and adoption of AI across industries, offering broad context for AI’s value proposition and market dynamics.</w:t>
      </w:r>
    </w:p>
    <w:p>
      <w:pPr>
        <w:numPr>
          <w:ilvl w:val="0"/>
          <w:numId w:val="1010"/>
        </w:numPr>
        <w:pStyle w:val="Compact"/>
      </w:pPr>
      <w:r>
        <w:rPr>
          <w:b/>
        </w:rPr>
        <w:t xml:space="preserve">Korinek, A., &amp; Stiglitz, J. E. (2021).</w:t>
      </w:r>
      <w:r>
        <w:rPr>
          <w:b/>
        </w:rPr>
        <w:t xml:space="preserve"> </w:t>
      </w:r>
      <w:r>
        <w:rPr>
          <w:i/>
          <w:b/>
        </w:rPr>
        <w:t xml:space="preserve">Artificial Intelligence and Economic Inequality</w:t>
      </w:r>
      <w:r>
        <w:rPr>
          <w:b/>
        </w:rPr>
        <w:t xml:space="preserve">. NBER Working Paper 28311.</w:t>
      </w:r>
    </w:p>
    <w:p>
      <w:pPr>
        <w:numPr>
          <w:ilvl w:val="0"/>
          <w:numId w:val="1011"/>
        </w:numPr>
        <w:pStyle w:val="Compact"/>
      </w:pPr>
      <w:r>
        <w:rPr>
          <w:i/>
        </w:rPr>
        <w:t xml:space="preserve">Relevance:</w:t>
      </w:r>
      <w:r>
        <w:t xml:space="preserve"> </w:t>
      </w:r>
      <w:r>
        <w:t xml:space="preserve">Delves into the potential for AI to exacerbate or mitigate economic inequality, directly informing the ethical and societal considerations of AI pricing.</w:t>
      </w:r>
    </w:p>
    <w:p>
      <w:pPr>
        <w:numPr>
          <w:ilvl w:val="0"/>
          <w:numId w:val="1012"/>
        </w:numPr>
        <w:pStyle w:val="Compact"/>
      </w:pPr>
      <w:r>
        <w:rPr>
          <w:b/>
        </w:rPr>
        <w:t xml:space="preserve">Amodei, D., et al. (2016).</w:t>
      </w:r>
      <w:r>
        <w:rPr>
          <w:b/>
        </w:rPr>
        <w:t xml:space="preserve"> </w:t>
      </w:r>
      <w:r>
        <w:rPr>
          <w:i/>
          <w:b/>
        </w:rPr>
        <w:t xml:space="preserve">Concrete Problems in AI Safety</w:t>
      </w:r>
      <w:r>
        <w:rPr>
          <w:b/>
        </w:rPr>
        <w:t xml:space="preserve">. arXiv:1606.06565.</w:t>
      </w:r>
    </w:p>
    <w:p>
      <w:pPr>
        <w:numPr>
          <w:ilvl w:val="0"/>
          <w:numId w:val="1013"/>
        </w:numPr>
        <w:pStyle w:val="Compact"/>
      </w:pPr>
      <w:r>
        <w:rPr>
          <w:i/>
        </w:rPr>
        <w:t xml:space="preserve">Relevance:</w:t>
      </w:r>
      <w:r>
        <w:t xml:space="preserve"> </w:t>
      </w:r>
      <w:r>
        <w:t xml:space="preserve">Discusses fundamental challenges in ensuring AI safety, which indirectly influences the</w:t>
      </w:r>
      <w:r>
        <w:t xml:space="preserve"> </w:t>
      </w:r>
      <w:r>
        <w:t xml:space="preserve">“</w:t>
      </w:r>
      <w:r>
        <w:t xml:space="preserve">ethical premium</w:t>
      </w:r>
      <w:r>
        <w:t xml:space="preserve">”</w:t>
      </w:r>
      <w:r>
        <w:t xml:space="preserve"> </w:t>
      </w:r>
      <w:r>
        <w:t xml:space="preserve">or risk mitigation costs associated with developing and deploying advanced AI.</w:t>
      </w:r>
    </w:p>
    <w:p>
      <w:pPr>
        <w:numPr>
          <w:ilvl w:val="0"/>
          <w:numId w:val="1014"/>
        </w:numPr>
        <w:pStyle w:val="Compact"/>
      </w:pPr>
      <w:r>
        <w:rPr>
          <w:b/>
        </w:rPr>
        <w:t xml:space="preserve">Hao, K. (2019).</w:t>
      </w:r>
      <w:r>
        <w:rPr>
          <w:b/>
        </w:rPr>
        <w:t xml:space="preserve"> </w:t>
      </w:r>
      <w:r>
        <w:rPr>
          <w:i/>
          <w:b/>
        </w:rPr>
        <w:t xml:space="preserve">Training a single AI model can emit as much carbon as five cars in their lifetimes</w:t>
      </w:r>
      <w:r>
        <w:rPr>
          <w:b/>
        </w:rPr>
        <w:t xml:space="preserve">. MIT Technology Review.</w:t>
      </w:r>
    </w:p>
    <w:p>
      <w:pPr>
        <w:numPr>
          <w:ilvl w:val="0"/>
          <w:numId w:val="1015"/>
        </w:numPr>
        <w:pStyle w:val="Compact"/>
      </w:pPr>
      <w:r>
        <w:rPr>
          <w:i/>
        </w:rPr>
        <w:t xml:space="preserve">Relevance:</w:t>
      </w:r>
      <w:r>
        <w:t xml:space="preserve"> </w:t>
      </w:r>
      <w:r>
        <w:t xml:space="preserve">A seminal article highlighting the environmental impact of AI, providing crucial context for the</w:t>
      </w:r>
      <w:r>
        <w:t xml:space="preserve"> </w:t>
      </w:r>
      <w:r>
        <w:t xml:space="preserve">“</w:t>
      </w:r>
      <w:r>
        <w:t xml:space="preserve">Green AI</w:t>
      </w:r>
      <w:r>
        <w:t xml:space="preserve">”</w:t>
      </w:r>
      <w:r>
        <w:t xml:space="preserve"> </w:t>
      </w:r>
      <w:r>
        <w:t xml:space="preserve">discussion and its integration into pricing models.</w:t>
      </w:r>
    </w:p>
    <w:p>
      <w:pPr>
        <w:pStyle w:val="Heading3"/>
      </w:pPr>
      <w:bookmarkStart w:id="112" w:name="d.3-online-resources-industry-reports"/>
      <w:r>
        <w:t xml:space="preserve">D.3 Online Resources &amp; Industry Reports</w:t>
      </w:r>
      <w:bookmarkEnd w:id="112"/>
    </w:p>
    <w:p>
      <w:pPr>
        <w:numPr>
          <w:ilvl w:val="0"/>
          <w:numId w:val="1016"/>
        </w:numPr>
        <w:pStyle w:val="Compact"/>
      </w:pPr>
      <w:r>
        <w:rPr>
          <w:b/>
        </w:rPr>
      </w:r>
      <w:r/>
      <w:r/>
      <w:hyperlink r:id="rId113">
        <w:r>
          <w:rPr>
            <w:rStyle w:val="Hyperlink"/>
          </w:rPr>
          <w:t xml:space="preserve">https://platform.openai.com/docs/api-reference</w:t>
        </w:r>
      </w:hyperlink>
      <w:r>
        <w:t xml:space="preserve">OpenAI API Documentation: </w:t>
      </w:r>
      <w:hyperlink r:id="rId113">
        <w:r>
          <w:rPr>
            <w:color w:val="0563C1"/>
            <w:u w:val="single"/>
          </w:rPr>
          <w:t>https://platform.openai.com/docs/api-reference</w:t>
        </w:r>
      </w:hyperlink>
    </w:p>
    <w:p>
      <w:pPr>
        <w:numPr>
          <w:ilvl w:val="0"/>
          <w:numId w:val="1016"/>
        </w:numPr>
        <w:pStyle w:val="Compact"/>
      </w:pPr>
      <w:r>
        <w:rPr>
          <w:i/>
        </w:rPr>
        <w:t xml:space="preserve">Description:</w:t>
      </w:r>
      <w:r>
        <w:t xml:space="preserve"> </w:t>
      </w:r>
      <w:r>
        <w:t xml:space="preserve">Official documentation for OpenAI’s API, including detailed pricing information for various models and tokenization specifics.</w:t>
      </w:r>
    </w:p>
    <w:p>
      <w:pPr>
        <w:numPr>
          <w:ilvl w:val="0"/>
          <w:numId w:val="1016"/>
        </w:numPr>
        <w:pStyle w:val="Compact"/>
      </w:pPr>
      <w:r>
        <w:rPr>
          <w:b/>
        </w:rPr>
      </w:r>
      <w:r/>
      <w:r/>
      <w:hyperlink r:id="rId114">
        <w:r>
          <w:rPr>
            <w:rStyle w:val="Hyperlink"/>
          </w:rPr>
          <w:t xml:space="preserve">https://www.anthropic.com/pricing</w:t>
        </w:r>
      </w:hyperlink>
      <w:r>
        <w:t xml:space="preserve">Anthropic Claude API Pricing: </w:t>
      </w:r>
      <w:hyperlink r:id="rId114">
        <w:r>
          <w:rPr>
            <w:color w:val="0563C1"/>
            <w:u w:val="single"/>
          </w:rPr>
          <w:t>https://www.anthropic.com/pricing</w:t>
        </w:r>
      </w:hyperlink>
    </w:p>
    <w:p>
      <w:pPr>
        <w:numPr>
          <w:ilvl w:val="0"/>
          <w:numId w:val="1016"/>
        </w:numPr>
        <w:pStyle w:val="Compact"/>
      </w:pPr>
      <w:r>
        <w:rPr>
          <w:i/>
        </w:rPr>
        <w:t xml:space="preserve">Description:</w:t>
      </w:r>
      <w:r>
        <w:t xml:space="preserve"> </w:t>
      </w:r>
      <w:r>
        <w:t xml:space="preserve">Provides up-to-date pricing for Anthropic’s Claude models, including input/output token costs and model differentiation.</w:t>
      </w:r>
    </w:p>
    <w:p>
      <w:pPr>
        <w:numPr>
          <w:ilvl w:val="0"/>
          <w:numId w:val="1016"/>
        </w:numPr>
        <w:pStyle w:val="Compact"/>
      </w:pPr>
      <w:r>
        <w:rPr>
          <w:b/>
        </w:rPr>
      </w:r>
      <w:r/>
      <w:r/>
      <w:hyperlink r:id="rId115">
        <w:r>
          <w:rPr>
            <w:rStyle w:val="Hyperlink"/>
          </w:rPr>
          <w:t xml:space="preserve">https://azure.microsoft.com/en-us/pricing/details/cognitive-services/</w:t>
        </w:r>
      </w:hyperlink>
      <w:r>
        <w:t xml:space="preserve">Azure AI Services Pricing: </w:t>
      </w:r>
      <w:hyperlink r:id="rId115">
        <w:r>
          <w:rPr>
            <w:color w:val="0563C1"/>
            <w:u w:val="single"/>
          </w:rPr>
          <w:t>https://azure.microsoft.com/en-us/pricing/details/cognitive-services/</w:t>
        </w:r>
      </w:hyperlink>
    </w:p>
    <w:p>
      <w:pPr>
        <w:numPr>
          <w:ilvl w:val="0"/>
          <w:numId w:val="1016"/>
        </w:numPr>
        <w:pStyle w:val="Compact"/>
      </w:pPr>
      <w:r>
        <w:rPr>
          <w:i/>
        </w:rPr>
        <w:t xml:space="preserve">Description:</w:t>
      </w:r>
      <w:r>
        <w:t xml:space="preserve"> </w:t>
      </w:r>
      <w:r>
        <w:t xml:space="preserve">Detailed pricing information for Microsoft Azure’s comprehensive suite of AI and Cognitive Services, illustrating usage-based and tiered models.</w:t>
      </w:r>
    </w:p>
    <w:p>
      <w:pPr>
        <w:numPr>
          <w:ilvl w:val="0"/>
          <w:numId w:val="1016"/>
        </w:numPr>
        <w:pStyle w:val="Compact"/>
      </w:pPr>
      <w:r>
        <w:rPr>
          <w:b/>
        </w:rPr>
      </w:r>
      <w:r/>
      <w:r/>
      <w:hyperlink r:id="rId116">
        <w:r>
          <w:rPr>
            <w:rStyle w:val="Hyperlink"/>
          </w:rPr>
          <w:t xml:space="preserve">https://cloud.google.com/products/ai</w:t>
        </w:r>
      </w:hyperlink>
      <w:r>
        <w:t xml:space="preserve">Google Cloud AI Pricing: </w:t>
      </w:r>
      <w:hyperlink r:id="rId116">
        <w:r>
          <w:rPr>
            <w:color w:val="0563C1"/>
            <w:u w:val="single"/>
          </w:rPr>
          <w:t>https://cloud.google.com/products/ai</w:t>
        </w:r>
      </w:hyperlink>
    </w:p>
    <w:p>
      <w:pPr>
        <w:numPr>
          <w:ilvl w:val="0"/>
          <w:numId w:val="1016"/>
        </w:numPr>
        <w:pStyle w:val="Compact"/>
      </w:pPr>
      <w:r>
        <w:rPr>
          <w:i/>
        </w:rPr>
        <w:t xml:space="preserve">Description:</w:t>
      </w:r>
      <w:r>
        <w:t xml:space="preserve"> </w:t>
      </w:r>
      <w:r>
        <w:t xml:space="preserve">Overview of Google Cloud’s AI products and links to specific pricing pages for services like Vertex AI, Vision AI, and Natural Language AI.</w:t>
      </w:r>
    </w:p>
    <w:p>
      <w:pPr>
        <w:numPr>
          <w:ilvl w:val="0"/>
          <w:numId w:val="1016"/>
        </w:numPr>
        <w:pStyle w:val="Compact"/>
      </w:pPr>
      <w:r>
        <w:rPr>
          <w:b/>
        </w:rPr>
      </w:r>
      <w:r/>
      <w:r/>
      <w:hyperlink r:id="rId117">
        <w:r>
          <w:rPr>
            <w:rStyle w:val="Hyperlink"/>
          </w:rPr>
          <w:t xml:space="preserve">https://www.oecd.ai/ai-principles</w:t>
        </w:r>
      </w:hyperlink>
      <w:r>
        <w:t xml:space="preserve">AI Ethics Guidelines and Frameworks (OECD): </w:t>
      </w:r>
      <w:hyperlink r:id="rId117">
        <w:r>
          <w:rPr>
            <w:color w:val="0563C1"/>
            <w:u w:val="single"/>
          </w:rPr>
          <w:t>https://www.oecd.ai/ai-principles</w:t>
        </w:r>
      </w:hyperlink>
    </w:p>
    <w:p>
      <w:pPr>
        <w:numPr>
          <w:ilvl w:val="0"/>
          <w:numId w:val="1016"/>
        </w:numPr>
        <w:pStyle w:val="Compact"/>
      </w:pPr>
      <w:r>
        <w:rPr>
          <w:i/>
        </w:rPr>
        <w:t xml:space="preserve">Description:</w:t>
      </w:r>
      <w:r>
        <w:t xml:space="preserve"> </w:t>
      </w:r>
      <w:r>
        <w:t xml:space="preserve">Provides international guidelines and principles for responsible AI, offering a framework for ethical considerations in AI development and deployment, including pricing.</w:t>
      </w:r>
    </w:p>
    <w:p>
      <w:pPr>
        <w:pStyle w:val="Heading3"/>
      </w:pPr>
      <w:bookmarkStart w:id="118" w:name="Xc4c25606b66f6012850739d30bb75d054decae0"/>
      <w:r>
        <w:t xml:space="preserve">D.4 Software &amp; Tools for AI Cost Management</w:t>
      </w:r>
      <w:bookmarkEnd w:id="118"/>
    </w:p>
    <w:p>
      <w:pPr>
        <w:numPr>
          <w:ilvl w:val="0"/>
          <w:numId w:val="1017"/>
        </w:numPr>
        <w:pStyle w:val="Compact"/>
      </w:pPr>
      <w:r>
        <w:rPr>
          <w:b/>
        </w:rPr>
        <w:t xml:space="preserve">Cloud Cost Management Platforms (e.g., CloudHealth, FinOps tools)</w:t>
      </w:r>
      <w:r>
        <w:t xml:space="preserve">:</w:t>
      </w:r>
    </w:p>
    <w:p>
      <w:pPr>
        <w:numPr>
          <w:ilvl w:val="0"/>
          <w:numId w:val="1017"/>
        </w:numPr>
        <w:pStyle w:val="Compact"/>
      </w:pPr>
      <w:r>
        <w:rPr>
          <w:i/>
        </w:rPr>
        <w:t xml:space="preserve">Description:</w:t>
      </w:r>
      <w:r>
        <w:t xml:space="preserve"> </w:t>
      </w:r>
      <w:r>
        <w:t xml:space="preserve">Tools designed to monitor, optimize, and forecast cloud and AI service expenditures, crucial for managing usage-based and token-based costs.</w:t>
      </w:r>
    </w:p>
    <w:p>
      <w:pPr>
        <w:numPr>
          <w:ilvl w:val="0"/>
          <w:numId w:val="1017"/>
        </w:numPr>
        <w:pStyle w:val="Compact"/>
      </w:pPr>
      <w:r>
        <w:rPr>
          <w:b/>
        </w:rPr>
        <w:t xml:space="preserve">Prompt Engineering Tools / Tokenizers</w:t>
      </w:r>
      <w:r>
        <w:t xml:space="preserve">:</w:t>
      </w:r>
    </w:p>
    <w:p>
      <w:pPr>
        <w:numPr>
          <w:ilvl w:val="0"/>
          <w:numId w:val="1017"/>
        </w:numPr>
        <w:pStyle w:val="Compact"/>
      </w:pPr>
      <w:r>
        <w:rPr>
          <w:i/>
        </w:rPr>
        <w:t xml:space="preserve">Description:</w:t>
      </w:r>
      <w:r>
        <w:t xml:space="preserve"> </w:t>
      </w:r>
      <w:r>
        <w:t xml:space="preserve">Software and libraries (e.g.,</w:t>
      </w:r>
      <w:r>
        <w:t xml:space="preserve"> </w:t>
      </w:r>
      <w:r>
        <w:rPr>
          <w:rStyle w:val="VerbatimChar"/>
        </w:rPr>
        <w:t xml:space="preserve">tiktoken</w:t>
      </w:r>
      <w:r>
        <w:t xml:space="preserve"> </w:t>
      </w:r>
      <w:r>
        <w:t xml:space="preserve">for OpenAI) that help developers estimate token counts for prompts and completions, aiding in cost prediction and optimization.</w:t>
      </w:r>
    </w:p>
    <w:p>
      <w:pPr>
        <w:pStyle w:val="Heading3"/>
      </w:pPr>
      <w:bookmarkStart w:id="119" w:name="X5b737947c76057374e9e53f7a1fe8a3be818919"/>
      <w:r>
        <w:t xml:space="preserve">D.5 Professional Organizations &amp; Initiatives</w:t>
      </w:r>
      <w:bookmarkEnd w:id="119"/>
    </w:p>
    <w:p>
      <w:pPr>
        <w:numPr>
          <w:ilvl w:val="0"/>
          <w:numId w:val="1018"/>
        </w:numPr>
        <w:pStyle w:val="Compact"/>
      </w:pPr>
      <w:r>
        <w:rPr>
          <w:b/>
        </w:rPr>
      </w:r>
      <w:r/>
      <w:r/>
      <w:hyperlink r:id="rId120">
        <w:r>
          <w:rPr>
            <w:rStyle w:val="Hyperlink"/>
          </w:rPr>
          <w:t xml:space="preserve">https://aiethicsinstitute.org/</w:t>
        </w:r>
      </w:hyperlink>
      <w:r>
        <w:t xml:space="preserve">AI Ethics Institute: </w:t>
      </w:r>
      <w:hyperlink r:id="rId120">
        <w:r>
          <w:rPr>
            <w:color w:val="0563C1"/>
            <w:u w:val="single"/>
          </w:rPr>
          <w:t>https://aiethicsinstitute.org/</w:t>
        </w:r>
      </w:hyperlink>
    </w:p>
    <w:p>
      <w:pPr>
        <w:numPr>
          <w:ilvl w:val="0"/>
          <w:numId w:val="1018"/>
        </w:numPr>
        <w:pStyle w:val="Compact"/>
      </w:pPr>
      <w:r>
        <w:rPr>
          <w:i/>
        </w:rPr>
        <w:t xml:space="preserve">Relevance:</w:t>
      </w:r>
      <w:r>
        <w:t xml:space="preserve"> </w:t>
      </w:r>
      <w:r>
        <w:t xml:space="preserve">Focuses on fostering ethical AI development and deployment, providing resources and discussions relevant to responsible AI pricing.</w:t>
      </w:r>
    </w:p>
    <w:p>
      <w:pPr>
        <w:numPr>
          <w:ilvl w:val="0"/>
          <w:numId w:val="1018"/>
        </w:numPr>
        <w:pStyle w:val="Compact"/>
      </w:pPr>
      <w:r>
        <w:rPr>
          <w:b/>
        </w:rPr>
      </w:r>
      <w:r/>
      <w:r/>
      <w:hyperlink r:id="rId121">
        <w:r>
          <w:rPr>
            <w:rStyle w:val="Hyperlink"/>
          </w:rPr>
          <w:t xml:space="preserve">https://partnershiponai.org/</w:t>
        </w:r>
      </w:hyperlink>
      <w:r>
        <w:t xml:space="preserve">Partnership on AI (PAI): </w:t>
      </w:r>
      <w:hyperlink r:id="rId121">
        <w:r>
          <w:rPr>
            <w:color w:val="0563C1"/>
            <w:u w:val="single"/>
          </w:rPr>
          <w:t>https://partnershiponai.org/</w:t>
        </w:r>
      </w:hyperlink>
    </w:p>
    <w:p>
      <w:pPr>
        <w:numPr>
          <w:ilvl w:val="0"/>
          <w:numId w:val="1018"/>
        </w:numPr>
        <w:pStyle w:val="Compact"/>
      </w:pPr>
      <w:r>
        <w:rPr>
          <w:i/>
        </w:rPr>
        <w:t xml:space="preserve">Relevance:</w:t>
      </w:r>
      <w:r>
        <w:t xml:space="preserve"> </w:t>
      </w:r>
      <w:r>
        <w:t xml:space="preserve">A multi-stakeholder organization working to ensure AI benefits humanity, with initiatives on responsible development, safety, and societal impact.</w:t>
      </w:r>
    </w:p>
    <w:p>
      <w:pPr>
        <w:spacing w:line="480" w:lineRule="auto"/>
        <w:ind w:firstLine="720"/>
        <w:jc w:val="both"/>
      </w:pPr>
      <w:r>
        <w:pict>
          <v:rect style="width:0;height:1.5pt" o:hralign="center" o:hrstd="t" o:hr="t"/>
        </w:pict>
      </w:r>
    </w:p>
    <w:p>
      <w:pPr>
        <w:pStyle w:val="Heading2"/>
        <w:pageBreakBefore/>
      </w:pPr>
      <w:bookmarkStart w:id="122" w:name="appendix-e-glossary-of-terms"/>
      <w:r>
        <w:t xml:space="preserve">Appendix E: Glossary of Terms</w:t>
      </w:r>
      <w:bookmarkEnd w:id="122"/>
    </w:p>
    <w:p>
      <w:pPr>
        <w:pStyle w:val="FirstParagraph"/>
        <w:spacing w:line="480" w:lineRule="auto"/>
        <w:ind w:firstLine="720"/>
        <w:jc w:val="both"/>
      </w:pPr>
      <w:r>
        <w:t xml:space="preserve">This glossary defines key technical, economic, and ethical terms used throughout this thesis, providing clarity and a common understanding for readers.</w:t>
      </w:r>
    </w:p>
    <w:p>
      <w:pPr>
        <w:pStyle w:val="BodyText"/>
        <w:spacing w:line="480" w:lineRule="auto"/>
        <w:ind w:firstLine="720"/>
        <w:jc w:val="both"/>
      </w:pPr>
      <w:r>
        <w:rPr>
          <w:b/>
        </w:rPr>
        <w:t xml:space="preserve">Agentic AI</w:t>
      </w:r>
      <w:r>
        <w:t xml:space="preserve">: Artificial intelligence systems capable of autonomous decision-making, goal-setting, planning, and interaction with complex environments, often exhibiting emergent behaviors.</w:t>
      </w:r>
    </w:p>
    <w:p>
      <w:pPr>
        <w:pStyle w:val="BodyText"/>
        <w:spacing w:line="480" w:lineRule="auto"/>
        <w:ind w:firstLine="720"/>
        <w:jc w:val="both"/>
      </w:pPr>
      <w:r>
        <w:rPr>
          <w:b/>
        </w:rPr>
        <w:t xml:space="preserve">Algorithmic Bias</w:t>
      </w:r>
      <w:r>
        <w:t xml:space="preserve">: Systematic and repeatable errors in a computer system that create unfair outcomes, such as favoring one arbitrary group over others, which can be present in AI pricing algorithms.</w:t>
      </w:r>
    </w:p>
    <w:p>
      <w:pPr>
        <w:pStyle w:val="BodyText"/>
        <w:spacing w:line="480" w:lineRule="auto"/>
        <w:ind w:firstLine="720"/>
        <w:jc w:val="both"/>
      </w:pPr>
      <w:r>
        <w:rPr>
          <w:b/>
        </w:rPr>
        <w:t xml:space="preserve">API (Application Programming Interface)</w:t>
      </w:r>
      <w:r>
        <w:t xml:space="preserve">: A set of defined rules that enable different software applications to communicate and interact with each other. Many AI services are consumed via APIs.</w:t>
      </w:r>
    </w:p>
    <w:p>
      <w:pPr>
        <w:pStyle w:val="BodyText"/>
        <w:spacing w:line="480" w:lineRule="auto"/>
        <w:ind w:firstLine="720"/>
        <w:jc w:val="both"/>
      </w:pPr>
      <w:r>
        <w:rPr>
          <w:b/>
        </w:rPr>
        <w:t xml:space="preserve">Black Box Problem</w:t>
      </w:r>
      <w:r>
        <w:t xml:space="preserve">: The challenge of understanding how complex AI models, particularly deep neural networks, arrive at their decisions, making their internal workings opaque and difficult to interpret.</w:t>
      </w:r>
    </w:p>
    <w:p>
      <w:pPr>
        <w:pStyle w:val="BodyText"/>
        <w:spacing w:line="480" w:lineRule="auto"/>
        <w:ind w:firstLine="720"/>
        <w:jc w:val="both"/>
      </w:pPr>
      <w:r>
        <w:rPr>
          <w:b/>
        </w:rPr>
        <w:t xml:space="preserve">Blockchain-Based Data Usage Auditing (BDUA)</w:t>
      </w:r>
      <w:r>
        <w:t xml:space="preserve">: A system that uses blockchain technology to create immutable and verifiable records of how data is accessed and utilized by AI services, enhancing transparency and trust.</w:t>
      </w:r>
    </w:p>
    <w:p>
      <w:pPr>
        <w:pStyle w:val="BodyText"/>
        <w:spacing w:line="480" w:lineRule="auto"/>
        <w:ind w:firstLine="720"/>
        <w:jc w:val="both"/>
      </w:pPr>
      <w:r>
        <w:rPr>
          <w:b/>
        </w:rPr>
        <w:t xml:space="preserve">Cost-Plus Pricing</w:t>
      </w:r>
      <w:r>
        <w:t xml:space="preserve">: A pricing strategy where the price of a product or service is determined by calculating the total cost of production and adding a predetermined profit margin.</w:t>
      </w:r>
    </w:p>
    <w:p>
      <w:pPr>
        <w:pStyle w:val="BodyText"/>
        <w:spacing w:line="480" w:lineRule="auto"/>
        <w:ind w:firstLine="720"/>
        <w:jc w:val="both"/>
      </w:pPr>
      <w:r>
        <w:rPr>
          <w:b/>
        </w:rPr>
        <w:t xml:space="preserve">Context Window</w:t>
      </w:r>
      <w:r>
        <w:t xml:space="preserve">: The maximum number of tokens an AI model (especially an LLM) can consider at any given time for both input (prompt) and output (response) when generating text. Larger context windows typically incur higher computational costs.</w:t>
      </w:r>
    </w:p>
    <w:p>
      <w:pPr>
        <w:pStyle w:val="BodyText"/>
        <w:spacing w:line="480" w:lineRule="auto"/>
        <w:ind w:firstLine="720"/>
        <w:jc w:val="both"/>
      </w:pPr>
      <w:r>
        <w:rPr>
          <w:b/>
        </w:rPr>
        <w:t xml:space="preserve">Customer Lifetime Value (CLV)</w:t>
      </w:r>
      <w:r>
        <w:t xml:space="preserve">: A prediction of the total revenue or profit a business can expect to generate from a customer throughout their relationship. AI pricing models often aim to maximize CLV.</w:t>
      </w:r>
    </w:p>
    <w:p>
      <w:pPr>
        <w:pStyle w:val="BodyText"/>
        <w:spacing w:line="480" w:lineRule="auto"/>
        <w:ind w:firstLine="720"/>
        <w:jc w:val="both"/>
      </w:pPr>
      <w:r>
        <w:rPr>
          <w:b/>
        </w:rPr>
        <w:t xml:space="preserve">Dynamic Pricing</w:t>
      </w:r>
      <w:r>
        <w:t xml:space="preserve">: A pricing strategy where the price of a product or service is adjusted in real-time based on various factors such as demand, supply, time of day, customer segment, or competitor pricing.</w:t>
      </w:r>
    </w:p>
    <w:p>
      <w:pPr>
        <w:pStyle w:val="BodyText"/>
        <w:spacing w:line="480" w:lineRule="auto"/>
        <w:ind w:firstLine="720"/>
        <w:jc w:val="both"/>
      </w:pPr>
      <w:r>
        <w:rPr>
          <w:b/>
        </w:rPr>
        <w:t xml:space="preserve">Edge-Cloud AI</w:t>
      </w:r>
      <w:r>
        <w:t xml:space="preserve">: An architectural approach that distributes AI processing between edge devices (closer to data sources) and centralized cloud infrastructure, optimizing for latency, bandwidth, and computational efficiency.</w:t>
      </w:r>
    </w:p>
    <w:p>
      <w:pPr>
        <w:pStyle w:val="BodyText"/>
        <w:spacing w:line="480" w:lineRule="auto"/>
        <w:ind w:firstLine="720"/>
        <w:jc w:val="both"/>
      </w:pPr>
      <w:r>
        <w:rPr>
          <w:b/>
        </w:rPr>
        <w:t xml:space="preserve">Ethical AI</w:t>
      </w:r>
      <w:r>
        <w:t xml:space="preserve">: Artificial intelligence systems designed and deployed with principles of fairness, transparency, accountability, privacy, and beneficial societal impact in mind.</w:t>
      </w:r>
    </w:p>
    <w:p>
      <w:pPr>
        <w:pStyle w:val="BodyText"/>
        <w:spacing w:line="480" w:lineRule="auto"/>
        <w:ind w:firstLine="720"/>
        <w:jc w:val="both"/>
      </w:pPr>
      <w:r>
        <w:rPr>
          <w:b/>
        </w:rPr>
        <w:t xml:space="preserve">Excessive Pricing</w:t>
      </w:r>
      <w:r>
        <w:t xml:space="preserve">: A term used in antitrust and regulatory contexts to describe prices that are deemed unfairly high, particularly by dominant market players, potentially harming consumers or competition.</w:t>
      </w:r>
    </w:p>
    <w:p>
      <w:pPr>
        <w:pStyle w:val="BodyText"/>
        <w:spacing w:line="480" w:lineRule="auto"/>
        <w:ind w:firstLine="720"/>
        <w:jc w:val="both"/>
      </w:pPr>
      <w:r>
        <w:rPr>
          <w:b/>
        </w:rPr>
        <w:t xml:space="preserve">Explainable AI (XAI)</w:t>
      </w:r>
      <w:r>
        <w:t xml:space="preserve">: A set of techniques that allow human users to understand, interpret, and trust the results and outputs created by machine learning algorithms.</w:t>
      </w:r>
    </w:p>
    <w:p>
      <w:pPr>
        <w:pStyle w:val="BodyText"/>
        <w:spacing w:line="480" w:lineRule="auto"/>
        <w:ind w:firstLine="720"/>
        <w:jc w:val="both"/>
      </w:pPr>
      <w:r>
        <w:rPr>
          <w:b/>
        </w:rPr>
        <w:t xml:space="preserve">Federated Reinforcement Learning</w:t>
      </w:r>
      <w:r>
        <w:t xml:space="preserve">: A machine learning paradigm where multiple decentralized clients collaboratively train a shared model without exchanging their raw data, often used in edge-cloud AI for privacy and efficiency.</w:t>
      </w:r>
    </w:p>
    <w:p>
      <w:pPr>
        <w:pStyle w:val="BodyText"/>
        <w:spacing w:line="480" w:lineRule="auto"/>
        <w:ind w:firstLine="720"/>
        <w:jc w:val="both"/>
      </w:pPr>
      <w:r>
        <w:rPr>
          <w:b/>
        </w:rPr>
        <w:t xml:space="preserve">Freemium Model</w:t>
      </w:r>
      <w:r>
        <w:t xml:space="preserve">: A business strategy where a basic version of a product or service is offered for free, while advanced features, higher usage limits, or premium support are available through paid subscriptions.</w:t>
      </w:r>
    </w:p>
    <w:p>
      <w:pPr>
        <w:pStyle w:val="BodyText"/>
        <w:spacing w:line="480" w:lineRule="auto"/>
        <w:ind w:firstLine="720"/>
        <w:jc w:val="both"/>
      </w:pPr>
      <w:r>
        <w:rPr>
          <w:b/>
        </w:rPr>
        <w:t xml:space="preserve">Generative AI</w:t>
      </w:r>
      <w:r>
        <w:t xml:space="preserve">: A type of artificial intelligence that can create new content, such as text, images, audio, or code, often based on patterns learned from vast datasets. Large Language Models (LLMs) are a prominent example.</w:t>
      </w:r>
    </w:p>
    <w:p>
      <w:pPr>
        <w:pStyle w:val="BodyText"/>
        <w:spacing w:line="480" w:lineRule="auto"/>
        <w:ind w:firstLine="720"/>
        <w:jc w:val="both"/>
      </w:pPr>
      <w:r>
        <w:rPr>
          <w:b/>
        </w:rPr>
        <w:t xml:space="preserve">Green AI</w:t>
      </w:r>
      <w:r>
        <w:t xml:space="preserve">: A movement and set of practices focused on developing and deploying AI systems with reduced environmental impact, primarily by optimizing for energy efficiency and minimizing carbon footprint.</w:t>
      </w:r>
    </w:p>
    <w:p>
      <w:pPr>
        <w:pStyle w:val="BodyText"/>
        <w:spacing w:line="480" w:lineRule="auto"/>
        <w:ind w:firstLine="720"/>
        <w:jc w:val="both"/>
      </w:pPr>
      <w:r>
        <w:rPr>
          <w:b/>
        </w:rPr>
        <w:t xml:space="preserve">Hybrid Pricing Strategy</w:t>
      </w:r>
      <w:r>
        <w:t xml:space="preserve">: A pricing approach that combines elements from two or more distinct pricing models (e.g., subscription + usage-based, freemium + tiered) to leverage their respective strengths and mitigate weaknesses.</w:t>
      </w:r>
    </w:p>
    <w:p>
      <w:pPr>
        <w:pStyle w:val="BodyText"/>
        <w:spacing w:line="480" w:lineRule="auto"/>
        <w:ind w:firstLine="720"/>
        <w:jc w:val="both"/>
      </w:pPr>
      <w:r>
        <w:rPr>
          <w:b/>
        </w:rPr>
        <w:t xml:space="preserve">Large Language Model (LLM)</w:t>
      </w:r>
      <w:r>
        <w:t xml:space="preserve">: A type of generative AI model trained on massive amounts of text data, capable of understanding, generating, and translating human-like text.</w:t>
      </w:r>
    </w:p>
    <w:p>
      <w:pPr>
        <w:pStyle w:val="BodyText"/>
        <w:spacing w:line="480" w:lineRule="auto"/>
        <w:ind w:firstLine="720"/>
        <w:jc w:val="both"/>
      </w:pPr>
      <w:r>
        <w:rPr>
          <w:b/>
        </w:rPr>
        <w:t xml:space="preserve">Machine Learning (ML)</w:t>
      </w:r>
      <w:r>
        <w:t xml:space="preserve">: A subset of AI that enables systems to learn from data, identify patterns, and make decisions with minimal human intervention.</w:t>
      </w:r>
    </w:p>
    <w:p>
      <w:pPr>
        <w:pStyle w:val="BodyText"/>
        <w:spacing w:line="480" w:lineRule="auto"/>
        <w:ind w:firstLine="720"/>
        <w:jc w:val="both"/>
      </w:pPr>
      <w:r>
        <w:rPr>
          <w:b/>
        </w:rPr>
        <w:t xml:space="preserve">Multimodal AI</w:t>
      </w:r>
      <w:r>
        <w:t xml:space="preserve">: AI systems capable of processing and understanding information from multiple modalities, such as text, images, audio, and video, simultaneously.</w:t>
      </w:r>
    </w:p>
    <w:p>
      <w:pPr>
        <w:pStyle w:val="BodyText"/>
        <w:spacing w:line="480" w:lineRule="auto"/>
        <w:ind w:firstLine="720"/>
        <w:jc w:val="both"/>
      </w:pPr>
      <w:r>
        <w:rPr>
          <w:b/>
        </w:rPr>
        <w:t xml:space="preserve">Opacity (of AI)</w:t>
      </w:r>
      <w:r>
        <w:t xml:space="preserve">: Refers to the lack of transparency or interpretability in an AI system’s internal workings or decision-making processes, often associated with</w:t>
      </w:r>
      <w:r>
        <w:t xml:space="preserve"> </w:t>
      </w:r>
      <w:r>
        <w:t xml:space="preserve">“</w:t>
      </w:r>
      <w:r>
        <w:t xml:space="preserve">black box</w:t>
      </w:r>
      <w:r>
        <w:t xml:space="preserve">”</w:t>
      </w:r>
      <w:r>
        <w:t xml:space="preserve"> </w:t>
      </w:r>
      <w:r>
        <w:t xml:space="preserve">models.</w:t>
      </w:r>
    </w:p>
    <w:p>
      <w:pPr>
        <w:pStyle w:val="BodyText"/>
        <w:spacing w:line="480" w:lineRule="auto"/>
        <w:ind w:firstLine="720"/>
        <w:jc w:val="both"/>
      </w:pPr>
      <w:r>
        <w:rPr>
          <w:b/>
        </w:rPr>
        <w:t xml:space="preserve">Prompt Engineering</w:t>
      </w:r>
      <w:r>
        <w:t xml:space="preserve">: The process of carefully designing and refining the input (prompt) given to a generative AI model to elicit desired and high-quality outputs.</w:t>
      </w:r>
    </w:p>
    <w:p>
      <w:pPr>
        <w:pStyle w:val="BodyText"/>
        <w:spacing w:line="480" w:lineRule="auto"/>
        <w:ind w:firstLine="720"/>
        <w:jc w:val="both"/>
      </w:pPr>
      <w:r>
        <w:rPr>
          <w:b/>
        </w:rPr>
        <w:t xml:space="preserve">SaaS (Software-as-a-Service)</w:t>
      </w:r>
      <w:r>
        <w:t xml:space="preserve">: A software distribution model where a third-party provider hosts applications and makes them available to customers over the internet, typically on a subscription basis.</w:t>
      </w:r>
    </w:p>
    <w:p>
      <w:pPr>
        <w:pStyle w:val="BodyText"/>
        <w:spacing w:line="480" w:lineRule="auto"/>
        <w:ind w:firstLine="720"/>
        <w:jc w:val="both"/>
      </w:pPr>
      <w:r>
        <w:rPr>
          <w:b/>
        </w:rPr>
        <w:t xml:space="preserve">Subscription-Based Pricing</w:t>
      </w:r>
      <w:r>
        <w:t xml:space="preserve">: A business model where customers pay a recurring fee (e.g., monthly, annually) for access to a product or service.</w:t>
      </w:r>
    </w:p>
    <w:p>
      <w:pPr>
        <w:pStyle w:val="BodyText"/>
        <w:spacing w:line="480" w:lineRule="auto"/>
        <w:ind w:firstLine="720"/>
        <w:jc w:val="both"/>
      </w:pPr>
      <w:r>
        <w:rPr>
          <w:b/>
        </w:rPr>
        <w:t xml:space="preserve">Token</w:t>
      </w:r>
      <w:r>
        <w:t xml:space="preserve">: The fundamental unit of text or data processed by a large language model. A token can be a word, a subword, or even a single character, depending on the tokenizer used.</w:t>
      </w:r>
    </w:p>
    <w:p>
      <w:pPr>
        <w:pStyle w:val="BodyText"/>
        <w:spacing w:line="480" w:lineRule="auto"/>
        <w:ind w:firstLine="720"/>
        <w:jc w:val="both"/>
      </w:pPr>
      <w:r>
        <w:rPr>
          <w:b/>
        </w:rPr>
        <w:t xml:space="preserve">Token-Based Pricing</w:t>
      </w:r>
      <w:r>
        <w:t xml:space="preserve">: A specific form of usage-based pricing for generative AI, where users are charged based on the number of tokens processed by the AI model for both input and output.</w:t>
      </w:r>
    </w:p>
    <w:p>
      <w:pPr>
        <w:pStyle w:val="BodyText"/>
        <w:spacing w:line="480" w:lineRule="auto"/>
        <w:ind w:firstLine="720"/>
        <w:jc w:val="both"/>
      </w:pPr>
      <w:r>
        <w:rPr>
          <w:b/>
        </w:rPr>
        <w:t xml:space="preserve">Triple Helix Model</w:t>
      </w:r>
      <w:r>
        <w:t xml:space="preserve">: A framework that examines the interactions between university, industry, and government as key drivers of innovation and economic development, relevant to value creation in AI ecosystems.</w:t>
      </w:r>
    </w:p>
    <w:p>
      <w:pPr>
        <w:pStyle w:val="BodyText"/>
        <w:spacing w:line="480" w:lineRule="auto"/>
        <w:ind w:firstLine="720"/>
        <w:jc w:val="both"/>
      </w:pPr>
      <w:r>
        <w:rPr>
          <w:b/>
        </w:rPr>
        <w:t xml:space="preserve">Usage-Based Pricing</w:t>
      </w:r>
      <w:r>
        <w:t xml:space="preserve">: A pricing model where customers are charged based on their actual consumption of a service, rather than a fixed fee or subscription. Also known as pay-as-you-go.</w:t>
      </w:r>
    </w:p>
    <w:p>
      <w:pPr>
        <w:pStyle w:val="BodyText"/>
        <w:spacing w:line="480" w:lineRule="auto"/>
        <w:ind w:firstLine="720"/>
        <w:jc w:val="both"/>
      </w:pPr>
      <w:r>
        <w:rPr>
          <w:b/>
        </w:rPr>
        <w:t xml:space="preserve">Value-Based Pricing</w:t>
      </w:r>
      <w:r>
        <w:t xml:space="preserve">: A strategic pricing approach where the price of a product or service is determined primarily by the customer’s perceived value of that product or service, rather than by the seller’s cost or by competitors’ prices.</w:t>
      </w:r>
    </w:p>
    <w:p>
      <w:pPr>
        <w:spacing w:line="480" w:lineRule="auto"/>
        <w:ind w:firstLine="720"/>
        <w:jc w:val="both"/>
      </w:pPr>
      <w:r>
        <w:pict>
          <v:rect style="width:0;height:1.5pt" o:hralign="center" o:hrstd="t" o:hr="t"/>
        </w:pict>
      </w:r>
    </w:p>
    <w:p>
      <w:pPr>
        <w:pStyle w:val="Heading2"/>
        <w:pageBreakBefore/>
      </w:pPr>
      <w:bookmarkStart w:id="123" w:name="references"/>
      <w:r>
        <w:t xml:space="preserve">References</w:t>
      </w:r>
      <w:bookmarkEnd w:id="123"/>
    </w:p>
    <w:p>
      <w:pPr>
        <w:pStyle w:val="FirstParagraph"/>
        <w:spacing w:line="480" w:lineRule="auto"/>
        <w:ind w:firstLine="720"/>
        <w:jc w:val="both"/>
      </w:pPr>
      <w:r/>
      <w:r/>
      <w:r>
        <w:rPr>
          <w:i/>
        </w:rPr>
      </w:r>
      <w:r/>
      <w:r>
        <w:t xml:space="preserve">Ayata. (2020). Old abuses in new markets? Dealing with excessive pricing by a two-sided platform. Journal of Antitrust Enforcement. </w:t>
      </w:r>
      <w:hyperlink r:id="rId9">
        <w:r>
          <w:rPr>
            <w:color w:val="0563C1"/>
            <w:u w:val="single"/>
          </w:rPr>
          <w:t>https://doi.org/10.1093/jaenfo/jnaa008</w:t>
        </w:r>
      </w:hyperlink>
      <w:r>
        <w:t>.</w:t>
      </w:r>
    </w:p>
    <w:p>
      <w:pPr>
        <w:pStyle w:val="BodyText"/>
        <w:spacing w:line="480" w:lineRule="auto"/>
        <w:ind w:firstLine="720"/>
        <w:jc w:val="both"/>
      </w:pPr>
      <w:r/>
      <w:r/>
      <w:r>
        <w:rPr>
          <w:i/>
        </w:rPr>
      </w:r>
      <w:r/>
      <w:r>
        <w:t xml:space="preserve">Barbere, Martin, Thornton, Harris, &amp; Thompson. (2024). Dynamic Token Hierarchies: Enhancing Large Language Models with a Multi-Tiered Token Processing Framework. TechRxiv. </w:t>
      </w:r>
      <w:hyperlink r:id="rId10">
        <w:r>
          <w:rPr>
            <w:color w:val="0563C1"/>
            <w:u w:val="single"/>
          </w:rPr>
          <w:t>https://doi.org/10.36227/techrxiv.172971998.83622138/v1</w:t>
        </w:r>
      </w:hyperlink>
    </w:p>
    <w:p>
      <w:pPr>
        <w:pStyle w:val="BodyText"/>
        <w:spacing w:line="480" w:lineRule="auto"/>
        <w:ind w:firstLine="720"/>
        <w:jc w:val="both"/>
      </w:pPr>
      <w:r/>
      <w:r/>
      <w:r>
        <w:rPr>
          <w:i/>
        </w:rPr>
      </w:r>
      <w:r/>
      <w:r>
        <w:t xml:space="preserve">Bhuram. (2025). Edge-Cloud AI for Dynamic Pricing in Automotive Aftermarkets: A Federated Reinforcement Learning Approach for Multi-Tier Ecosystems. World Journal of Advanced Engineering and Technology Sciences (WJAETS). </w:t>
      </w:r>
      <w:hyperlink r:id="rId11">
        <w:r>
          <w:rPr>
            <w:color w:val="0563C1"/>
            <w:u w:val="single"/>
          </w:rPr>
          <w:t>https://doi.org/10.30574/wjaets.2025.15.3.0909</w:t>
        </w:r>
      </w:hyperlink>
      <w:r>
        <w:t>.</w:t>
      </w:r>
    </w:p>
    <w:p>
      <w:pPr>
        <w:pStyle w:val="BodyText"/>
        <w:spacing w:line="480" w:lineRule="auto"/>
        <w:ind w:firstLine="720"/>
        <w:jc w:val="both"/>
      </w:pPr>
      <w:r/>
      <w:r/>
      <w:r>
        <w:rPr>
          <w:i/>
        </w:rPr>
      </w:r>
      <w:r/>
      <w:r>
        <w:t xml:space="preserve">De. (2017). API Monetization. Springer. </w:t>
      </w:r>
      <w:hyperlink r:id="rId12">
        <w:r>
          <w:rPr>
            <w:color w:val="0563C1"/>
            <w:u w:val="single"/>
          </w:rPr>
          <w:t>https://doi.org/10.1007/978-1-4842-1305-6_8</w:t>
        </w:r>
      </w:hyperlink>
    </w:p>
    <w:p>
      <w:pPr>
        <w:pStyle w:val="BodyText"/>
        <w:spacing w:line="480" w:lineRule="auto"/>
        <w:ind w:firstLine="720"/>
        <w:jc w:val="both"/>
      </w:pPr>
      <w:r/>
      <w:r/>
      <w:r>
        <w:rPr>
          <w:i/>
        </w:rPr>
      </w:r>
      <w:r/>
      <w:r>
        <w:t xml:space="preserve">Divakaruni, &amp; Navarro. (2024). Technology Adoption and Pricing: Evidence from US Airlines. SSRN. </w:t>
      </w:r>
      <w:hyperlink r:id="rId13">
        <w:r>
          <w:rPr>
            <w:color w:val="0563C1"/>
            <w:u w:val="single"/>
          </w:rPr>
          <w:t>https://doi.org/10.2139/ssrn.4718902</w:t>
        </w:r>
      </w:hyperlink>
    </w:p>
    <w:p>
      <w:pPr>
        <w:pStyle w:val="BodyText"/>
        <w:spacing w:line="480" w:lineRule="auto"/>
        <w:ind w:firstLine="720"/>
        <w:jc w:val="both"/>
      </w:pPr>
      <w:r/>
      <w:r/>
      <w:r>
        <w:rPr>
          <w:i/>
        </w:rPr>
      </w:r>
      <w:r/>
      <w:r>
        <w:t xml:space="preserve">Fang, &amp; Zhou. (2025). Understanding the Impacts of Human-Like Competencies on Users’ Willingness to Pay for Ai Companion Services: A Mixed-Method Approach. SSRN. </w:t>
      </w:r>
      <w:hyperlink r:id="rId14">
        <w:r>
          <w:rPr>
            <w:color w:val="0563C1"/>
            <w:u w:val="single"/>
          </w:rPr>
          <w:t>https://doi.org/10.2139/ssrn.5333712</w:t>
        </w:r>
      </w:hyperlink>
    </w:p>
    <w:p>
      <w:pPr>
        <w:pStyle w:val="BodyText"/>
        <w:spacing w:line="480" w:lineRule="auto"/>
        <w:ind w:firstLine="720"/>
        <w:jc w:val="both"/>
      </w:pPr>
      <w:r/>
      <w:r>
        <w:t xml:space="preserve">Kaaniche, &amp; Laurent. (2018). BDUA: Blockchain-Based Data Usage Auditing. IEEE. </w:t>
      </w:r>
      <w:hyperlink r:id="rId15">
        <w:r>
          <w:rPr>
            <w:color w:val="0563C1"/>
            <w:u w:val="single"/>
          </w:rPr>
          <w:t>https://doi.org/10.1109/cloud.2018.00087</w:t>
        </w:r>
      </w:hyperlink>
    </w:p>
    <w:p>
      <w:pPr>
        <w:pStyle w:val="BodyText"/>
        <w:spacing w:line="480" w:lineRule="auto"/>
        <w:ind w:firstLine="720"/>
        <w:jc w:val="both"/>
      </w:pPr>
      <w:r/>
      <w:r/>
      <w:r>
        <w:rPr>
          <w:i/>
        </w:rPr>
      </w:r>
      <w:r/>
      <w:r>
        <w:t xml:space="preserve">Korinek. (2025). AI Agents for Economic Research. National Bureau of Economic Research (NBER). </w:t>
      </w:r>
      <w:hyperlink r:id="rId16">
        <w:r>
          <w:rPr>
            <w:color w:val="0563C1"/>
            <w:u w:val="single"/>
          </w:rPr>
          <w:t>https://doi.org/10.3386/w34202</w:t>
        </w:r>
      </w:hyperlink>
    </w:p>
    <w:p>
      <w:pPr>
        <w:pStyle w:val="BodyText"/>
        <w:spacing w:line="480" w:lineRule="auto"/>
        <w:ind w:firstLine="720"/>
        <w:jc w:val="both"/>
      </w:pPr>
      <w:r/>
      <w:r>
        <w:t xml:space="preserve">Kshirsagar, More, Lahoti, Adgaonkar, Jain, Ryan, &amp; Kshirsagar. (2021). GREE-COCO: Green Artificial Intelligence Powered Cost Pricing Models for Congestion Control. SciTePress. </w:t>
      </w:r>
      <w:hyperlink r:id="rId17">
        <w:r>
          <w:rPr>
            <w:color w:val="0563C1"/>
            <w:u w:val="single"/>
          </w:rPr>
          <w:t>https://doi.org/10.5220/0010261209160923</w:t>
        </w:r>
      </w:hyperlink>
    </w:p>
    <w:p>
      <w:pPr>
        <w:pStyle w:val="BodyText"/>
        <w:spacing w:line="480" w:lineRule="auto"/>
        <w:ind w:firstLine="720"/>
        <w:jc w:val="both"/>
      </w:pPr>
      <w:r/>
      <w:r/>
      <w:r>
        <w:rPr>
          <w:i/>
        </w:rPr>
      </w:r>
      <w:r/>
      <w:r>
        <w:t xml:space="preserve">Ladas, Kavadias, &amp; Loch. (2019). Product Selling Versus Pay-Per-Use Services: A Strategic Analysis of Competing Business Models. SSRN. </w:t>
      </w:r>
      <w:hyperlink r:id="rId18">
        <w:r>
          <w:rPr>
            <w:color w:val="0563C1"/>
            <w:u w:val="single"/>
          </w:rPr>
          <w:t>https://doi.org/10.2139/ssrn.3356458</w:t>
        </w:r>
      </w:hyperlink>
    </w:p>
    <w:p>
      <w:pPr>
        <w:pStyle w:val="BodyText"/>
        <w:spacing w:line="480" w:lineRule="auto"/>
        <w:ind w:firstLine="720"/>
        <w:jc w:val="both"/>
      </w:pPr>
      <w:r/>
      <w:r/>
      <w:r>
        <w:rPr>
          <w:i/>
        </w:rPr>
      </w:r>
      <w:r/>
      <w:r>
        <w:t xml:space="preserve">Lorente. (2025). Value Creation and Value Capture in AI: A Triple Helix Model. AI Ethics and Society. </w:t>
      </w:r>
      <w:hyperlink r:id="rId19">
        <w:r>
          <w:rPr>
            <w:color w:val="0563C1"/>
            <w:u w:val="single"/>
          </w:rPr>
          <w:t>https://doi.org/10.1609/aies.v8i2.36662</w:t>
        </w:r>
      </w:hyperlink>
      <w:r>
        <w:t>.</w:t>
      </w:r>
    </w:p>
    <w:p>
      <w:pPr>
        <w:pStyle w:val="BodyText"/>
        <w:spacing w:line="480" w:lineRule="auto"/>
        <w:ind w:firstLine="720"/>
        <w:jc w:val="both"/>
      </w:pPr>
      <w:r/>
      <w:r/>
      <w:r>
        <w:rPr>
          <w:i/>
        </w:rPr>
      </w:r>
      <w:r/>
      <w:r>
        <w:t xml:space="preserve">Maguire. (2021). Value selling. Routledge. </w:t>
      </w:r>
      <w:hyperlink r:id="rId20">
        <w:r>
          <w:rPr>
            <w:color w:val="0563C1"/>
            <w:u w:val="single"/>
          </w:rPr>
          <w:t>https://doi.org/10.4324/9781003177937-20</w:t>
        </w:r>
      </w:hyperlink>
    </w:p>
    <w:p>
      <w:pPr>
        <w:pStyle w:val="BodyText"/>
        <w:spacing w:line="480" w:lineRule="auto"/>
        <w:ind w:firstLine="720"/>
        <w:jc w:val="both"/>
      </w:pPr>
      <w:r/>
      <w:r/>
      <w:r>
        <w:rPr>
          <w:i/>
        </w:rPr>
      </w:r>
      <w:r/>
      <w:r>
        <w:t xml:space="preserve">Mirghaderi, Sziron, &amp; Hildt. (2023). Ethics and Transparency Issues in Digital Platforms: An Overview. AI. </w:t>
      </w:r>
      <w:hyperlink r:id="rId21">
        <w:r>
          <w:rPr>
            <w:color w:val="0563C1"/>
            <w:u w:val="single"/>
          </w:rPr>
          <w:t>https://doi.org/10.3390/ai4040042</w:t>
        </w:r>
      </w:hyperlink>
      <w:r>
        <w:t>.</w:t>
      </w:r>
    </w:p>
    <w:p>
      <w:pPr>
        <w:pStyle w:val="BodyText"/>
        <w:spacing w:line="480" w:lineRule="auto"/>
        <w:ind w:firstLine="720"/>
        <w:jc w:val="both"/>
      </w:pPr>
      <w:r/>
      <w:r/>
      <w:r>
        <w:rPr>
          <w:i/>
        </w:rPr>
      </w:r>
      <w:r/>
      <w:r>
        <w:t xml:space="preserve">Niharika, Hareesh, &amp; Ariwa. (2024). Pricing Optimisation Using Predictive Analytics. CRC Press. </w:t>
      </w:r>
      <w:hyperlink r:id="rId22">
        <w:r>
          <w:rPr>
            <w:color w:val="0563C1"/>
            <w:u w:val="single"/>
          </w:rPr>
          <w:t>https://doi.org/10.1201/9781003472544-8</w:t>
        </w:r>
      </w:hyperlink>
    </w:p>
    <w:p>
      <w:pPr>
        <w:pStyle w:val="BodyText"/>
        <w:spacing w:line="480" w:lineRule="auto"/>
        <w:ind w:firstLine="720"/>
        <w:jc w:val="both"/>
      </w:pPr>
      <w:r/>
      <w:r/>
      <w:r>
        <w:rPr>
          <w:i/>
        </w:rPr>
      </w:r>
      <w:r/>
      <w:r>
        <w:t xml:space="preserve">Rudnytskyi. (2022). openai: R Wrapper for OpenAI API. CRAN. </w:t>
      </w:r>
      <w:hyperlink r:id="rId23">
        <w:r>
          <w:rPr>
            <w:color w:val="0563C1"/>
            <w:u w:val="single"/>
          </w:rPr>
          <w:t>https://doi.org/10.32614/cran.package.openai</w:t>
        </w:r>
      </w:hyperlink>
    </w:p>
    <w:p>
      <w:pPr>
        <w:pStyle w:val="BodyText"/>
        <w:spacing w:line="480" w:lineRule="auto"/>
        <w:ind w:firstLine="720"/>
        <w:jc w:val="both"/>
      </w:pPr>
      <w:r/>
      <w:r/>
      <w:r>
        <w:rPr>
          <w:i/>
        </w:rPr>
      </w:r>
      <w:r/>
      <w:r>
        <w:t xml:space="preserve">Satapathi. (2025). Pricing tiers of Azure AI Language Service. Springer. </w:t>
      </w:r>
      <w:hyperlink r:id="rId24">
        <w:r>
          <w:rPr>
            <w:color w:val="0563C1"/>
            <w:u w:val="single"/>
          </w:rPr>
          <w:t>https://doi.org/10.1007/979-8-8688-1333-7_4</w:t>
        </w:r>
      </w:hyperlink>
    </w:p>
    <w:p>
      <w:pPr>
        <w:pStyle w:val="BodyText"/>
        <w:spacing w:line="480" w:lineRule="auto"/>
        <w:ind w:firstLine="720"/>
        <w:jc w:val="both"/>
      </w:pPr>
      <w:r/>
      <w:r/>
      <w:r>
        <w:rPr>
          <w:i/>
        </w:rPr>
      </w:r>
      <w:r/>
      <w:r>
        <w:t xml:space="preserve">Seufert. (2014). Analytics and Freemium Products. Elsevier. </w:t>
      </w:r>
      <w:hyperlink r:id="rId25">
        <w:r>
          <w:rPr>
            <w:color w:val="0563C1"/>
            <w:u w:val="single"/>
          </w:rPr>
          <w:t>https://doi.org/10.1016/b978-0-12-416690-5.00002-6</w:t>
        </w:r>
      </w:hyperlink>
    </w:p>
    <w:p>
      <w:pPr>
        <w:pStyle w:val="BodyText"/>
        <w:spacing w:line="480" w:lineRule="auto"/>
        <w:ind w:firstLine="720"/>
        <w:jc w:val="both"/>
      </w:pPr>
      <w:r/>
      <w:r/>
      <w:r>
        <w:rPr>
          <w:i/>
        </w:rPr>
      </w:r>
      <w:r/>
      <w:r>
        <w:t xml:space="preserve">Siddannavar, Khan, &amp; Takalkar. (2025). Analysis of Psychological Factors Affecting Customer Lifetime Value on SaaS Platforms. International Journal of Financial Management and Research (IJFMR). </w:t>
      </w:r>
      <w:hyperlink r:id="rId26">
        <w:r>
          <w:rPr>
            <w:color w:val="0563C1"/>
            <w:u w:val="single"/>
          </w:rPr>
          <w:t>https://doi.org/10.36948/ijfmr.2025.v07i04.52064</w:t>
        </w:r>
      </w:hyperlink>
      <w:r>
        <w:t>.</w:t>
      </w:r>
    </w:p>
    <w:p>
      <w:pPr>
        <w:pStyle w:val="BodyText"/>
        <w:spacing w:line="480" w:lineRule="auto"/>
        <w:ind w:firstLine="720"/>
        <w:jc w:val="both"/>
      </w:pPr>
      <w:r/>
      <w:r>
        <w:t xml:space="preserve">Trad, &amp; Chehab. (2024). Large Multimodal Agents for Accurate Phishing Detection with Enhanced Token Optimization and Cost Reduction. IEEE. </w:t>
      </w:r>
      <w:hyperlink r:id="rId27">
        <w:r>
          <w:rPr>
            <w:color w:val="0563C1"/>
            <w:u w:val="single"/>
          </w:rPr>
          <w:t>https://doi.org/10.1109/fllm63129.2024.10852444</w:t>
        </w:r>
      </w:hyperlink>
    </w:p>
    <w:sectPr>
      <w:footerReference w:type="default" r:id="rId28"/>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aiethicsinstitute.org/" TargetMode="External"/><Relationship Id="rId115" Type="http://schemas.openxmlformats.org/officeDocument/2006/relationships/hyperlink" Target="https://azure.microsoft.com/en-us/pricing/details/cognitive-services/" TargetMode="External"/><Relationship Id="rId116" Type="http://schemas.openxmlformats.org/officeDocument/2006/relationships/hyperlink" Target="https://cloud.google.com/products/ai" TargetMode="External"/><Relationship Id="rId121" Type="http://schemas.openxmlformats.org/officeDocument/2006/relationships/hyperlink" Target="https://partnershiponai.org/" TargetMode="External"/><Relationship Id="rId113" Type="http://schemas.openxmlformats.org/officeDocument/2006/relationships/hyperlink" Target="https://platform.openai.com/docs/api-reference" TargetMode="External"/><Relationship Id="rId114" Type="http://schemas.openxmlformats.org/officeDocument/2006/relationships/hyperlink" Target="https://www.anthropic.com/pricing" TargetMode="External"/><Relationship Id="rId117" Type="http://schemas.openxmlformats.org/officeDocument/2006/relationships/hyperlink" Target="https://www.oecd.ai/ai-principles" TargetMode="External"/><Relationship Id="rId9" Type="http://schemas.openxmlformats.org/officeDocument/2006/relationships/hyperlink" Target="https://doi.org/10.1093/jaenfo/jnaa008" TargetMode="External"/><Relationship Id="rId10" Type="http://schemas.openxmlformats.org/officeDocument/2006/relationships/hyperlink" Target="https://doi.org/10.36227/techrxiv.172971998.83622138/v1" TargetMode="External"/><Relationship Id="rId11" Type="http://schemas.openxmlformats.org/officeDocument/2006/relationships/hyperlink" Target="https://doi.org/10.30574/wjaets.2025.15.3.0909" TargetMode="External"/><Relationship Id="rId12" Type="http://schemas.openxmlformats.org/officeDocument/2006/relationships/hyperlink" Target="https://doi.org/10.1007/978-1-4842-1305-6_8" TargetMode="External"/><Relationship Id="rId13" Type="http://schemas.openxmlformats.org/officeDocument/2006/relationships/hyperlink" Target="https://doi.org/10.2139/ssrn.4718902" TargetMode="External"/><Relationship Id="rId14" Type="http://schemas.openxmlformats.org/officeDocument/2006/relationships/hyperlink" Target="https://doi.org/10.2139/ssrn.5333712" TargetMode="External"/><Relationship Id="rId15" Type="http://schemas.openxmlformats.org/officeDocument/2006/relationships/hyperlink" Target="https://doi.org/10.1109/cloud.2018.00087" TargetMode="External"/><Relationship Id="rId16" Type="http://schemas.openxmlformats.org/officeDocument/2006/relationships/hyperlink" Target="https://doi.org/10.3386/w34202" TargetMode="External"/><Relationship Id="rId17" Type="http://schemas.openxmlformats.org/officeDocument/2006/relationships/hyperlink" Target="https://doi.org/10.5220/0010261209160923" TargetMode="External"/><Relationship Id="rId18" Type="http://schemas.openxmlformats.org/officeDocument/2006/relationships/hyperlink" Target="https://doi.org/10.2139/ssrn.3356458" TargetMode="External"/><Relationship Id="rId19" Type="http://schemas.openxmlformats.org/officeDocument/2006/relationships/hyperlink" Target="https://doi.org/10.1609/aies.v8i2.36662" TargetMode="External"/><Relationship Id="rId20" Type="http://schemas.openxmlformats.org/officeDocument/2006/relationships/hyperlink" Target="https://doi.org/10.4324/9781003177937-20" TargetMode="External"/><Relationship Id="rId21" Type="http://schemas.openxmlformats.org/officeDocument/2006/relationships/hyperlink" Target="https://doi.org/10.3390/ai4040042" TargetMode="External"/><Relationship Id="rId22" Type="http://schemas.openxmlformats.org/officeDocument/2006/relationships/hyperlink" Target="https://doi.org/10.1201/9781003472544-8" TargetMode="External"/><Relationship Id="rId23" Type="http://schemas.openxmlformats.org/officeDocument/2006/relationships/hyperlink" Target="https://doi.org/10.32614/cran.package.openai" TargetMode="External"/><Relationship Id="rId24" Type="http://schemas.openxmlformats.org/officeDocument/2006/relationships/hyperlink" Target="https://doi.org/10.1007/979-8-8688-1333-7_4" TargetMode="External"/><Relationship Id="rId25" Type="http://schemas.openxmlformats.org/officeDocument/2006/relationships/hyperlink" Target="https://doi.org/10.1016/b978-0-12-416690-5.00002-6" TargetMode="External"/><Relationship Id="rId26" Type="http://schemas.openxmlformats.org/officeDocument/2006/relationships/hyperlink" Target="https://doi.org/10.36948/ijfmr.2025.v07i04.52064" TargetMode="External"/><Relationship Id="rId27" Type="http://schemas.openxmlformats.org/officeDocument/2006/relationships/hyperlink" Target="https://doi.org/10.1109/fllm63129.2024.10852444" TargetMode="External"/><Relationship Id="rId28" Type="http://schemas.openxmlformats.org/officeDocument/2006/relationships/footer" Target="footer1.xml"/></Relationships>
</file>

<file path=word/_rels/footnotes.xml.rels><?xml version='1.0' encoding='UTF-8' standalone='yes'?>
<Relationships xmlns="http://schemas.openxmlformats.org/package/2006/relationships"><Relationship Id="rId120" Type="http://schemas.openxmlformats.org/officeDocument/2006/relationships/hyperlink" Target="https://aiethicsinstitute.org/" TargetMode="External"/><Relationship Id="rId115" Type="http://schemas.openxmlformats.org/officeDocument/2006/relationships/hyperlink" Target="https://azure.microsoft.com/en-us/pricing/details/cognitive-services/" TargetMode="External"/><Relationship Id="rId116" Type="http://schemas.openxmlformats.org/officeDocument/2006/relationships/hyperlink" Target="https://cloud.google.com/products/ai" TargetMode="External"/><Relationship Id="rId121" Type="http://schemas.openxmlformats.org/officeDocument/2006/relationships/hyperlink" Target="https://partnershiponai.org/" TargetMode="External"/><Relationship Id="rId113" Type="http://schemas.openxmlformats.org/officeDocument/2006/relationships/hyperlink" Target="https://platform.openai.com/docs/api-reference" TargetMode="External"/><Relationship Id="rId114" Type="http://schemas.openxmlformats.org/officeDocument/2006/relationships/hyperlink" Target="https://www.anthropic.com/pricing" TargetMode="External"/><Relationship Id="rId117" Type="http://schemas.openxmlformats.org/officeDocument/2006/relationships/hyperlink" Target="https://www.oecd.ai/ai-princi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Models for Agentic AI Systems: From Token-Based to Value-Based Approaches</dc:title>
  <dc:creator>Academic Thesis AI (Multi-Agent System)</dc:creator>
  <cp:keywords/>
  <dcterms:created xsi:type="dcterms:W3CDTF">2025-11-14T19:08:36Z</dcterms:created>
  <dcterms:modified xsi:type="dcterms:W3CDTF">2025-11-14T19:08:36Z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20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134-page thesis on AI pricing models was autonomously written, researched, fact-checked, and formatted by a multi-agent AI system. From literature review to value-based pricing frameworks to case studies—all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comprehensive appendices</vt:lpwstr>
  </property>
  <property fmtid="{D5CDD505-2E9C-101B-9397-08002B2CF9AE}" pid="14" name="word_count">
    <vt:lpwstr>29423 words across 134 pages</vt:lpwstr>
  </property>
</Properties>
</file>