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97D1" w14:textId="2F38590D" w:rsidR="001F5E9A" w:rsidRDefault="00000000">
      <w:pPr>
        <w:spacing w:after="92" w:line="276" w:lineRule="auto"/>
        <w:ind w:left="0" w:firstLine="0"/>
      </w:pPr>
      <w:r>
        <w:rPr>
          <w:rFonts w:cs="Arial"/>
          <w:b/>
          <w:sz w:val="46"/>
        </w:rPr>
        <w:t xml:space="preserve">Modelli di Ottimizzazione del Portafoglio per </w:t>
      </w:r>
      <w:bookmarkStart w:id="0" w:name="OLE_LINK1"/>
      <w:r w:rsidR="00457ABA">
        <w:rPr>
          <w:rFonts w:cs="Arial"/>
          <w:b/>
          <w:sz w:val="46"/>
        </w:rPr>
        <w:t>AURYA</w:t>
      </w:r>
      <w:r>
        <w:rPr>
          <w:rFonts w:cs="Arial"/>
          <w:b/>
          <w:sz w:val="46"/>
        </w:rPr>
        <w:t xml:space="preserve"> </w:t>
      </w:r>
      <w:bookmarkEnd w:id="0"/>
    </w:p>
    <w:p w14:paraId="4301FF32" w14:textId="77777777" w:rsidR="001F5E9A" w:rsidRDefault="00000000">
      <w:pPr>
        <w:pStyle w:val="Heading1"/>
        <w:numPr>
          <w:ilvl w:val="0"/>
          <w:numId w:val="0"/>
        </w:numPr>
        <w:spacing w:after="223"/>
      </w:pPr>
      <w:r>
        <w:rPr>
          <w:sz w:val="26"/>
        </w:rPr>
        <w:t xml:space="preserve">Introduzione </w:t>
      </w:r>
    </w:p>
    <w:p w14:paraId="3EA80BF0" w14:textId="34E79396" w:rsidR="001F5E9A" w:rsidRDefault="00457ABA">
      <w:pPr>
        <w:spacing w:after="248"/>
      </w:pPr>
      <w:r>
        <w:t>AURYA</w:t>
      </w:r>
      <w:r w:rsidR="00000000">
        <w:t xml:space="preserve"> ha l’obiettivo di fornire un sistema di ottimizzazione del portafoglio basato sulla situazione patrimoniale dell’utente (Net Worth), aggregando asset finanziari, conti bancari e beni fisici. </w:t>
      </w:r>
    </w:p>
    <w:p w14:paraId="4FDEC9CF" w14:textId="77777777" w:rsidR="001F5E9A" w:rsidRDefault="00000000">
      <w:pPr>
        <w:spacing w:after="248"/>
      </w:pPr>
      <w:r>
        <w:t xml:space="preserve">La parte di ottimizzazione si basa su modelli quantitativi. Ecco una panoramica dei principali modelli da considerare. </w:t>
      </w:r>
    </w:p>
    <w:p w14:paraId="30F0D8F3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22BFB872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3013C2E9" w14:textId="77777777" w:rsidR="001F5E9A" w:rsidRDefault="00000000">
      <w:pPr>
        <w:spacing w:after="387" w:line="259" w:lineRule="auto"/>
        <w:ind w:left="0" w:firstLine="0"/>
      </w:pPr>
      <w:r>
        <w:rPr>
          <w:rFonts w:cs="Arial"/>
          <w:b/>
          <w:sz w:val="34"/>
        </w:rPr>
        <w:t xml:space="preserve"> </w:t>
      </w:r>
    </w:p>
    <w:p w14:paraId="012921CA" w14:textId="77777777" w:rsidR="001F5E9A" w:rsidRDefault="00000000">
      <w:pPr>
        <w:spacing w:after="387" w:line="259" w:lineRule="auto"/>
        <w:ind w:left="0" w:firstLine="0"/>
      </w:pPr>
      <w:r>
        <w:rPr>
          <w:rFonts w:cs="Arial"/>
          <w:b/>
          <w:sz w:val="34"/>
        </w:rPr>
        <w:t xml:space="preserve"> </w:t>
      </w:r>
    </w:p>
    <w:p w14:paraId="2201FE41" w14:textId="77777777" w:rsidR="001F5E9A" w:rsidRDefault="00000000">
      <w:pPr>
        <w:pStyle w:val="Heading1"/>
        <w:ind w:left="363" w:hanging="378"/>
      </w:pPr>
      <w:r>
        <w:t xml:space="preserve">Markowitz – Mean-Variance Optimization (MVO) </w:t>
      </w:r>
    </w:p>
    <w:p w14:paraId="4183BC1C" w14:textId="77777777" w:rsidR="001F5E9A" w:rsidRDefault="00000000">
      <w:pPr>
        <w:spacing w:after="250"/>
      </w:pPr>
      <w:r>
        <w:t xml:space="preserve">Classico modello basato su rendimenti attesi e covarianza. </w:t>
      </w:r>
    </w:p>
    <w:p w14:paraId="75D461DC" w14:textId="77777777" w:rsidR="001F5E9A" w:rsidRDefault="00000000">
      <w:pPr>
        <w:numPr>
          <w:ilvl w:val="0"/>
          <w:numId w:val="1"/>
        </w:numPr>
        <w:ind w:hanging="360"/>
      </w:pPr>
      <w:r>
        <w:t xml:space="preserve">Semplice, ben noto, base per tutti gli altri </w:t>
      </w:r>
    </w:p>
    <w:p w14:paraId="6FBB3BCA" w14:textId="77777777" w:rsidR="001F5E9A" w:rsidRDefault="00000000">
      <w:pPr>
        <w:numPr>
          <w:ilvl w:val="0"/>
          <w:numId w:val="1"/>
        </w:numPr>
        <w:ind w:hanging="360"/>
      </w:pPr>
      <w:r>
        <w:t xml:space="preserve">Sensibile alle stime dei rendimenti </w:t>
      </w:r>
    </w:p>
    <w:p w14:paraId="7CF1B2C9" w14:textId="77777777" w:rsidR="001F5E9A" w:rsidRDefault="00000000">
      <w:pPr>
        <w:numPr>
          <w:ilvl w:val="0"/>
          <w:numId w:val="1"/>
        </w:numPr>
        <w:spacing w:after="250"/>
        <w:ind w:hanging="360"/>
      </w:pPr>
      <w:r>
        <w:t xml:space="preserve">Non gestisce bene vincoli complessi </w:t>
      </w:r>
    </w:p>
    <w:p w14:paraId="5F64B357" w14:textId="77777777" w:rsidR="001F5E9A" w:rsidRDefault="00000000">
      <w:pPr>
        <w:spacing w:after="258" w:line="259" w:lineRule="auto"/>
        <w:ind w:left="0" w:firstLine="0"/>
      </w:pPr>
      <w:r>
        <w:rPr>
          <w:rFonts w:cs="Arial"/>
          <w:b/>
        </w:rPr>
        <w:t xml:space="preserve"> </w:t>
      </w:r>
    </w:p>
    <w:p w14:paraId="35410738" w14:textId="77777777" w:rsidR="001F5E9A" w:rsidRDefault="00000000">
      <w:pPr>
        <w:pStyle w:val="Heading2"/>
        <w:ind w:left="-5"/>
      </w:pPr>
      <w:r>
        <w:t xml:space="preserve">Utilizzo </w:t>
      </w:r>
    </w:p>
    <w:p w14:paraId="1ABEB76D" w14:textId="77777777" w:rsidR="001F5E9A" w:rsidRDefault="00000000">
      <w:pPr>
        <w:numPr>
          <w:ilvl w:val="0"/>
          <w:numId w:val="2"/>
        </w:numPr>
        <w:ind w:hanging="360"/>
      </w:pPr>
      <w:r>
        <w:t xml:space="preserve">MVP, prima ottimizzazione </w:t>
      </w:r>
    </w:p>
    <w:p w14:paraId="218FA066" w14:textId="77777777" w:rsidR="001F5E9A" w:rsidRDefault="00000000">
      <w:pPr>
        <w:numPr>
          <w:ilvl w:val="0"/>
          <w:numId w:val="2"/>
        </w:numPr>
        <w:ind w:hanging="360"/>
      </w:pPr>
      <w:r>
        <w:t xml:space="preserve">Asset </w:t>
      </w:r>
      <w:proofErr w:type="spellStart"/>
      <w:r>
        <w:t>allocation</w:t>
      </w:r>
      <w:proofErr w:type="spellEnd"/>
      <w:r>
        <w:t xml:space="preserve"> base </w:t>
      </w:r>
    </w:p>
    <w:p w14:paraId="1E092DB1" w14:textId="77777777" w:rsidR="001F5E9A" w:rsidRDefault="00000000">
      <w:pPr>
        <w:numPr>
          <w:ilvl w:val="0"/>
          <w:numId w:val="2"/>
        </w:numPr>
        <w:spacing w:after="250"/>
        <w:ind w:hanging="360"/>
      </w:pPr>
      <w:r>
        <w:t xml:space="preserve">Test portafogli piccoli </w:t>
      </w:r>
    </w:p>
    <w:p w14:paraId="612AA176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3B81149E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6200C8B0" w14:textId="77777777" w:rsidR="001F5E9A" w:rsidRDefault="00000000">
      <w:pPr>
        <w:spacing w:after="0" w:line="259" w:lineRule="auto"/>
        <w:ind w:left="0" w:firstLine="0"/>
      </w:pPr>
      <w:r>
        <w:rPr>
          <w:rFonts w:cs="Arial"/>
          <w:b/>
          <w:sz w:val="34"/>
        </w:rPr>
        <w:t xml:space="preserve"> </w:t>
      </w:r>
    </w:p>
    <w:p w14:paraId="531FF93A" w14:textId="77777777" w:rsidR="001F5E9A" w:rsidRDefault="00000000">
      <w:pPr>
        <w:spacing w:after="387" w:line="259" w:lineRule="auto"/>
        <w:ind w:left="0" w:firstLine="0"/>
      </w:pPr>
      <w:r>
        <w:rPr>
          <w:rFonts w:cs="Arial"/>
          <w:b/>
          <w:sz w:val="34"/>
        </w:rPr>
        <w:t xml:space="preserve"> </w:t>
      </w:r>
    </w:p>
    <w:p w14:paraId="0CA9187D" w14:textId="77777777" w:rsidR="001F5E9A" w:rsidRDefault="00000000">
      <w:pPr>
        <w:pStyle w:val="Heading1"/>
        <w:ind w:left="363" w:hanging="378"/>
      </w:pPr>
      <w:r>
        <w:lastRenderedPageBreak/>
        <w:t xml:space="preserve">Black-Litterman (BL) </w:t>
      </w:r>
    </w:p>
    <w:p w14:paraId="4E1D34E6" w14:textId="77777777" w:rsidR="001F5E9A" w:rsidRDefault="00000000">
      <w:pPr>
        <w:spacing w:after="250"/>
      </w:pPr>
      <w:r>
        <w:t xml:space="preserve">Estensione di </w:t>
      </w:r>
      <w:proofErr w:type="spellStart"/>
      <w:r>
        <w:t>Markowitz</w:t>
      </w:r>
      <w:proofErr w:type="spellEnd"/>
      <w:r>
        <w:t xml:space="preserve"> che incorpora opinioni soggettive (</w:t>
      </w:r>
      <w:proofErr w:type="spellStart"/>
      <w:r>
        <w:t>view</w:t>
      </w:r>
      <w:proofErr w:type="spellEnd"/>
      <w:r>
        <w:t xml:space="preserve"> di mercato). </w:t>
      </w:r>
    </w:p>
    <w:p w14:paraId="51832BF4" w14:textId="77777777" w:rsidR="001F5E9A" w:rsidRDefault="00000000">
      <w:pPr>
        <w:numPr>
          <w:ilvl w:val="0"/>
          <w:numId w:val="3"/>
        </w:numPr>
        <w:ind w:hanging="360"/>
      </w:pPr>
      <w:r>
        <w:t xml:space="preserve">Integra </w:t>
      </w:r>
      <w:proofErr w:type="spellStart"/>
      <w:r>
        <w:t>view</w:t>
      </w:r>
      <w:proofErr w:type="spellEnd"/>
      <w:r>
        <w:t xml:space="preserve"> personali e dati di mercato </w:t>
      </w:r>
    </w:p>
    <w:p w14:paraId="303A05A9" w14:textId="77777777" w:rsidR="001F5E9A" w:rsidRDefault="00000000">
      <w:pPr>
        <w:numPr>
          <w:ilvl w:val="0"/>
          <w:numId w:val="3"/>
        </w:numPr>
        <w:ind w:hanging="360"/>
      </w:pPr>
      <w:r>
        <w:t xml:space="preserve">Stabile, evita portafogli estremi </w:t>
      </w:r>
    </w:p>
    <w:p w14:paraId="3CF7EBF4" w14:textId="77777777" w:rsidR="001F5E9A" w:rsidRDefault="00000000">
      <w:pPr>
        <w:numPr>
          <w:ilvl w:val="0"/>
          <w:numId w:val="3"/>
        </w:numPr>
        <w:spacing w:after="250"/>
        <w:ind w:hanging="360"/>
      </w:pPr>
      <w:r>
        <w:t>Serve definire bene le “</w:t>
      </w:r>
      <w:proofErr w:type="spellStart"/>
      <w:r>
        <w:t>view</w:t>
      </w:r>
      <w:proofErr w:type="spellEnd"/>
      <w:r>
        <w:t xml:space="preserve">” </w:t>
      </w:r>
    </w:p>
    <w:p w14:paraId="0E23B507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0AE488AA" w14:textId="77777777" w:rsidR="001F5E9A" w:rsidRDefault="00000000">
      <w:pPr>
        <w:pStyle w:val="Heading2"/>
        <w:ind w:left="-5"/>
      </w:pPr>
      <w:r>
        <w:t xml:space="preserve">Utilizzo </w:t>
      </w:r>
    </w:p>
    <w:p w14:paraId="7C5BA14B" w14:textId="77777777" w:rsidR="001F5E9A" w:rsidRDefault="00000000">
      <w:pPr>
        <w:numPr>
          <w:ilvl w:val="0"/>
          <w:numId w:val="4"/>
        </w:numPr>
        <w:ind w:hanging="360"/>
      </w:pPr>
      <w:r>
        <w:t xml:space="preserve">Utenti esperti con opinioni </w:t>
      </w:r>
    </w:p>
    <w:p w14:paraId="6247BBA5" w14:textId="77777777" w:rsidR="001F5E9A" w:rsidRDefault="00000000">
      <w:pPr>
        <w:numPr>
          <w:ilvl w:val="0"/>
          <w:numId w:val="4"/>
        </w:numPr>
        <w:spacing w:after="250"/>
        <w:ind w:hanging="360"/>
      </w:pPr>
      <w:r>
        <w:t xml:space="preserve">Scenari macroeconomici </w:t>
      </w:r>
    </w:p>
    <w:p w14:paraId="74F69D74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3403564A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F1224FA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62191B0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00DF0B59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07C2F2EF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5CEE64A2" w14:textId="77777777" w:rsidR="001F5E9A" w:rsidRDefault="00000000">
      <w:pPr>
        <w:pStyle w:val="Heading1"/>
        <w:ind w:left="363" w:hanging="378"/>
      </w:pPr>
      <w:r>
        <w:t xml:space="preserve">CVaR (Conditional Value at Risk) </w:t>
      </w:r>
    </w:p>
    <w:p w14:paraId="40978DD4" w14:textId="77777777" w:rsidR="001F5E9A" w:rsidRDefault="00000000">
      <w:pPr>
        <w:spacing w:after="250"/>
      </w:pPr>
      <w:r>
        <w:t xml:space="preserve">Ottimizzazione orientata alla gestione del rischio di coda. </w:t>
      </w:r>
    </w:p>
    <w:p w14:paraId="1128E0A0" w14:textId="77777777" w:rsidR="001F5E9A" w:rsidRDefault="00000000">
      <w:pPr>
        <w:numPr>
          <w:ilvl w:val="0"/>
          <w:numId w:val="5"/>
        </w:numPr>
        <w:ind w:hanging="360"/>
      </w:pPr>
      <w:r>
        <w:t xml:space="preserve">Minimizza le perdite in scenari estremi </w:t>
      </w:r>
    </w:p>
    <w:p w14:paraId="683E0F19" w14:textId="77777777" w:rsidR="001F5E9A" w:rsidRDefault="00000000">
      <w:pPr>
        <w:numPr>
          <w:ilvl w:val="0"/>
          <w:numId w:val="5"/>
        </w:numPr>
        <w:ind w:hanging="360"/>
      </w:pPr>
      <w:r>
        <w:t xml:space="preserve">Ideale per utenti prudenti </w:t>
      </w:r>
    </w:p>
    <w:p w14:paraId="2FD61C08" w14:textId="77777777" w:rsidR="001F5E9A" w:rsidRDefault="00000000">
      <w:pPr>
        <w:numPr>
          <w:ilvl w:val="0"/>
          <w:numId w:val="5"/>
        </w:numPr>
        <w:spacing w:after="250"/>
        <w:ind w:hanging="360"/>
      </w:pPr>
      <w:r>
        <w:t xml:space="preserve">Più costoso </w:t>
      </w:r>
      <w:proofErr w:type="spellStart"/>
      <w:r>
        <w:t>computazionalmente</w:t>
      </w:r>
      <w:proofErr w:type="spellEnd"/>
      <w:r>
        <w:t xml:space="preserve"> </w:t>
      </w:r>
    </w:p>
    <w:p w14:paraId="43FE329A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09E813AB" w14:textId="77777777" w:rsidR="001F5E9A" w:rsidRDefault="00000000">
      <w:pPr>
        <w:pStyle w:val="Heading2"/>
        <w:ind w:left="-5"/>
      </w:pPr>
      <w:r>
        <w:t xml:space="preserve">Utilizzo </w:t>
      </w:r>
    </w:p>
    <w:p w14:paraId="274732CE" w14:textId="77777777" w:rsidR="001F5E9A" w:rsidRDefault="00000000">
      <w:pPr>
        <w:numPr>
          <w:ilvl w:val="0"/>
          <w:numId w:val="6"/>
        </w:numPr>
        <w:ind w:hanging="360"/>
      </w:pPr>
      <w:r>
        <w:t xml:space="preserve">Portafogli conservativi </w:t>
      </w:r>
    </w:p>
    <w:p w14:paraId="7174DEB3" w14:textId="77777777" w:rsidR="001F5E9A" w:rsidRDefault="00000000">
      <w:pPr>
        <w:numPr>
          <w:ilvl w:val="0"/>
          <w:numId w:val="6"/>
        </w:numPr>
        <w:spacing w:after="269"/>
        <w:ind w:hanging="360"/>
      </w:pPr>
      <w:r>
        <w:t xml:space="preserve">Mercati instabili </w:t>
      </w:r>
    </w:p>
    <w:p w14:paraId="2B907F60" w14:textId="77777777" w:rsidR="001F5E9A" w:rsidRDefault="00000000">
      <w:pPr>
        <w:spacing w:after="25" w:line="259" w:lineRule="auto"/>
        <w:ind w:left="0" w:firstLine="0"/>
      </w:pPr>
      <w:r>
        <w:t xml:space="preserve"> </w:t>
      </w:r>
      <w:r>
        <w:tab/>
        <w:t xml:space="preserve"> </w:t>
      </w:r>
    </w:p>
    <w:p w14:paraId="61735393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205A161B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3B0ECC45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41BF5154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639FCA52" w14:textId="77777777" w:rsidR="001F5E9A" w:rsidRDefault="00000000">
      <w:pPr>
        <w:spacing w:after="0" w:line="259" w:lineRule="auto"/>
        <w:ind w:left="0" w:firstLine="0"/>
      </w:pPr>
      <w:r>
        <w:rPr>
          <w:rFonts w:cs="Arial"/>
          <w:b/>
          <w:sz w:val="34"/>
        </w:rPr>
        <w:t xml:space="preserve"> </w:t>
      </w:r>
    </w:p>
    <w:p w14:paraId="04219E95" w14:textId="77777777" w:rsidR="001F5E9A" w:rsidRDefault="00000000">
      <w:pPr>
        <w:pStyle w:val="Heading1"/>
        <w:ind w:left="363" w:hanging="378"/>
      </w:pPr>
      <w:r>
        <w:t xml:space="preserve">Hierarchical Risk Parity (HRP) </w:t>
      </w:r>
    </w:p>
    <w:p w14:paraId="18CD7819" w14:textId="77777777" w:rsidR="001F5E9A" w:rsidRDefault="00000000">
      <w:pPr>
        <w:spacing w:after="250"/>
      </w:pPr>
      <w:r>
        <w:t xml:space="preserve">Modello basato su clustering gerarchico delle correlazioni. </w:t>
      </w:r>
    </w:p>
    <w:p w14:paraId="1D8512E1" w14:textId="77777777" w:rsidR="001F5E9A" w:rsidRDefault="00000000">
      <w:pPr>
        <w:numPr>
          <w:ilvl w:val="0"/>
          <w:numId w:val="7"/>
        </w:numPr>
        <w:ind w:hanging="360"/>
      </w:pPr>
      <w:r>
        <w:lastRenderedPageBreak/>
        <w:t xml:space="preserve">Evita inversione della matrice di covarianza </w:t>
      </w:r>
    </w:p>
    <w:p w14:paraId="1531F345" w14:textId="77777777" w:rsidR="001F5E9A" w:rsidRDefault="00000000">
      <w:pPr>
        <w:numPr>
          <w:ilvl w:val="0"/>
          <w:numId w:val="7"/>
        </w:numPr>
        <w:ind w:hanging="360"/>
      </w:pPr>
      <w:r>
        <w:t xml:space="preserve">Molto stabile su dati rumorosi </w:t>
      </w:r>
    </w:p>
    <w:p w14:paraId="384E5404" w14:textId="77777777" w:rsidR="001F5E9A" w:rsidRDefault="00000000">
      <w:pPr>
        <w:numPr>
          <w:ilvl w:val="0"/>
          <w:numId w:val="7"/>
        </w:numPr>
        <w:spacing w:after="250"/>
        <w:ind w:hanging="360"/>
      </w:pPr>
      <w:r>
        <w:t xml:space="preserve">Non considera i rendimenti attesi </w:t>
      </w:r>
    </w:p>
    <w:p w14:paraId="2FF9EEE7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224ED868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45D0C202" w14:textId="77777777" w:rsidR="001F5E9A" w:rsidRDefault="00000000">
      <w:pPr>
        <w:pStyle w:val="Heading2"/>
        <w:ind w:left="-5"/>
      </w:pPr>
      <w:r>
        <w:t xml:space="preserve">Utilizzo </w:t>
      </w:r>
    </w:p>
    <w:p w14:paraId="74AF915A" w14:textId="77777777" w:rsidR="001F5E9A" w:rsidRDefault="00000000">
      <w:pPr>
        <w:numPr>
          <w:ilvl w:val="0"/>
          <w:numId w:val="8"/>
        </w:numPr>
        <w:ind w:hanging="360"/>
      </w:pPr>
      <w:r>
        <w:t xml:space="preserve">Portafogli neutrali </w:t>
      </w:r>
    </w:p>
    <w:p w14:paraId="0E68269B" w14:textId="77777777" w:rsidR="001F5E9A" w:rsidRDefault="00000000">
      <w:pPr>
        <w:numPr>
          <w:ilvl w:val="0"/>
          <w:numId w:val="8"/>
        </w:numPr>
        <w:spacing w:after="250"/>
        <w:ind w:hanging="360"/>
      </w:pPr>
      <w:r>
        <w:t xml:space="preserve">Obiettivo: stabilità </w:t>
      </w:r>
    </w:p>
    <w:p w14:paraId="4C9DB3FE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590EED24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2CAC5E10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6BA15970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27F0FE6C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635D3BE4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0ACF7EAF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553BC5C8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11F6B0F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5D5B23BF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0C7735A0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5450E96E" w14:textId="77777777" w:rsidR="001F5E9A" w:rsidRDefault="00000000">
      <w:pPr>
        <w:pStyle w:val="Heading1"/>
        <w:ind w:left="-5"/>
      </w:pPr>
      <w:r>
        <w:t xml:space="preserve">Goal-Based Optimization / LDI (Liability-Driven Investing) </w:t>
      </w:r>
    </w:p>
    <w:p w14:paraId="3F18048B" w14:textId="77777777" w:rsidR="001F5E9A" w:rsidRDefault="00000000">
      <w:pPr>
        <w:spacing w:after="250"/>
      </w:pPr>
      <w:r>
        <w:t xml:space="preserve">Ottimizzazione legata a obiettivi reali dell’utente (es. pensione, casa, università…). </w:t>
      </w:r>
    </w:p>
    <w:p w14:paraId="17730B56" w14:textId="77777777" w:rsidR="001F5E9A" w:rsidRDefault="00000000">
      <w:pPr>
        <w:numPr>
          <w:ilvl w:val="0"/>
          <w:numId w:val="9"/>
        </w:numPr>
        <w:ind w:hanging="360"/>
      </w:pPr>
      <w:r>
        <w:t xml:space="preserve">Orientato all’utente finale </w:t>
      </w:r>
    </w:p>
    <w:p w14:paraId="3386969E" w14:textId="77777777" w:rsidR="001F5E9A" w:rsidRDefault="00000000">
      <w:pPr>
        <w:numPr>
          <w:ilvl w:val="0"/>
          <w:numId w:val="9"/>
        </w:numPr>
        <w:ind w:hanging="360"/>
      </w:pPr>
      <w:r>
        <w:t xml:space="preserve">Modellabile su orizzonte temporale </w:t>
      </w:r>
    </w:p>
    <w:p w14:paraId="4D4D03F7" w14:textId="77777777" w:rsidR="001F5E9A" w:rsidRDefault="00000000">
      <w:pPr>
        <w:numPr>
          <w:ilvl w:val="0"/>
          <w:numId w:val="9"/>
        </w:numPr>
        <w:spacing w:after="250"/>
        <w:ind w:hanging="360"/>
      </w:pPr>
      <w:r>
        <w:t xml:space="preserve">Richiede modellazione degli obiettivi e delle scadenze </w:t>
      </w:r>
    </w:p>
    <w:p w14:paraId="1E9DE908" w14:textId="77777777" w:rsidR="001F5E9A" w:rsidRDefault="00000000">
      <w:pPr>
        <w:spacing w:after="258" w:line="259" w:lineRule="auto"/>
        <w:ind w:left="0" w:firstLine="0"/>
      </w:pPr>
      <w:r>
        <w:t xml:space="preserve"> </w:t>
      </w:r>
    </w:p>
    <w:p w14:paraId="2B01AAA1" w14:textId="77777777" w:rsidR="001F5E9A" w:rsidRDefault="00000000">
      <w:pPr>
        <w:pStyle w:val="Heading2"/>
        <w:ind w:left="-5"/>
      </w:pPr>
      <w:r>
        <w:t xml:space="preserve">Utilizzo </w:t>
      </w:r>
    </w:p>
    <w:p w14:paraId="79FBAA57" w14:textId="77777777" w:rsidR="001F5E9A" w:rsidRDefault="00000000">
      <w:pPr>
        <w:numPr>
          <w:ilvl w:val="0"/>
          <w:numId w:val="10"/>
        </w:numPr>
        <w:ind w:hanging="360"/>
      </w:pPr>
      <w:r>
        <w:t xml:space="preserve">Finanza personale </w:t>
      </w:r>
    </w:p>
    <w:p w14:paraId="46C2D33A" w14:textId="77777777" w:rsidR="001F5E9A" w:rsidRDefault="00000000">
      <w:pPr>
        <w:numPr>
          <w:ilvl w:val="0"/>
          <w:numId w:val="10"/>
        </w:numPr>
        <w:spacing w:after="250"/>
        <w:ind w:hanging="360"/>
      </w:pPr>
      <w:r>
        <w:t xml:space="preserve">Piani di accumulo legati ad obiettivi </w:t>
      </w:r>
    </w:p>
    <w:p w14:paraId="3B2E2912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4EA5893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5D54F2B7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1EF0454D" w14:textId="77777777" w:rsidR="001F5E9A" w:rsidRDefault="00000000">
      <w:pPr>
        <w:spacing w:after="0" w:line="259" w:lineRule="auto"/>
        <w:ind w:left="0" w:firstLine="0"/>
      </w:pPr>
      <w:r>
        <w:t xml:space="preserve"> </w:t>
      </w:r>
    </w:p>
    <w:p w14:paraId="029F6741" w14:textId="77777777" w:rsidR="001F5E9A" w:rsidRDefault="00000000">
      <w:pPr>
        <w:pStyle w:val="Heading1"/>
        <w:ind w:left="363" w:hanging="378"/>
      </w:pPr>
      <w:r>
        <w:t xml:space="preserve">Robust Optimization / Regolarizzazione </w:t>
      </w:r>
    </w:p>
    <w:p w14:paraId="3848D8A5" w14:textId="77777777" w:rsidR="001F5E9A" w:rsidRDefault="00000000">
      <w:pPr>
        <w:spacing w:after="250"/>
      </w:pPr>
      <w:r>
        <w:t xml:space="preserve">Versioni migliorate del modello di </w:t>
      </w:r>
      <w:proofErr w:type="spellStart"/>
      <w:r>
        <w:t>Markowitz</w:t>
      </w:r>
      <w:proofErr w:type="spellEnd"/>
      <w:r>
        <w:t xml:space="preserve"> con penalizzazioni L1/L2 per evitare </w:t>
      </w:r>
      <w:proofErr w:type="spellStart"/>
      <w:r>
        <w:t>overfitting</w:t>
      </w:r>
      <w:proofErr w:type="spellEnd"/>
      <w:r>
        <w:t xml:space="preserve">. </w:t>
      </w:r>
    </w:p>
    <w:p w14:paraId="5DABF5FA" w14:textId="77777777" w:rsidR="001F5E9A" w:rsidRDefault="00000000">
      <w:pPr>
        <w:numPr>
          <w:ilvl w:val="0"/>
          <w:numId w:val="11"/>
        </w:numPr>
        <w:ind w:hanging="360"/>
      </w:pPr>
      <w:r>
        <w:lastRenderedPageBreak/>
        <w:t xml:space="preserve">Migliora stabilità anche con dati rumorosi </w:t>
      </w:r>
    </w:p>
    <w:p w14:paraId="290865F7" w14:textId="77777777" w:rsidR="001F5E9A" w:rsidRDefault="00000000">
      <w:pPr>
        <w:numPr>
          <w:ilvl w:val="0"/>
          <w:numId w:val="11"/>
        </w:numPr>
        <w:ind w:hanging="360"/>
      </w:pPr>
      <w:r>
        <w:t xml:space="preserve">Riduce il rischio di portafogli irrealistici </w:t>
      </w:r>
    </w:p>
    <w:p w14:paraId="423C8F05" w14:textId="77777777" w:rsidR="001F5E9A" w:rsidRDefault="00000000">
      <w:pPr>
        <w:numPr>
          <w:ilvl w:val="0"/>
          <w:numId w:val="11"/>
        </w:numPr>
        <w:spacing w:after="250"/>
        <w:ind w:hanging="360"/>
      </w:pPr>
      <w:r>
        <w:t xml:space="preserve">Richiede competenze più avanzate </w:t>
      </w:r>
    </w:p>
    <w:p w14:paraId="284787F0" w14:textId="77777777" w:rsidR="001F5E9A" w:rsidRDefault="00000000">
      <w:pPr>
        <w:spacing w:after="258" w:line="259" w:lineRule="auto"/>
        <w:ind w:left="0" w:firstLine="0"/>
      </w:pPr>
      <w:r>
        <w:rPr>
          <w:rFonts w:cs="Arial"/>
          <w:b/>
        </w:rPr>
        <w:t xml:space="preserve"> </w:t>
      </w:r>
    </w:p>
    <w:p w14:paraId="5B36C2D9" w14:textId="77777777" w:rsidR="001F5E9A" w:rsidRDefault="00000000">
      <w:pPr>
        <w:spacing w:after="258" w:line="259" w:lineRule="auto"/>
        <w:ind w:left="0" w:firstLine="0"/>
      </w:pPr>
      <w:r>
        <w:rPr>
          <w:rFonts w:cs="Arial"/>
          <w:b/>
        </w:rPr>
        <w:t xml:space="preserve"> </w:t>
      </w:r>
    </w:p>
    <w:p w14:paraId="5EDDF5AB" w14:textId="77777777" w:rsidR="001F5E9A" w:rsidRDefault="00000000">
      <w:pPr>
        <w:pStyle w:val="Heading2"/>
        <w:ind w:left="-5"/>
      </w:pPr>
      <w:r>
        <w:t xml:space="preserve">Utilizzo </w:t>
      </w:r>
    </w:p>
    <w:p w14:paraId="04267E1C" w14:textId="77777777" w:rsidR="001F5E9A" w:rsidRDefault="00000000">
      <w:pPr>
        <w:numPr>
          <w:ilvl w:val="0"/>
          <w:numId w:val="12"/>
        </w:numPr>
        <w:ind w:hanging="360"/>
      </w:pPr>
      <w:r>
        <w:t xml:space="preserve">Produzione su larga scala </w:t>
      </w:r>
    </w:p>
    <w:p w14:paraId="53C0BB9B" w14:textId="77777777" w:rsidR="001F5E9A" w:rsidRDefault="00000000">
      <w:pPr>
        <w:numPr>
          <w:ilvl w:val="0"/>
          <w:numId w:val="12"/>
        </w:numPr>
        <w:spacing w:after="250"/>
        <w:ind w:hanging="360"/>
      </w:pPr>
      <w:r>
        <w:t xml:space="preserve">Portafogli con molti asset </w:t>
      </w:r>
    </w:p>
    <w:p w14:paraId="23EA156F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6644FAEB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F5B0107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61436CD1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72B270C1" w14:textId="77777777" w:rsidR="001F5E9A" w:rsidRDefault="00000000">
      <w:pPr>
        <w:spacing w:after="490" w:line="259" w:lineRule="auto"/>
        <w:ind w:left="0" w:firstLine="0"/>
      </w:pPr>
      <w:r>
        <w:t xml:space="preserve"> </w:t>
      </w:r>
    </w:p>
    <w:p w14:paraId="429C8C5B" w14:textId="77777777" w:rsidR="001F5E9A" w:rsidRDefault="00000000">
      <w:pPr>
        <w:pStyle w:val="Heading1"/>
        <w:numPr>
          <w:ilvl w:val="0"/>
          <w:numId w:val="0"/>
        </w:numPr>
        <w:spacing w:after="0"/>
        <w:ind w:left="-5"/>
      </w:pPr>
      <w:r>
        <w:t xml:space="preserve">Strategia consigliata </w:t>
      </w:r>
    </w:p>
    <w:p w14:paraId="0AC15CA6" w14:textId="77777777" w:rsidR="001F5E9A" w:rsidRDefault="00000000">
      <w:pPr>
        <w:spacing w:after="18" w:line="259" w:lineRule="auto"/>
        <w:ind w:left="0" w:firstLine="0"/>
      </w:pPr>
      <w:r>
        <w:t xml:space="preserve"> </w:t>
      </w:r>
    </w:p>
    <w:p w14:paraId="370BFAC3" w14:textId="77777777" w:rsidR="001F5E9A" w:rsidRDefault="00000000">
      <w:pPr>
        <w:spacing w:after="2" w:line="259" w:lineRule="auto"/>
        <w:ind w:left="0" w:firstLine="0"/>
      </w:pPr>
      <w:r>
        <w:t xml:space="preserve"> </w:t>
      </w:r>
    </w:p>
    <w:p w14:paraId="619FD5FE" w14:textId="77777777" w:rsidR="001F5E9A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BE1523B" wp14:editId="1E1C7CEC">
            <wp:extent cx="5734050" cy="2066925"/>
            <wp:effectExtent l="0" t="0" r="0" b="0"/>
            <wp:docPr id="932" name="Picture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F5E9A">
      <w:pgSz w:w="11920" w:h="16840"/>
      <w:pgMar w:top="1511" w:right="1329" w:bottom="15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6A5"/>
    <w:multiLevelType w:val="hybridMultilevel"/>
    <w:tmpl w:val="C832B984"/>
    <w:lvl w:ilvl="0" w:tplc="83328AE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C83F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A0572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4A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9C95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1E0F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06AB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8059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AF95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AE3D4D"/>
    <w:multiLevelType w:val="hybridMultilevel"/>
    <w:tmpl w:val="E8C469E8"/>
    <w:lvl w:ilvl="0" w:tplc="666A58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A6CF8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105A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B63B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B295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68324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E86C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54F7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56BA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8211E"/>
    <w:multiLevelType w:val="hybridMultilevel"/>
    <w:tmpl w:val="4AE6CD7A"/>
    <w:lvl w:ilvl="0" w:tplc="407E9E4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22FC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66FD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0E5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AE1F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CA08C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1C94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4C9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AE22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2E0602"/>
    <w:multiLevelType w:val="hybridMultilevel"/>
    <w:tmpl w:val="50788B70"/>
    <w:lvl w:ilvl="0" w:tplc="C0FE6A9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3210C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56C38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545D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28A0F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1A09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AAB1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0CA5E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7A9D8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C435C8"/>
    <w:multiLevelType w:val="hybridMultilevel"/>
    <w:tmpl w:val="D3F02042"/>
    <w:lvl w:ilvl="0" w:tplc="D1F6568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2E329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06F7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3CC1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4A3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3E76C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4CD6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30E2F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969CD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A3001B"/>
    <w:multiLevelType w:val="hybridMultilevel"/>
    <w:tmpl w:val="91AE6B38"/>
    <w:lvl w:ilvl="0" w:tplc="DD267E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DC30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ACD8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006B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EA245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B8F71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EDE99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7E61D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A415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5302E9"/>
    <w:multiLevelType w:val="hybridMultilevel"/>
    <w:tmpl w:val="88C4682C"/>
    <w:lvl w:ilvl="0" w:tplc="00AC42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BE41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D2B2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E00D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3425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CE55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AEB4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A8BE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A20BA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D935102"/>
    <w:multiLevelType w:val="hybridMultilevel"/>
    <w:tmpl w:val="04A800C4"/>
    <w:lvl w:ilvl="0" w:tplc="AFC2405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3A18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A05B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70D2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0003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9232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44E3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E007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66C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50199F"/>
    <w:multiLevelType w:val="hybridMultilevel"/>
    <w:tmpl w:val="36B07A7C"/>
    <w:lvl w:ilvl="0" w:tplc="573E7BF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34309BE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A2E016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28A0C7C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2DB6F4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1B0859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C63C80C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822EC0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A67A34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B02E71"/>
    <w:multiLevelType w:val="hybridMultilevel"/>
    <w:tmpl w:val="E8524F12"/>
    <w:lvl w:ilvl="0" w:tplc="E6FE3F7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00C2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AC1A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0CB8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80CC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480A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1A3E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7A4D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DE24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254ED8"/>
    <w:multiLevelType w:val="hybridMultilevel"/>
    <w:tmpl w:val="119CF4B0"/>
    <w:lvl w:ilvl="0" w:tplc="9D16DBE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C6C8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9C4A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28B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3C76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E7B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36F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0ED4E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46C4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6E96E41"/>
    <w:multiLevelType w:val="hybridMultilevel"/>
    <w:tmpl w:val="F26EE732"/>
    <w:lvl w:ilvl="0" w:tplc="01846E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1880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0459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FC36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6AF6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6898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BA0F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439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76AD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AAD581D"/>
    <w:multiLevelType w:val="hybridMultilevel"/>
    <w:tmpl w:val="1BBA1DF8"/>
    <w:lvl w:ilvl="0" w:tplc="1676EE1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E42DE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324E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F619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FE54D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28DB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EBE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0A46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07F7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6697503">
    <w:abstractNumId w:val="9"/>
  </w:num>
  <w:num w:numId="2" w16cid:durableId="1453866681">
    <w:abstractNumId w:val="5"/>
  </w:num>
  <w:num w:numId="3" w16cid:durableId="168495511">
    <w:abstractNumId w:val="2"/>
  </w:num>
  <w:num w:numId="4" w16cid:durableId="747994663">
    <w:abstractNumId w:val="7"/>
  </w:num>
  <w:num w:numId="5" w16cid:durableId="1085763448">
    <w:abstractNumId w:val="3"/>
  </w:num>
  <w:num w:numId="6" w16cid:durableId="740367802">
    <w:abstractNumId w:val="11"/>
  </w:num>
  <w:num w:numId="7" w16cid:durableId="1892185927">
    <w:abstractNumId w:val="12"/>
  </w:num>
  <w:num w:numId="8" w16cid:durableId="917206624">
    <w:abstractNumId w:val="4"/>
  </w:num>
  <w:num w:numId="9" w16cid:durableId="341201663">
    <w:abstractNumId w:val="0"/>
  </w:num>
  <w:num w:numId="10" w16cid:durableId="293601376">
    <w:abstractNumId w:val="6"/>
  </w:num>
  <w:num w:numId="11" w16cid:durableId="996373176">
    <w:abstractNumId w:val="10"/>
  </w:num>
  <w:num w:numId="12" w16cid:durableId="479034094">
    <w:abstractNumId w:val="1"/>
  </w:num>
  <w:num w:numId="13" w16cid:durableId="6963452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E9A"/>
    <w:rsid w:val="001F5E9A"/>
    <w:rsid w:val="00457ABA"/>
    <w:rsid w:val="00CD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C09EF7"/>
  <w15:docId w15:val="{CC9D1625-F94F-E44D-AD37-8CD631494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T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Times New Roman"/>
      <w:color w:val="000000"/>
      <w:sz w:val="22"/>
      <w:lang w:val="it" w:eastAsia="it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3"/>
      </w:numPr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 di Ottimizzazione del Portafoglio per ALEA</dc:title>
  <dc:subject/>
  <dc:creator>Federico Giusti</dc:creator>
  <cp:keywords/>
  <cp:lastModifiedBy>Federico Giusti</cp:lastModifiedBy>
  <cp:revision>2</cp:revision>
  <dcterms:created xsi:type="dcterms:W3CDTF">2025-11-15T17:17:00Z</dcterms:created>
  <dcterms:modified xsi:type="dcterms:W3CDTF">2025-11-15T17:17:00Z</dcterms:modified>
</cp:coreProperties>
</file>