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2E"/>
          <w:sz w:val="36"/>
          <w:szCs w:val="36"/>
        </w:rPr>
        <w:t xml:space="preserve">Bank Term Deposit - Campaign Intelligence</w:t>
      </w:r>
    </w:p>
    <w:p>
      <w:pPr>
        <w:spacing w:before="0" w:after="60"/>
      </w:pPr>
      <w:r>
        <w:rPr>
          <w:rFonts w:ascii="Arial" w:cs="Arial" w:eastAsia="Arial" w:hAnsi="Arial"/>
          <w:color w:val="A8855A"/>
          <w:sz w:val="24"/>
          <w:szCs w:val="24"/>
        </w:rPr>
        <w:t xml:space="preserve">Dashboard Walkthrough &amp; Q&amp;A</w:t>
      </w:r>
    </w:p>
    <w:p>
      <w:pPr>
        <w:spacing w:before="0" w:after="0"/>
      </w:pPr>
      <w:r>
        <w:rPr>
          <w:rFonts w:ascii="Arial" w:cs="Arial" w:eastAsia="Arial" w:hAnsi="Arial"/>
          <w:color w:val="888888"/>
          <w:sz w:val="18"/>
          <w:szCs w:val="18"/>
        </w:rPr>
        <w:t xml:space="preserve">Federico Mora  |  Research, analysis and interpretation  |  2026  |  Dataset: UCI Bank Marketing (Moro et al. 2014, n = 45,211)</w:t>
      </w:r>
    </w:p>
    <w:p>
      <w:pPr>
        <w:pBdr>
          <w:bottom w:val="single" w:color="C8A97E" w:sz="8" w:space="4"/>
        </w:pBdr>
        <w:spacing w:before="120" w:after="200"/>
      </w:pPr>
    </w:p>
    <w:p>
      <w:pPr>
        <w:pBdr>
          <w:bottom w:val="single" w:color="C8A97E" w:sz="4" w:space="4"/>
        </w:pBdr>
        <w:spacing w:before="280" w:after="80"/>
      </w:pPr>
      <w:r>
        <w:rPr>
          <w:rFonts w:ascii="Arial" w:cs="Arial" w:eastAsia="Arial" w:hAnsi="Arial"/>
          <w:b/>
          <w:bCs/>
          <w:color w:val="A8855A"/>
          <w:spacing w:val="40"/>
          <w:sz w:val="20"/>
          <w:szCs w:val="20"/>
        </w:rPr>
        <w:t xml:space="preserve">WHAT THIS IS</w:t>
      </w:r>
    </w:p>
    <w:p>
      <w:pPr>
        <w:spacing w:before="0" w:after="120"/>
      </w:pPr>
      <w:r>
        <w:rPr>
          <w:rFonts w:ascii="Arial" w:cs="Arial" w:eastAsia="Arial" w:hAnsi="Arial"/>
          <w:color w:val="333333"/>
          <w:sz w:val="22"/>
          <w:szCs w:val="22"/>
        </w:rPr>
        <w:t xml:space="preserve">This interactive dashboard analyses </w:t>
      </w:r>
      <w:r>
        <w:rPr>
          <w:rFonts w:ascii="Arial" w:cs="Arial" w:eastAsia="Arial" w:hAnsi="Arial"/>
          <w:b/>
          <w:bCs/>
          <w:color w:val="1A1A2E"/>
          <w:sz w:val="22"/>
          <w:szCs w:val="22"/>
        </w:rPr>
        <w:t xml:space="preserve">45,211 outbound telemarketing calls</w:t>
      </w:r>
      <w:r>
        <w:rPr>
          <w:rFonts w:ascii="Arial" w:cs="Arial" w:eastAsia="Arial" w:hAnsi="Arial"/>
          <w:color w:val="333333"/>
          <w:sz w:val="22"/>
          <w:szCs w:val="22"/>
        </w:rPr>
        <w:t xml:space="preserve"> made by a Portuguese bank between May 2008 and November 2010, targeting term deposit sales. Every figure on the data tabs is computed directly from </w:t>
      </w:r>
      <w:r>
        <w:rPr>
          <w:rFonts w:ascii="Arial" w:cs="Arial" w:eastAsia="Arial" w:hAnsi="Arial"/>
          <w:b/>
          <w:bCs/>
          <w:color w:val="1A1A2E"/>
          <w:sz w:val="22"/>
          <w:szCs w:val="22"/>
        </w:rPr>
        <w:t xml:space="preserve">bank-full.csv</w:t>
      </w:r>
      <w:r>
        <w:rPr>
          <w:rFonts w:ascii="Arial" w:cs="Arial" w:eastAsia="Arial" w:hAnsi="Arial"/>
          <w:color w:val="333333"/>
          <w:sz w:val="22"/>
          <w:szCs w:val="22"/>
        </w:rPr>
        <w:t xml:space="preserve">, the full UCI Bank Marketing Dataset. The 2024 Context tab benchmarks historical findings against published industry data from the ABA, McKinsey, and BMO. No numbers are estimated.</w:t>
      </w:r>
    </w:p>
    <w:p>
      <w:pPr>
        <w:spacing w:before="0" w:after="120"/>
      </w:pPr>
      <w:r>
        <w:rPr>
          <w:rFonts w:ascii="Arial" w:cs="Arial" w:eastAsia="Arial" w:hAnsi="Arial"/>
          <w:color w:val="333333"/>
          <w:sz w:val="22"/>
          <w:szCs w:val="22"/>
        </w:rPr>
        <w:t xml:space="preserve">The dashboard has seven tabs. Here is how to read them in order.</w:t>
      </w:r>
    </w:p>
    <w:p>
      <w:pPr>
        <w:spacing w:before="0" w:after="80"/>
      </w:pPr>
      <w:r>
        <w:t xml:space="preserve"/>
      </w:r>
    </w:p>
    <w:p>
      <w:pPr>
        <w:pBdr>
          <w:bottom w:val="single" w:color="C8A97E" w:sz="4" w:space="4"/>
        </w:pBdr>
        <w:spacing w:before="280" w:after="80"/>
      </w:pPr>
      <w:r>
        <w:rPr>
          <w:rFonts w:ascii="Arial" w:cs="Arial" w:eastAsia="Arial" w:hAnsi="Arial"/>
          <w:b/>
          <w:bCs/>
          <w:color w:val="A8855A"/>
          <w:spacing w:val="40"/>
          <w:sz w:val="20"/>
          <w:szCs w:val="20"/>
        </w:rPr>
        <w:t xml:space="preserve">TAB-BY-TAB WALKTHROUGH</w:t>
      </w:r>
    </w:p>
    <w:p>
      <w:pPr>
        <w:spacing w:before="200" w:after="60"/>
      </w:pPr>
      <w:r>
        <w:rPr>
          <w:rFonts w:ascii="Arial" w:cs="Arial" w:eastAsia="Arial" w:hAnsi="Arial"/>
          <w:b/>
          <w:bCs/>
          <w:color w:val="1A1A2E"/>
          <w:sz w:val="23"/>
          <w:szCs w:val="23"/>
        </w:rPr>
        <w:t xml:space="preserve">Overview</w:t>
      </w:r>
    </w:p>
    <w:p>
      <w:pPr>
        <w:spacing w:before="0" w:after="120"/>
      </w:pPr>
      <w:r>
        <w:rPr>
          <w:rFonts w:ascii="Arial" w:cs="Arial" w:eastAsia="Arial" w:hAnsi="Arial"/>
          <w:color w:val="333333"/>
          <w:sz w:val="22"/>
          <w:szCs w:val="22"/>
        </w:rPr>
        <w:t xml:space="preserve">The opening tab establishes the full picture: 45,211 calls, 5,289 sales, an 11.7% overall conversion rate. The dual-axis chart immediately surfaces the central tension of the campaign - May accounted for 30% of all calls but delivered the lowest conversion rate (6.7%), while March ran only 477 calls at 52.0%. The contact channel bars introduce a three-metric view (share of calls, conversion rate, share of total closures), showing that cellular drove 82.5% of all sales despite being used for 64.8% of contacts. The duration chart closes the section: calls over 20 minutes converted at 61.6% vs 0.2% for calls under one minute - a 300-fold difference.</w:t>
      </w:r>
    </w:p>
    <w:p>
      <w:pPr>
        <w:spacing w:before="200" w:after="60"/>
      </w:pPr>
      <w:r>
        <w:rPr>
          <w:rFonts w:ascii="Arial" w:cs="Arial" w:eastAsia="Arial" w:hAnsi="Arial"/>
          <w:b/>
          <w:bCs/>
          <w:color w:val="1A1A2E"/>
          <w:sz w:val="23"/>
          <w:szCs w:val="23"/>
        </w:rPr>
        <w:t xml:space="preserve">Segments</w:t>
      </w:r>
    </w:p>
    <w:p>
      <w:pPr>
        <w:spacing w:before="0" w:after="120"/>
      </w:pPr>
      <w:r>
        <w:rPr>
          <w:rFonts w:ascii="Arial" w:cs="Arial" w:eastAsia="Arial" w:hAnsi="Arial"/>
          <w:color w:val="333333"/>
          <w:sz w:val="22"/>
          <w:szCs w:val="22"/>
        </w:rPr>
        <w:t xml:space="preserve">Two clean findings. First, a U-shaped age curve: the 18-25 group converts at 24.0% and the 66+ group at 42.6%, while the core 36-55 demographic sits below 10%. Second, a misallocation story by occupation: blue-collar workers received 9,732 calls - more than any other group - yet converted at just 7.3%. Students (938 calls, 28.7%) and retirees (2,264 calls, 22.8%) delivered three to four times the return on a fraction of the contact volume.</w:t>
      </w:r>
    </w:p>
    <w:p>
      <w:pPr>
        <w:spacing w:before="200" w:after="60"/>
      </w:pPr>
      <w:r>
        <w:rPr>
          <w:rFonts w:ascii="Arial" w:cs="Arial" w:eastAsia="Arial" w:hAnsi="Arial"/>
          <w:b/>
          <w:bCs/>
          <w:color w:val="1A1A2E"/>
          <w:sz w:val="23"/>
          <w:szCs w:val="23"/>
        </w:rPr>
        <w:t xml:space="preserve">Campaigns</w:t>
      </w:r>
    </w:p>
    <w:p>
      <w:pPr>
        <w:spacing w:before="0" w:after="120"/>
      </w:pPr>
      <w:r>
        <w:rPr>
          <w:rFonts w:ascii="Arial" w:cs="Arial" w:eastAsia="Arial" w:hAnsi="Arial"/>
          <w:color w:val="333333"/>
          <w:sz w:val="22"/>
          <w:szCs w:val="22"/>
        </w:rPr>
        <w:t xml:space="preserve">Quarterly and monthly views of the same data. The key addition here is the </w:t>
      </w:r>
      <w:r>
        <w:rPr>
          <w:rFonts w:ascii="Arial" w:cs="Arial" w:eastAsia="Arial" w:hAnsi="Arial"/>
          <w:b/>
          <w:bCs/>
          <w:color w:val="1A1A2E"/>
          <w:sz w:val="22"/>
          <w:szCs w:val="22"/>
        </w:rPr>
        <w:t xml:space="preserve">campaign learning curve</w:t>
      </w:r>
      <w:r>
        <w:rPr>
          <w:rFonts w:ascii="Arial" w:cs="Arial" w:eastAsia="Arial" w:hAnsi="Arial"/>
          <w:color w:val="333333"/>
          <w:sz w:val="22"/>
          <w:szCs w:val="22"/>
        </w:rPr>
        <w:t xml:space="preserve"> - true year-quarters reconstructed from the sequential record order in the dataset. The campaign started at 3.7% conversion in Q2 2008 and reached 55.1% by Q2 2010. This 15-fold improvement over two years is invisible in the calendar-month aggregation used elsewhere - it is the most compelling evidence that the bank's targeting logic was actively improving throughout the campaign.</w:t>
      </w:r>
    </w:p>
    <w:p>
      <w:pPr>
        <w:spacing w:before="200" w:after="60"/>
      </w:pPr>
      <w:r>
        <w:rPr>
          <w:rFonts w:ascii="Arial" w:cs="Arial" w:eastAsia="Arial" w:hAnsi="Arial"/>
          <w:b/>
          <w:bCs/>
          <w:color w:val="1A1A2E"/>
          <w:sz w:val="23"/>
          <w:szCs w:val="23"/>
        </w:rPr>
        <w:t xml:space="preserve">Targeting Intelligence</w:t>
      </w:r>
    </w:p>
    <w:p>
      <w:pPr>
        <w:spacing w:before="0" w:after="120"/>
      </w:pPr>
      <w:r>
        <w:rPr>
          <w:rFonts w:ascii="Arial" w:cs="Arial" w:eastAsia="Arial" w:hAnsi="Arial"/>
          <w:color w:val="333333"/>
          <w:sz w:val="22"/>
          <w:szCs w:val="22"/>
        </w:rPr>
        <w:t xml:space="preserve">This is the analytical centrepiece. It moves from description to </w:t>
      </w:r>
      <w:r>
        <w:rPr>
          <w:rFonts w:ascii="Arial" w:cs="Arial" w:eastAsia="Arial" w:hAnsi="Arial"/>
          <w:b/>
          <w:bCs/>
          <w:color w:val="1A1A2E"/>
          <w:sz w:val="22"/>
          <w:szCs w:val="22"/>
        </w:rPr>
        <w:t xml:space="preserve">actionable pre-call intelligence</w:t>
      </w:r>
      <w:r>
        <w:rPr>
          <w:rFonts w:ascii="Arial" w:cs="Arial" w:eastAsia="Arial" w:hAnsi="Arial"/>
          <w:color w:val="333333"/>
          <w:sz w:val="22"/>
          <w:szCs w:val="22"/>
        </w:rPr>
        <w:t xml:space="preserve">. The logistic regression feature importance chart ranks all 16 variables by predictive strength. Duration is the strongest predictor overall - but only known after the call ends. Everything else on that chart is a pre-call CRM signal.</w:t>
      </w:r>
    </w:p>
    <w:p>
      <w:pPr>
        <w:spacing w:before="0" w:after="120"/>
      </w:pPr>
      <w:r>
        <w:rPr>
          <w:rFonts w:ascii="Arial" w:cs="Arial" w:eastAsia="Arial" w:hAnsi="Arial"/>
          <w:color w:val="333333"/>
          <w:sz w:val="22"/>
          <w:szCs w:val="22"/>
        </w:rPr>
        <w:t xml:space="preserve">Three specific signals are then examined in detail:</w:t>
      </w:r>
    </w:p>
    <w:p>
      <w:pPr>
        <w:pStyle w:val="ListParagraph"/>
        <w:numPr>
          <w:ilvl w:val="0"/>
          <w:numId w:val="2"/>
        </w:numPr>
        <w:spacing w:before="40" w:after="40"/>
      </w:pPr>
      <w:r>
        <w:rPr>
          <w:rFonts w:ascii="Arial" w:cs="Arial" w:eastAsia="Arial" w:hAnsi="Arial"/>
          <w:b/>
          <w:bCs/>
          <w:color w:val="1A1A2E"/>
          <w:sz w:val="22"/>
          <w:szCs w:val="22"/>
        </w:rPr>
        <w:t xml:space="preserve">Previous campaign outcome: </w:t>
      </w:r>
      <w:r>
        <w:rPr>
          <w:rFonts w:ascii="Arial" w:cs="Arial" w:eastAsia="Arial" w:hAnsi="Arial"/>
          <w:color w:val="333333"/>
          <w:sz w:val="22"/>
          <w:szCs w:val="22"/>
        </w:rPr>
        <w:t xml:space="preserve">clients who subscribed before convert at 64.7%. Only 3.3% of the campaign targeted them.</w:t>
      </w:r>
    </w:p>
    <w:p>
      <w:pPr>
        <w:pStyle w:val="ListParagraph"/>
        <w:numPr>
          <w:ilvl w:val="0"/>
          <w:numId w:val="2"/>
        </w:numPr>
        <w:spacing w:before="40" w:after="40"/>
      </w:pPr>
      <w:r>
        <w:rPr>
          <w:rFonts w:ascii="Arial" w:cs="Arial" w:eastAsia="Arial" w:hAnsi="Arial"/>
          <w:b/>
          <w:bCs/>
          <w:color w:val="1A1A2E"/>
          <w:sz w:val="22"/>
          <w:szCs w:val="22"/>
        </w:rPr>
        <w:t xml:space="preserve">Contact frequency: </w:t>
      </w:r>
      <w:r>
        <w:rPr>
          <w:rFonts w:ascii="Arial" w:cs="Arial" w:eastAsia="Arial" w:hAnsi="Arial"/>
          <w:color w:val="333333"/>
          <w:sz w:val="22"/>
          <w:szCs w:val="22"/>
        </w:rPr>
        <w:t xml:space="preserve">conversion rate halves by the fourth contact (14.6% to 7.4%). 9,641 calls were made at this stage.</w:t>
      </w:r>
    </w:p>
    <w:p>
      <w:pPr>
        <w:pStyle w:val="ListParagraph"/>
        <w:numPr>
          <w:ilvl w:val="0"/>
          <w:numId w:val="2"/>
        </w:numPr>
        <w:spacing w:before="40" w:after="40"/>
      </w:pPr>
      <w:r>
        <w:rPr>
          <w:rFonts w:ascii="Arial" w:cs="Arial" w:eastAsia="Arial" w:hAnsi="Arial"/>
          <w:b/>
          <w:bCs/>
          <w:color w:val="1A1A2E"/>
          <w:sz w:val="22"/>
          <w:szCs w:val="22"/>
        </w:rPr>
        <w:t xml:space="preserve">Housing loan status: </w:t>
      </w:r>
      <w:r>
        <w:rPr>
          <w:rFonts w:ascii="Arial" w:cs="Arial" w:eastAsia="Arial" w:hAnsi="Arial"/>
          <w:color w:val="333333"/>
          <w:sz w:val="22"/>
          <w:szCs w:val="22"/>
        </w:rPr>
        <w:t xml:space="preserve">no housing loan = 16.7% conversion vs 7.7% - a 2.2x multiplier available before dialling.</w:t>
      </w:r>
    </w:p>
    <w:p>
      <w:pPr>
        <w:spacing w:before="0" w:after="120"/>
      </w:pPr>
      <w:r>
        <w:rPr>
          <w:rFonts w:ascii="Arial" w:cs="Arial" w:eastAsia="Arial" w:hAnsi="Arial"/>
          <w:color w:val="333333"/>
          <w:sz w:val="22"/>
          <w:szCs w:val="22"/>
        </w:rPr>
        <w:t xml:space="preserve">The section closes with a combined targeting scenario: applying all three filters to the original 45,211 calls produces a pool of 6,666 calls that achieved a 21.9% conversion rate, nearly double the baseline. Revenue per call rises from </w:t>
      </w:r>
      <w:r>
        <w:rPr>
          <w:rFonts w:ascii="Arial" w:cs="Arial" w:eastAsia="Arial" w:hAnsi="Arial"/>
          <w:b/>
          <w:bCs/>
          <w:color w:val="A8855A"/>
          <w:sz w:val="22"/>
          <w:szCs w:val="22"/>
        </w:rPr>
        <w:t xml:space="preserve">€17.55</w:t>
      </w:r>
      <w:r>
        <w:rPr>
          <w:rFonts w:ascii="Arial" w:cs="Arial" w:eastAsia="Arial" w:hAnsi="Arial"/>
          <w:color w:val="333333"/>
          <w:sz w:val="22"/>
          <w:szCs w:val="22"/>
        </w:rPr>
        <w:t xml:space="preserve"> to </w:t>
      </w:r>
      <w:r>
        <w:rPr>
          <w:rFonts w:ascii="Arial" w:cs="Arial" w:eastAsia="Arial" w:hAnsi="Arial"/>
          <w:b/>
          <w:bCs/>
          <w:color w:val="A8855A"/>
          <w:sz w:val="22"/>
          <w:szCs w:val="22"/>
        </w:rPr>
        <w:t xml:space="preserve">€32.85</w:t>
      </w:r>
      <w:r>
        <w:rPr>
          <w:rFonts w:ascii="Arial" w:cs="Arial" w:eastAsia="Arial" w:hAnsi="Arial"/>
          <w:color w:val="333333"/>
          <w:sz w:val="22"/>
          <w:szCs w:val="22"/>
        </w:rPr>
        <w:t xml:space="preserve"> - an 87% improvement, using only data that already existed in the CRM.</w:t>
      </w:r>
    </w:p>
    <w:p>
      <w:pPr>
        <w:spacing w:before="200" w:after="60"/>
      </w:pPr>
      <w:r>
        <w:rPr>
          <w:rFonts w:ascii="Arial" w:cs="Arial" w:eastAsia="Arial" w:hAnsi="Arial"/>
          <w:b/>
          <w:bCs/>
          <w:color w:val="1A1A2E"/>
          <w:sz w:val="23"/>
          <w:szCs w:val="23"/>
        </w:rPr>
        <w:t xml:space="preserve">2024 Context</w:t>
      </w:r>
    </w:p>
    <w:p>
      <w:pPr>
        <w:spacing w:before="0" w:after="120"/>
      </w:pPr>
      <w:r>
        <w:rPr>
          <w:rFonts w:ascii="Arial" w:cs="Arial" w:eastAsia="Arial" w:hAnsi="Arial"/>
          <w:color w:val="333333"/>
          <w:sz w:val="22"/>
          <w:szCs w:val="22"/>
        </w:rPr>
        <w:t xml:space="preserve">Each historical finding is benchmarked against sourced 2024 data. Telephone - the dominant channel in 2008 - is now the least preferred by US consumers at 4% (ABA 2024). Mobile app is first at 55%. The six verdict cards (click to expand) classify each finding as Outdated, Adapt Strategy, Confirmed, Escalated, or Bar Raised, with the original dataset figure on the left and the 2024 benchmark on the right.</w:t>
      </w:r>
    </w:p>
    <w:p>
      <w:pPr>
        <w:spacing w:before="200" w:after="60"/>
      </w:pPr>
      <w:r>
        <w:rPr>
          <w:rFonts w:ascii="Arial" w:cs="Arial" w:eastAsia="Arial" w:hAnsi="Arial"/>
          <w:b/>
          <w:bCs/>
          <w:color w:val="1A1A2E"/>
          <w:sz w:val="23"/>
          <w:szCs w:val="23"/>
        </w:rPr>
        <w:t xml:space="preserve">Insights</w:t>
      </w:r>
    </w:p>
    <w:p>
      <w:pPr>
        <w:spacing w:before="0" w:after="120"/>
      </w:pPr>
      <w:r>
        <w:rPr>
          <w:rFonts w:ascii="Arial" w:cs="Arial" w:eastAsia="Arial" w:hAnsi="Arial"/>
          <w:color w:val="333333"/>
          <w:sz w:val="22"/>
          <w:szCs w:val="22"/>
        </w:rPr>
        <w:t xml:space="preserve">Eight numbered findings, colour-coded by source: gold for findings with external benchmarks, blue for dataset findings with industry context, and green for the three new pre-call intelligence findings derived entirely from the raw data. Each insight states the source explicitly. The 'So What' section translates all eight into eight concrete recommended actions, three of which are quantified in revenue terms.</w:t>
      </w:r>
    </w:p>
    <w:p>
      <w:pPr>
        <w:spacing w:before="200" w:after="60"/>
      </w:pPr>
      <w:r>
        <w:rPr>
          <w:rFonts w:ascii="Arial" w:cs="Arial" w:eastAsia="Arial" w:hAnsi="Arial"/>
          <w:b/>
          <w:bCs/>
          <w:color w:val="1A1A2E"/>
          <w:sz w:val="23"/>
          <w:szCs w:val="23"/>
        </w:rPr>
        <w:t xml:space="preserve">Methodology &amp; Sources</w:t>
      </w:r>
    </w:p>
    <w:p>
      <w:pPr>
        <w:spacing w:before="0" w:after="120"/>
      </w:pPr>
      <w:r>
        <w:rPr>
          <w:rFonts w:ascii="Arial" w:cs="Arial" w:eastAsia="Arial" w:hAnsi="Arial"/>
          <w:color w:val="333333"/>
          <w:sz w:val="22"/>
          <w:szCs w:val="22"/>
        </w:rPr>
        <w:t xml:space="preserve">Full dataset metadata, a note on the monthly aggregation methodology (calendar-month vs sequential quarters), six numbered limitations stated upfront, and complete source citations. This section exists because any serious analyst should be willing to state clearly what the data cannot tell us.</w:t>
      </w:r>
    </w:p>
    <w:p>
      <w:pPr>
        <w:spacing w:before="0" w:after="0"/>
      </w:pPr>
      <w:r>
        <w:br w:type="page"/>
      </w:r>
    </w:p>
    <w:p>
      <w:pPr>
        <w:pBdr>
          <w:bottom w:val="single" w:color="C8A97E" w:sz="4" w:space="4"/>
        </w:pBdr>
        <w:spacing w:before="280" w:after="80"/>
      </w:pPr>
      <w:r>
        <w:rPr>
          <w:rFonts w:ascii="Arial" w:cs="Arial" w:eastAsia="Arial" w:hAnsi="Arial"/>
          <w:b/>
          <w:bCs/>
          <w:color w:val="A8855A"/>
          <w:spacing w:val="40"/>
          <w:sz w:val="20"/>
          <w:szCs w:val="20"/>
        </w:rPr>
        <w:t xml:space="preserve">Q&amp;A</w:t>
      </w:r>
    </w:p>
    <w:p>
      <w:pPr>
        <w:spacing w:before="0" w:after="120"/>
      </w:pPr>
      <w:r>
        <w:rPr>
          <w:rFonts w:ascii="Arial" w:cs="Arial" w:eastAsia="Arial" w:hAnsi="Arial"/>
          <w:color w:val="333333"/>
          <w:sz w:val="22"/>
          <w:szCs w:val="22"/>
        </w:rPr>
        <w:t xml:space="preserve">Questions I anticipated about the methodology, the findings, and the analytical choices made throughout.</w:t>
      </w:r>
    </w:p>
    <w:p>
      <w:pPr>
        <w:spacing w:before="0" w:after="40"/>
      </w:pPr>
      <w:r>
        <w:t xml:space="preserve"/>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Why did you choose this dataset?</w:t>
      </w:r>
    </w:p>
    <w:p>
      <w:pPr>
        <w:spacing w:before="0" w:after="80"/>
        <w:ind w:left="320"/>
      </w:pPr>
      <w:r>
        <w:rPr>
          <w:rFonts w:ascii="Arial" w:cs="Arial" w:eastAsia="Arial" w:hAnsi="Arial"/>
          <w:color w:val="333333"/>
          <w:sz w:val="22"/>
          <w:szCs w:val="22"/>
        </w:rPr>
        <w:t xml:space="preserve">It is a real-world sales dataset with a clean binary outcome, multiple variable types, and enough records (45,211) to produce statistically meaningful segment comparisons. It also has a known methodological quirk - the month field contains no year - which gave me an opportunity to demonstrate that I interrogate data structure before drawing conclusions, rather than accepting the default aggregation.</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What is your most important finding?</w:t>
      </w:r>
    </w:p>
    <w:p>
      <w:pPr>
        <w:spacing w:before="0" w:after="80"/>
        <w:ind w:left="320"/>
      </w:pPr>
      <w:r>
        <w:rPr>
          <w:rFonts w:ascii="Arial" w:cs="Arial" w:eastAsia="Arial" w:hAnsi="Arial"/>
          <w:color w:val="333333"/>
          <w:sz w:val="22"/>
          <w:szCs w:val="22"/>
        </w:rPr>
        <w:t xml:space="preserve">The combined targeting scenario on the Targeting Intelligence tab. Applying three pre-call filters - no housing loan, first contact only, no prior campaign failure - produces a pool of 6,666 calls with a 21.9% conversion rate vs the 11.7% baseline. That is not a model. It is a direct computation from the raw data using fields that exist in any standard CRM. No additional budget. No algorithm. Just better use of what was already there.</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Can you explain the logistic regression and its limitations?</w:t>
      </w:r>
    </w:p>
    <w:p>
      <w:pPr>
        <w:spacing w:before="0" w:after="80"/>
        <w:ind w:left="320"/>
      </w:pPr>
      <w:r>
        <w:rPr>
          <w:rFonts w:ascii="Arial" w:cs="Arial" w:eastAsia="Arial" w:hAnsi="Arial"/>
          <w:color w:val="333333"/>
          <w:sz w:val="22"/>
          <w:szCs w:val="22"/>
        </w:rPr>
        <w:t xml:space="preserve">I trained a logistic regression on all 45,211 records using StandardScaler normalisation so that coefficients are directly comparable across variables. The model achieved 89.1% accuracy on training data. I used it specifically for feature importance - to rank which variables are most predictive - not as a deployment-ready scoring tool. The main limitations are: it is trained and evaluated on the same data (no hold-out set), it assumes linear relationships in the log-odds, and the dataset covers a single institution in one country during a specific macro period. All of this is disclosed in the Methodology tab.</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Your quarterly figures show Q1 outperforming Q4. Why?</w:t>
      </w:r>
    </w:p>
    <w:p>
      <w:pPr>
        <w:spacing w:before="0" w:after="80"/>
        <w:ind w:left="320"/>
      </w:pPr>
      <w:r>
        <w:rPr>
          <w:rFonts w:ascii="Arial" w:cs="Arial" w:eastAsia="Arial" w:hAnsi="Arial"/>
          <w:color w:val="333333"/>
          <w:sz w:val="22"/>
          <w:szCs w:val="22"/>
        </w:rPr>
        <w:t xml:space="preserve">Because the quarterly figures use calendar-month aggregation, not true sequential quarters. All January calls across 2008, 2009 and 2010 are grouped together regardless of year. Q1's high rate (18.3%) is driven almost entirely by March's 52.0% - a very low-volume month that inflates the average. This is explained in a note directly on the tab and in the Methodology section. The true sequential year-quarter view - showing the actual campaign arc from 3.7% to 55.1% - is in the learning curve chart immediately below.</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How did you handle the fact that the dataset has no year column?</w:t>
      </w:r>
    </w:p>
    <w:p>
      <w:pPr>
        <w:spacing w:before="0" w:after="80"/>
        <w:ind w:left="320"/>
      </w:pPr>
      <w:r>
        <w:rPr>
          <w:rFonts w:ascii="Arial" w:cs="Arial" w:eastAsia="Arial" w:hAnsi="Arial"/>
          <w:color w:val="333333"/>
          <w:sz w:val="22"/>
          <w:szCs w:val="22"/>
        </w:rPr>
        <w:t xml:space="preserve">I reconstructed the year by walking through the records in file order and detecting month transitions backwards - when the month number drops (e.g. December to January), the year increments. This correctly recovers the full chronological sequence from May 2008 to November 2010, which the paper by Moro et al. confirms in its dataset description. I used this reconstruction specifically for the campaign learning curve chart and noted the methodology in the data source line of that chart.</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What does the revenue figure on the targeting scenario represent?</w:t>
      </w:r>
    </w:p>
    <w:p>
      <w:pPr>
        <w:spacing w:before="0" w:after="80"/>
        <w:ind w:left="320"/>
      </w:pPr>
      <w:r>
        <w:rPr>
          <w:rFonts w:ascii="Arial" w:cs="Arial" w:eastAsia="Arial" w:hAnsi="Arial"/>
          <w:color w:val="333333"/>
          <w:sz w:val="22"/>
          <w:szCs w:val="22"/>
        </w:rPr>
        <w:t xml:space="preserve">It uses a conservative assumption of €150 margin per term deposit as a directional illustration - disclosed explicitly in a footnote on the card. The €102k uplift figure compares 1,460 conversions from the targeted pool against 779 conversions that the same 6,666 calls would have produced at the baseline 11.7% rate. The per-call revenue figures (€17.55 vs €32.85) are the most robust metric because they do not depend on the margin assumption - the 87% improvement is purely a function of the conversion rate difference.</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Why benchmark a 2008 dataset against 2024 data?</w:t>
      </w:r>
    </w:p>
    <w:p>
      <w:pPr>
        <w:spacing w:before="0" w:after="80"/>
        <w:ind w:left="320"/>
      </w:pPr>
      <w:r>
        <w:rPr>
          <w:rFonts w:ascii="Arial" w:cs="Arial" w:eastAsia="Arial" w:hAnsi="Arial"/>
          <w:color w:val="333333"/>
          <w:sz w:val="22"/>
          <w:szCs w:val="22"/>
        </w:rPr>
        <w:t xml:space="preserve">Because the question that matters is not 'what happened in 2008' but 'what does this tell us about how to run a campaign today.' The 2024 Context tab answers that directly, finding by finding. Some insights are confirmed (engagement quality, seasonal timing). Others are outdated (telephone as primary channel). One has escalated in urgency (data quality). All benchmarks are sourced, sample sizes are cited, and the tab makes clear which figures come from the dataset and which from external publications.</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Call duration can't be used pre-call. Why include it?</w:t>
      </w:r>
    </w:p>
    <w:p>
      <w:pPr>
        <w:spacing w:before="0" w:after="80"/>
        <w:ind w:left="320"/>
      </w:pPr>
      <w:r>
        <w:rPr>
          <w:rFonts w:ascii="Arial" w:cs="Arial" w:eastAsia="Arial" w:hAnsi="Arial"/>
          <w:color w:val="333333"/>
          <w:sz w:val="22"/>
          <w:szCs w:val="22"/>
        </w:rPr>
        <w:t xml:space="preserve">Because it is the strongest predictor in the dataset and ignoring it would be analytically dishonest. I include it with a clear caveat - in the feature importance chart the duration bar is visually dimmed and the tooltip labels it 'post-call signal only'. In Insight 01 the limitation is stated in the body text. The distinction between post-call signals (duration) and pre-call signals (housing loan, contact frequency, prior outcome) is actually the central argument of the Targeting Intelligence tab - you cannot act on what you only know after the fact.</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How would you improve this analysis with more time?</w:t>
      </w:r>
    </w:p>
    <w:p>
      <w:pPr>
        <w:spacing w:before="0" w:after="80"/>
        <w:ind w:left="320"/>
      </w:pPr>
      <w:r>
        <w:rPr>
          <w:rFonts w:ascii="Arial" w:cs="Arial" w:eastAsia="Arial" w:hAnsi="Arial"/>
          <w:color w:val="333333"/>
          <w:sz w:val="22"/>
          <w:szCs w:val="22"/>
        </w:rPr>
        <w:t xml:space="preserve">Three things. First, a proper train/test split on the logistic regression and a confusion matrix to show precision and recall at different decision thresholds - the 89.1% accuracy figure alone is not sufficient. Second, a cost-benefit analysis incorporating the cost per call alongside margin per conversion, so the targeting scenario is framed in net profit rather than revenue uplift. Third, clustering the 36,959 'unknown prior outcome' contacts by demographic profile to identify which sub-segments are most worth re-engaging.</w:t>
      </w:r>
    </w:p>
    <w:p>
      <w:pPr>
        <w:spacing w:before="220" w:after="60"/>
      </w:pPr>
      <w:r>
        <w:rPr>
          <w:rFonts w:ascii="Arial" w:cs="Arial" w:eastAsia="Arial" w:hAnsi="Arial"/>
          <w:b/>
          <w:bCs/>
          <w:color w:val="A8855A"/>
          <w:sz w:val="22"/>
          <w:szCs w:val="22"/>
        </w:rPr>
        <w:t xml:space="preserve">Q  </w:t>
      </w:r>
      <w:r>
        <w:rPr>
          <w:rFonts w:ascii="Arial" w:cs="Arial" w:eastAsia="Arial" w:hAnsi="Arial"/>
          <w:b/>
          <w:bCs/>
          <w:color w:val="1A1A2E"/>
          <w:sz w:val="22"/>
          <w:szCs w:val="22"/>
        </w:rPr>
        <w:t xml:space="preserve">What would you do differently if you were the campaign manager in 2008?</w:t>
      </w:r>
    </w:p>
    <w:p>
      <w:pPr>
        <w:spacing w:before="0" w:after="80"/>
        <w:ind w:left="320"/>
      </w:pPr>
      <w:r>
        <w:rPr>
          <w:rFonts w:ascii="Arial" w:cs="Arial" w:eastAsia="Arial" w:hAnsi="Arial"/>
          <w:color w:val="333333"/>
          <w:sz w:val="22"/>
          <w:szCs w:val="22"/>
        </w:rPr>
        <w:t xml:space="preserve">Three immediate changes, all zero additional cost. One: prioritise the 1,511 clients with a previous successful subscription as a first-pass list - at 64.7% conversion they are the highest-ROI contacts in the database and received only 3.3% of calls. Two: set a hard stop at three contact attempts per prospect - the rate at four or more contacts drops to 7.4%, and those 9,641 calls could be reallocated to fresh leads. Three: apply a two-field CRM filter (no housing loan + first contact) before dialling - no model required, and it nearly doubles the expected conversion rate on the selected pool.</w:t>
      </w:r>
    </w:p>
    <w:p>
      <w:pPr>
        <w:spacing w:before="0" w:after="200"/>
      </w:pPr>
      <w:r>
        <w:t xml:space="preserve"/>
      </w:r>
    </w:p>
    <w:p>
      <w:pPr>
        <w:pBdr>
          <w:top w:val="single" w:color="DDDDDD" w:sz="2" w:space="4"/>
        </w:pBdr>
        <w:spacing w:before="120" w:after="0"/>
        <w:jc w:val="center"/>
      </w:pPr>
      <w:r>
        <w:rPr>
          <w:rFonts w:ascii="Arial" w:cs="Arial" w:eastAsia="Arial" w:hAnsi="Arial"/>
          <w:color w:val="AAAAAA"/>
          <w:sz w:val="18"/>
          <w:szCs w:val="18"/>
        </w:rPr>
        <w:t xml:space="preserve">Federico Mora  |  Research, analysis and interpretation  |  2026  |  UCI Bank Marketing Dataset - Moro, S., Cortez, P., &amp; Rita, P. (2014). Decision Support Systems, 62, 22-31.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A885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2026-03-04T17:22:55.828Z</dcterms:created>
  <dcterms:modified xsi:type="dcterms:W3CDTF">2026-03-04T17:22:55.829Z</dcterms:modified>
</cp:coreProperties>
</file>

<file path=docProps/custom.xml><?xml version="1.0" encoding="utf-8"?>
<Properties xmlns="http://schemas.openxmlformats.org/officeDocument/2006/custom-properties" xmlns:vt="http://schemas.openxmlformats.org/officeDocument/2006/docPropsVTypes"/>
</file>