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 w:name="introducción"/>
    <w:p>
      <w:pPr>
        <w:pStyle w:val="Heading1"/>
      </w:pPr>
      <w:r>
        <w:t xml:space="preserve">1. Introducción</w:t>
      </w:r>
    </w:p>
    <w:p>
      <w:pPr>
        <w:pStyle w:val="FirstParagraph"/>
      </w:pPr>
      <w:r>
        <w:t xml:space="preserve">Según la Organización Internacional del Trabajo, el 47,6 % del empleo de América Latina y el Caribe fue informal en 2024 (Organización Internacional del Trabajo, 2025). Casi la mitad de los trabajadores de la región no tiene recibo de sueldo, y ese recibo sigue siendo el documento que la banca tradicional pide para otorgar una tarjeta o un préstamo. Del lado de los negocios la brecha es del mismo orden. La Corporación Financiera Internacional estima que las micro, pequeñas y medianas empresas de los países en desarrollo tienen una demanda de financiamiento insatisfecha de 5,2 billones de dólares, más otros 2,9 billones en el sector informal, y que América Latina y el Caribe explica cerca de 1,2 billones de esa brecha (International Finance Corporation, 2017).</w:t>
      </w:r>
    </w:p>
    <w:p>
      <w:pPr>
        <w:pStyle w:val="BodyText"/>
      </w:pPr>
      <w:r>
        <w:t xml:space="preserve">En Colombia, el país de donde provienen los datos de esta tesis, la Encuesta de Micronegocios del DANE muestra qué ocurre con esa demanda cuando busca crédito. De los micronegocios que solicitaron un préstamo en 2024, el 60,0 % acudió a una entidad financiera regulada, el 22,9 % a un prestamista informal «gota a gota» y el 13,3 % a familiares y amigos (Departamento Administrativo Nacional de Estadística, 2025). Uno de cada cuatro consiguió el capital por fuera del sistema, a tasas y con métodos de cobro que ninguna institución formal aplicaría.</w:t>
      </w:r>
    </w:p>
    <w:p>
      <w:pPr>
        <w:pStyle w:val="BodyText"/>
      </w:pPr>
      <w:r>
        <w:t xml:space="preserve">Esa población es el objeto de esta tesis. Los solicitantes sin historial crediticio formal llegan a las</w:t>
      </w:r>
      <w:r>
        <w:t xml:space="preserve"> </w:t>
      </w:r>
      <w:r>
        <w:rPr>
          <w:i/>
          <w:iCs/>
        </w:rPr>
        <w:t xml:space="preserve">fintech</w:t>
      </w:r>
      <w:r>
        <w:t xml:space="preserve"> </w:t>
      </w:r>
      <w:r>
        <w:t xml:space="preserve">de crédito con poca información verificable, y los modelos que la industria usa para estimar el riesgo dependen de esa misma información. El trabajo compara, sobre una cartera real de microcréditos de una</w:t>
      </w:r>
      <w:r>
        <w:t xml:space="preserve"> </w:t>
      </w:r>
      <w:r>
        <w:rPr>
          <w:i/>
          <w:iCs/>
        </w:rPr>
        <w:t xml:space="preserve">fintech</w:t>
      </w:r>
      <w:r>
        <w:t xml:space="preserve"> </w:t>
      </w:r>
      <w:r>
        <w:t xml:space="preserve">colombiana, dos familias de métodos: los modelos estadísticos clásicos, que aprenden de las variables numéricas del formulario y del buró, y los modelos de lenguaje de gran escala, que además pueden leer la descripción en texto libre que el solicitante escribe sobre su negocio. La pregunta es si esa capacidad de lectura alcanza para ordenar mejor el riesgo. Para responderla, este capítulo presenta primero qué se decide cuando se otorga un crédito, qué información falta en este segmento y por qué los métodos que dominan la práctica llegan a un techo cuando la información es incompleta.</w:t>
      </w:r>
    </w:p>
    <w:bookmarkStart w:id="9" w:name="el-crédito-como-promesa-de-pago-futuro"/>
    <w:p>
      <w:pPr>
        <w:pStyle w:val="Heading2"/>
      </w:pPr>
      <w:r>
        <w:t xml:space="preserve">1.1 El crédito como promesa de pago futuro</w:t>
      </w:r>
    </w:p>
    <w:p>
      <w:pPr>
        <w:pStyle w:val="FirstParagraph"/>
      </w:pPr>
      <w:r>
        <w:t xml:space="preserve">El sistema financiero cumple una función que ninguna otra industria reemplaza: mueve recursos desde quienes ahorran hacia quienes tienen proyectos y no tienen con qué financiarlos. Esa intermediación explica buena parte del crecimiento de una economía, porque decide qué proyectos consiguen capital y cuáles no (Levine, 2004). Los bancos y las entidades de crédito no solo trasladan el dinero. También evalúan y vigilan a quien lo recibe, y ese monitoreo delegado es la razón económica por la que existen como intermediarios en lugar de que cada ahorrista preste por su cuenta (Diamond, 1984).</w:t>
      </w:r>
    </w:p>
    <w:p>
      <w:pPr>
        <w:pStyle w:val="BodyText"/>
      </w:pPr>
      <w:r>
        <w:t xml:space="preserve">El crédito es el instrumento con el que esa función llega a una persona concreta. Una institución entrega un monto y el cliente se compromete a devolverlo con intereses, en cuotas regulares y durante un plazo pactado. La operación tiene una asimetría que la define: la entidad entrega el dinero hoy y recibe la contraprestación en el futuro. Por eso, en el momento de decidir, lo único que puede evaluar es la promesa de pago y no el pago. El resultado tampoco depende solo de la voluntad del deudor. Un negocio puede quebrar, un ingreso puede caer, un hogar puede enfrentar un gasto imprevisto. La decisión de prestar, entonces, no admite certeza. Solo admite estimar probabilidades.</w:t>
      </w:r>
    </w:p>
    <w:p>
      <w:pPr>
        <w:pStyle w:val="BodyText"/>
      </w:pPr>
      <w:r>
        <w:t xml:space="preserve">A esa incertidumbre la teoría económica le agrega un segundo problema: la información no está repartida por igual entre las dos partes. El planteo clásico supone que quien pide el préstamo conoce su situación mejor que quien lo otorga y elige cuánto revelar. El prestamista, entonces, no puede distinguir a simple vista un solicitante bueno de uno malo. Akerlof (1970) mostró que un mercado con esa estructura tiende a degradarse, porque el precio promedio expulsa a los participantes de mejor calidad. Stiglitz y Weiss (1981) llevaron el argumento al crédito y explicaron por qué los prestamistas racionan en lugar de subir la tasa hasta equilibrar la demanda: una tasa más alta atrae a los solicitantes más riesgosos y empeora la cartera. Por eso la industria no resuelve el problema con precios sino con información. El negocio consiste en conseguir datos que permitan separar a unos de otros antes de firmar.</w:t>
      </w:r>
    </w:p>
    <w:p>
      <w:pPr>
        <w:pStyle w:val="BodyText"/>
      </w:pPr>
      <w:r>
        <w:t xml:space="preserve">Ese supuesto describe mal al segmento que estudia esta tesis, y la diferencia importa para entender qué tipo de dato puede aportar algo. Un microempresario informal no suele tener la información que el planteo clásico le atribuye. No lleva contabilidad, no separa la caja del negocio de la del hogar y no distingue con precisión su ingreso de su facturación. Muchas veces no oculta su situación: no la conoce. La evidencia empírica sobre este punto es directa. De Mel, McKenzie y Woodruff (2009) mostraron que la ganancia declarada por un microempresario depende de cómo se la pregunte, y que las estimaciones construidas a partir de ingresos y gastos difieren de la ganancia que el propio dueño reporta. Drexler, Fischer y Schoar (2014) encontraron que capacitar a microempresarios en reglas prácticas de manejo del dinero mejora sus registros más que enseñarles contabilidad formal, porque el punto de partida es la ausencia de registro. La literatura sobre alfabetización financiera agrega que la comprensión de conceptos básicos, como interés compuesto, inflación o diversificación, es baja en general y más baja en los hogares de menores ingresos (Lusardi y Mitchell, 2014).</w:t>
      </w:r>
    </w:p>
    <w:p>
      <w:pPr>
        <w:pStyle w:val="BodyText"/>
      </w:pPr>
      <w:r>
        <w:t xml:space="preserve">Por eso en este segmento hay que distinguir tres situaciones que suelen mezclarse bajo el mismo nombre. La primera es el</w:t>
      </w:r>
      <w:r>
        <w:t xml:space="preserve"> </w:t>
      </w:r>
      <w:r>
        <w:rPr>
          <w:b/>
          <w:bCs/>
        </w:rPr>
        <w:t xml:space="preserve">ocultamiento estratégico</w:t>
      </w:r>
      <w:r>
        <w:t xml:space="preserve">, el caso clásico: alguien sabe que no va a poder pagar y no lo dice. La segunda es la</w:t>
      </w:r>
      <w:r>
        <w:t xml:space="preserve"> </w:t>
      </w:r>
      <w:r>
        <w:rPr>
          <w:b/>
          <w:bCs/>
        </w:rPr>
        <w:t xml:space="preserve">incertidumbre genuina y compartida</w:t>
      </w:r>
      <w:r>
        <w:t xml:space="preserve">: ninguna de las dos partes conoce el estado real del negocio ni su capacidad de pago futura. La tercera es el</w:t>
      </w:r>
      <w:r>
        <w:t xml:space="preserve"> </w:t>
      </w:r>
      <w:r>
        <w:rPr>
          <w:b/>
          <w:bCs/>
        </w:rPr>
        <w:t xml:space="preserve">ruido</w:t>
      </w:r>
      <w:r>
        <w:t xml:space="preserve">: el solicitante contesta con la mejor información que tiene y esa información es imprecisa. Las tres producen el mismo síntoma en la base de datos, variables autodeclaradas que predicen peor de lo que deberían, y exigen respuestas distintas. Contra el ocultamiento sirve verificar. Contra la incertidumbre compartida no sirve ningún dato declarado, y de ahí el valor de la información que viene de terceros, como el buró. Contra el ruido sirve pedir aquello que el solicitante sí puede responder con precisión. Esa es una razón para prestarle atención a la descripción del negocio: nadie sabe mejor que él qué vende y a quién, incluso cuando no sabe cuánto gana.</w:t>
      </w:r>
    </w:p>
    <w:p>
      <w:pPr>
        <w:pStyle w:val="BodyText"/>
      </w:pPr>
      <w:r>
        <w:t xml:space="preserve">La respuesta clásica de la banca a esa incertidumbre es la garantía. Un inmueble, un vehículo o un aval reducen la pérdida si el crédito falla, y por eso el crédito garantizado convive con requisitos de información menos exigentes. El microcrédito no dispone de ese recurso. Los montos son pequeños, los plazos cortos y los solicitantes no tienen activos que respalden la operación. Sin garantía que ejecutar, la única defensa del prestamista es la calidad de su estimación. De ahí que en este segmento el modelo de riesgo cargue con un peso que en otros productos comparte con el colateral.</w:t>
      </w:r>
    </w:p>
    <w:bookmarkEnd w:id="9"/>
    <w:bookmarkStart w:id="10" w:name="Xa763c459df48927dc5d2318df3bbf171d5c221f"/>
    <w:p>
      <w:pPr>
        <w:pStyle w:val="Heading2"/>
      </w:pPr>
      <w:r>
        <w:t xml:space="preserve">1.2 El riesgo de crédito, el puntaje y la política de riesgo</w:t>
      </w:r>
    </w:p>
    <w:p>
      <w:pPr>
        <w:pStyle w:val="FirstParagraph"/>
      </w:pPr>
      <w:r>
        <w:t xml:space="preserve">Hay dos cosas que el lenguaje corriente confunde y que este trabajo separa desde el principio. El</w:t>
      </w:r>
      <w:r>
        <w:t xml:space="preserve"> </w:t>
      </w:r>
      <w:r>
        <w:rPr>
          <w:b/>
          <w:bCs/>
        </w:rPr>
        <w:t xml:space="preserve">riesgo de crédito</w:t>
      </w:r>
      <w:r>
        <w:t xml:space="preserve"> </w:t>
      </w:r>
      <w:r>
        <w:t xml:space="preserve">es el fenómeno: la posibilidad de que un deudor no cumpla con los pagos comprometidos. El</w:t>
      </w:r>
      <w:r>
        <w:t xml:space="preserve"> </w:t>
      </w:r>
      <w:r>
        <w:rPr>
          <w:b/>
          <w:bCs/>
        </w:rPr>
        <w:t xml:space="preserve">modelo de riesgo de crédito</w:t>
      </w:r>
      <w:r>
        <w:t xml:space="preserve"> </w:t>
      </w:r>
      <w:r>
        <w:t xml:space="preserve">es el artefacto que estima ese fenómeno, y su producto es un número. La literatura de</w:t>
      </w:r>
      <w:r>
        <w:t xml:space="preserve"> </w:t>
      </w:r>
      <w:r>
        <w:rPr>
          <w:i/>
          <w:iCs/>
        </w:rPr>
        <w:t xml:space="preserve">credit scoring</w:t>
      </w:r>
      <w:r>
        <w:t xml:space="preserve"> </w:t>
      </w:r>
      <w:r>
        <w:t xml:space="preserve">llama puntaje a ese número, que ordena a los solicitantes según su probabilidad estimada de caer en mora (Hand y Henley, 1997; Thomas et al., 2002). Medio siglo de práctica convirtió esa estimación en una disciplina con métodos propios, revisiones periódicas y estándares de industria (Crook et al., 2007; Lessmann et al., 2015).</w:t>
      </w:r>
    </w:p>
    <w:p>
      <w:pPr>
        <w:pStyle w:val="BodyText"/>
      </w:pPr>
      <w:r>
        <w:t xml:space="preserve">El puntaje, sin embargo, no decide. La entidad fija una</w:t>
      </w:r>
      <w:r>
        <w:t xml:space="preserve"> </w:t>
      </w:r>
      <w:r>
        <w:rPr>
          <w:b/>
          <w:bCs/>
        </w:rPr>
        <w:t xml:space="preserve">política de riesgo</w:t>
      </w:r>
      <w:r>
        <w:t xml:space="preserve"> </w:t>
      </w:r>
      <w:r>
        <w:t xml:space="preserve">que traduce el número en una acción: un umbral por encima del cual aprueba, reglas de exclusión que rechazan ciertos perfiles, topes de monto y plazo según el tramo de puntaje y, a veces, una segunda revisión manual para los casos de frontera. Un mismo modelo, con la misma cartera, produce resultados muy distintos según dónde la institución ponga el corte y qué reglas agregue por encima (Siddiqi, 2017). La regulación bancaria reconoce esa separación cuando exige documentar tanto la estimación de la probabilidad de mora como el uso que la entidad hace de ella en la aprobación y en el cálculo de capital (Basel Committee on Banking Supervision, 2006). Ignorar la política y hablar solo del modelo lleva a leer mal cualquier resultado empírico. Este trabajo vuelve varias veces sobre ese punto.</w:t>
      </w:r>
    </w:p>
    <w:p>
      <w:pPr>
        <w:pStyle w:val="BodyText"/>
      </w:pPr>
      <w:r>
        <w:t xml:space="preserve">El puntaje tampoco es un objeto estático. Un modelo de riesgo tiene un ciclo de vida. La entidad lo desarrolla sobre una cohorte histórica, lo valida sobre datos que no usó para ajustarlo, lo pone en producción con un umbral y a partir de ahí lo monitorea para detectar cuándo su desempeño se degrada. La degradación es esperable, porque cambian la población de solicitantes, la política de aprobación y el contexto económico. Llegado cierto punto, la entidad redesarrolla el modelo con datos nuevos (Siddiqi, 2017). Ese ciclo importa para esta tesis por una razón práctica: cualquier comparación entre enfoques se hace en un momento del ciclo y con una cohorte determinada, y un resultado obtenido sobre la cartera de un período no se traslada automáticamente a otro. La partición temporal que este trabajo adopta busca reproducir esa situación en la evaluación, no evitarla.</w:t>
      </w:r>
    </w:p>
    <w:p>
      <w:pPr>
        <w:pStyle w:val="BodyText"/>
      </w:pPr>
      <w:r>
        <w:t xml:space="preserve">El insumo central del puntaje tradicional es el historial de pagos. Las entidades reportan periódicamente el comportamiento de sus deudores a un</w:t>
      </w:r>
      <w:r>
        <w:t xml:space="preserve"> </w:t>
      </w:r>
      <w:r>
        <w:rPr>
          <w:b/>
          <w:bCs/>
        </w:rPr>
        <w:t xml:space="preserve">buró de crédito</w:t>
      </w:r>
      <w:r>
        <w:t xml:space="preserve">, que consolida esos reportes y devuelve, para cada persona, un resumen de cuántas obligaciones tuvo, cuánto debe, cuántas veces se atrasó y por cuánto tiempo. El mecanismo funciona porque comparte información entre competidores. Los países donde los burós cubren a más población prestan más y registran menos mora, un efecto documentado tanto en comparaciones internacionales como en el desarrollo del crédito privado (Jappelli y Pagano, 2002; Djankov et al., 2007). El historial resuelve el problema de Akerlof de la manera más directa posible: convierte la conducta pasada en un dato verificable que el solicitante no puede declarar a su favor.</w:t>
      </w:r>
    </w:p>
    <w:p>
      <w:pPr>
        <w:pStyle w:val="BodyText"/>
      </w:pPr>
      <w:r>
        <w:t xml:space="preserve">Ese mecanismo tiene una condición de entrada que suele pasar desapercibida. Para que el buró tenga algo que informar, la persona ya tuvo que haber recibido crédito antes. El historial de pagos es a la vez el requisito para acceder al crédito y el producto de haber accedido, y esa circularidad deja afuera a quien nunca entró.</w:t>
      </w:r>
    </w:p>
    <w:p>
      <w:pPr>
        <w:pStyle w:val="BodyText"/>
      </w:pPr>
      <w:r>
        <w:t xml:space="preserve">Medir el fenómeno exige además decidir qué cuenta como incumplimiento, y esa decisión no es neutral. El estándar regulatorio internacional considera en incumplimiento al deudor cuando la entidad estima improbable el pago sin ejecutar garantías, o cuando el atraso supera los 90 días (Basel Committee on Banking Supervision, 2006). En microfinanzas, donde las cuotas son pequeñas y frecuentes, la industria trabaja también con umbrales de 60 días. Un atraso de dos meses en un crédito de tres meses de plazo significa algo muy distinto que en una hipoteca a veinte años. Cambiar el umbral cambia la proporción de casos marcados como mora y, con ella, la dificultad de la tarea y el sentido de cualquier comparación entre modelos. Esta tesis fija su definición en el capítulo 4 y la mantiene idéntica para todos los enfoques que compara. Una diferencia de definición produciría diferencias de desempeño que nada tienen que ver con la capacidad de los modelos.</w:t>
      </w:r>
    </w:p>
    <w:bookmarkEnd w:id="10"/>
    <w:bookmarkStart w:id="11" w:name="Xc0053a0a2bdc9c85774f8550cecc5ef7a01fff3"/>
    <w:p>
      <w:pPr>
        <w:pStyle w:val="Heading2"/>
      </w:pPr>
      <w:r>
        <w:t xml:space="preserve">1.3 El problema: los solicitantes de historial escaso</w:t>
      </w:r>
    </w:p>
    <w:p>
      <w:pPr>
        <w:pStyle w:val="FirstParagraph"/>
      </w:pPr>
      <w:r>
        <w:t xml:space="preserve">La literatura anglosajona llama</w:t>
      </w:r>
      <w:r>
        <w:t xml:space="preserve"> </w:t>
      </w:r>
      <w:r>
        <w:rPr>
          <w:i/>
          <w:iCs/>
        </w:rPr>
        <w:t xml:space="preserve">thin-file</w:t>
      </w:r>
      <w:r>
        <w:t xml:space="preserve">, «archivo delgado», al solicitante cuyo registro en el buró contiene pocos o ningún dato. El nombre alude a las carpetas físicas que, sin movimientos que archivar, quedaban finas. Esta tesis lo llama</w:t>
      </w:r>
      <w:r>
        <w:t xml:space="preserve"> </w:t>
      </w:r>
      <w:r>
        <w:rPr>
          <w:b/>
          <w:bCs/>
        </w:rPr>
        <w:t xml:space="preserve">historial escaso</w:t>
      </w:r>
      <w:r>
        <w:t xml:space="preserve"> </w:t>
      </w:r>
      <w:r>
        <w:t xml:space="preserve">y lo opone a</w:t>
      </w:r>
      <w:r>
        <w:t xml:space="preserve"> </w:t>
      </w:r>
      <w:r>
        <w:rPr>
          <w:b/>
          <w:bCs/>
        </w:rPr>
        <w:t xml:space="preserve">historial denso</w:t>
      </w:r>
      <w:r>
        <w:t xml:space="preserve">, el del cliente con trayectoria registrada. En el conjunto de datos que analiza, la condición se define de manera operativa: un solicitante tiene historial escaso cuando la mayoría de los atributos que devuelve el buró llegan con un código que indica ausencia de información. No es una carencia marginal. En esta cartera, esa condición describe a la mayor parte de los clientes, y el capítulo 4 documenta la proporción exacta.</w:t>
      </w:r>
    </w:p>
    <w:p>
      <w:pPr>
        <w:pStyle w:val="BodyText"/>
      </w:pPr>
      <w:r>
        <w:t xml:space="preserve">El caso de los Estados Unidos da una medida del tamaño del fenómeno en un mercado con burós maduros. Brevoort, Grimm y Kambara (2015) estimaron que el 11 % de los adultos, unos 26 millones de personas, no tenía ningún registro en las tres grandes centrales de riesgo, y que otro grupo comparable tenía registros demasiado pobres para calcular un puntaje. Una corrección metodológica posterior del mismo organismo redujo a la mitad la estimación de quienes carecen de registro, con un aumento casi equivalente en la categoría de registros no puntuables (Kambara y Luce, 2025). El ajuste no cambia la conclusión y hasta la refuerza para esta tesis: el problema dominante no es la ausencia total de registro sino un registro insuficiente para que un modelo tradicional lo use. Esa es la situación que describe el término</w:t>
      </w:r>
      <w:r>
        <w:t xml:space="preserve"> </w:t>
      </w:r>
      <w:r>
        <w:rPr>
          <w:i/>
          <w:iCs/>
        </w:rPr>
        <w:t xml:space="preserve">thin-file</w:t>
      </w:r>
      <w:r>
        <w:t xml:space="preserve">.</w:t>
      </w:r>
    </w:p>
    <w:p>
      <w:pPr>
        <w:pStyle w:val="BodyText"/>
      </w:pPr>
      <w:r>
        <w:t xml:space="preserve">El perfil del solicitante explica por qué el dato falta. Quien pide un microcrédito en esta cartera suele ser un trabajador por cuenta propia con un negocio de subsistencia o de pequeña escala: un puesto en una plaza de mercado, un local de barrio, un servicio a domicilio, una reventa por catálogo. Sus ingresos son reales y a la vez difíciles de documentar, porque entran en efectivo, varían semana a semana y no pasan por un recibo de sueldo ni por una declaración impositiva. Nada de eso lo vuelve mal pagador, pero sí lo vuelve ilegible para un sistema de evaluación construido sobre documentación formal. Las variables que ese sistema pide, como antigüedad laboral, ingreso comprobable e historial de obligaciones, llegan vacías o autodeclaradas. El prestamista queda con dos opciones: no prestar, o prestar con otra información.</w:t>
      </w:r>
    </w:p>
    <w:p>
      <w:pPr>
        <w:pStyle w:val="BodyText"/>
      </w:pPr>
      <w:r>
        <w:t xml:space="preserve">Hay una distinción que organiza el problema:</w:t>
      </w:r>
      <w:r>
        <w:t xml:space="preserve"> </w:t>
      </w:r>
      <w:r>
        <w:rPr>
          <w:b/>
          <w:bCs/>
        </w:rPr>
        <w:t xml:space="preserve">estar bancarizado no equivale a tener acceso al crédito</w:t>
      </w:r>
      <w:r>
        <w:t xml:space="preserve">. Una persona puede cobrar su sueldo en una cuenta, pagar servicios con una tarjeta de débito y transferir dinero por el celular sin haber tomado nunca un préstamo. Toda esa actividad la vuelve visible para el sistema de pagos y la deja invisible para el sistema de crédito, porque el buró registra obligaciones y comportamiento de pago, no movimientos de caja. El Global Findex informa que el 79 % de los adultos del mundo tiene una cuenta financiera y que en América Latina y el Caribe, sin contar las economías de ingreso alto, la proporción se acerca al 70 % (Demirgüç-Kunt et al., 2025). Tener una cuenta no implica haber recibido un crédito. En la región, la población que queda afuera del crédito coincide en gran medida con la economía informal: el microempresario que vende en la calle, el comercio de barrio sin registro contable, el oficio que se cobra en efectivo. Son personas con ingresos reales y sin la documentación que el sistema financiero tradicional exige para creerles.</w:t>
      </w:r>
    </w:p>
    <w:p>
      <w:pPr>
        <w:pStyle w:val="BodyText"/>
      </w:pPr>
      <w:r>
        <w:t xml:space="preserve">La consecuencia práctica se conoce como trampa de la visibilidad crediticia: quien no tiene historial recibe un rechazo, y el rechazo le impide construir el historial que le piden. Romper ese círculo requiere que alguien preste con información distinta de la que el buró no tiene, y la investigación reciente mostró que esa información existe. Berg et al. (2020) encontraron que las variables tomadas de la huella digital de un cliente en un sitio de comercio electrónico, como el dispositivo con el que entra, el canal por el que llega o cómo escribe su nombre, predicen la mora tan bien como el puntaje del buró y aportan señal que ese puntaje no contiene. Björkegren y Grissen (2020) mostraron que los patrones de uso del teléfono celular predicen el repago en un mercado emergente. Chioda et al. (2024) documentaron el caso que enmarca esta tesis: cómo una</w:t>
      </w:r>
      <w:r>
        <w:t xml:space="preserve"> </w:t>
      </w:r>
      <w:r>
        <w:rPr>
          <w:i/>
          <w:iCs/>
        </w:rPr>
        <w:t xml:space="preserve">fintech</w:t>
      </w:r>
      <w:r>
        <w:t xml:space="preserve"> </w:t>
      </w:r>
      <w:r>
        <w:t xml:space="preserve">evalúa y presta a deudores sin ningún historial previo. Estos trabajos comparten un supuesto que esta tesis pone a prueba en su propia versión: cuando el dato tradicional falta, el dato alternativo puede ocupar su lugar.</w:t>
      </w:r>
    </w:p>
    <w:bookmarkEnd w:id="11"/>
    <w:bookmarkStart w:id="12" w:name="Xde51325964d95660bf09d4b7bb4f6edbb7fd16b"/>
    <w:p>
      <w:pPr>
        <w:pStyle w:val="Heading2"/>
      </w:pPr>
      <w:r>
        <w:t xml:space="preserve">1.4 El ecosistema de aplicación: fintech de crédito en América Latina</w:t>
      </w:r>
    </w:p>
    <w:p>
      <w:pPr>
        <w:pStyle w:val="FirstParagraph"/>
      </w:pPr>
      <w:r>
        <w:t xml:space="preserve">La palabra</w:t>
      </w:r>
      <w:r>
        <w:t xml:space="preserve"> </w:t>
      </w:r>
      <w:r>
        <w:rPr>
          <w:i/>
          <w:iCs/>
        </w:rPr>
        <w:t xml:space="preserve">fintech</w:t>
      </w:r>
      <w:r>
        <w:t xml:space="preserve">, del inglés</w:t>
      </w:r>
      <w:r>
        <w:t xml:space="preserve"> </w:t>
      </w:r>
      <w:r>
        <w:rPr>
          <w:i/>
          <w:iCs/>
        </w:rPr>
        <w:t xml:space="preserve">financial technology</w:t>
      </w:r>
      <w:r>
        <w:t xml:space="preserve">, designa a las empresas que usan tecnología digital para ofrecer servicios financieros por fuera de los canales de la banca tradicional: pagos, ahorro, transferencias y crédito (Financial Stability Board, 2017). Para esta tesis importa menos la tecnología que el modelo de operación que habilita. Una</w:t>
      </w:r>
      <w:r>
        <w:t xml:space="preserve"> </w:t>
      </w:r>
      <w:r>
        <w:rPr>
          <w:i/>
          <w:iCs/>
        </w:rPr>
        <w:t xml:space="preserve">fintech</w:t>
      </w:r>
      <w:r>
        <w:t xml:space="preserve"> </w:t>
      </w:r>
      <w:r>
        <w:t xml:space="preserve">de crédito recibe la solicitud por una aplicación o un formulario web, resuelve en minutos sin sucursal ni entrevista, y desembolsa a una cuenta o a una billetera digital. Ese ciclo corto la obliga a decidir con lo que el solicitante declara en el momento y con lo que ella misma pueda consultar de manera automática.</w:t>
      </w:r>
    </w:p>
    <w:p>
      <w:pPr>
        <w:pStyle w:val="BodyText"/>
      </w:pPr>
      <w:r>
        <w:t xml:space="preserve">América Latina se convirtió en un terreno muy activo para ese modelo por una razón simple: la brecha que las</w:t>
      </w:r>
      <w:r>
        <w:t xml:space="preserve"> </w:t>
      </w:r>
      <w:r>
        <w:rPr>
          <w:i/>
          <w:iCs/>
        </w:rPr>
        <w:t xml:space="preserve">fintech</w:t>
      </w:r>
      <w:r>
        <w:t xml:space="preserve"> </w:t>
      </w:r>
      <w:r>
        <w:t xml:space="preserve">aprovechan es más grande en la región que en los mercados desarrollados. El cuarto informe conjunto del Banco Interamericano de Desarrollo y Finnovista identificó 3.069 empresas de tecnología financiera en 26 países de la región en 2023, frente a 703 en 18 países en 2017, un crecimiento de más del 340 % en seis años (Banco Interamericano de Desarrollo y Finnovista, 2024). Brasil, México y Colombia concentran el 57 % de esas empresas, y Colombia por sí sola aporta el 13 % del total regional. El segmento de préstamos reúne al 19 % de las plataformas, apenas por detrás de pagos y remesas, y más de la mitad de las empresas relevadas declara atender a población no bancarizada o subbancarizada. Ese es el mercado del que proviene la cartera analizada en esta tesis. La literatura académica llegó a conclusiones convergentes: el crédito</w:t>
      </w:r>
      <w:r>
        <w:t xml:space="preserve"> </w:t>
      </w:r>
      <w:r>
        <w:rPr>
          <w:i/>
          <w:iCs/>
        </w:rPr>
        <w:t xml:space="preserve">fintech</w:t>
      </w:r>
      <w:r>
        <w:t xml:space="preserve"> </w:t>
      </w:r>
      <w:r>
        <w:t xml:space="preserve">aparece con más fuerza donde la banca tradicional cubre menos, y amplía el acceso en segmentos que el sistema formal no atendía (Cornelli et al., 2022; Frost et al., 2019).</w:t>
      </w:r>
    </w:p>
    <w:p>
      <w:pPr>
        <w:pStyle w:val="BodyText"/>
      </w:pPr>
      <w:r>
        <w:t xml:space="preserve">El contraste con los mercados desarrollados aclara por qué el mismo modelo de negocio tiene otro significado en la región. En un país con burós de cobertura amplia, la</w:t>
      </w:r>
      <w:r>
        <w:t xml:space="preserve"> </w:t>
      </w:r>
      <w:r>
        <w:rPr>
          <w:i/>
          <w:iCs/>
        </w:rPr>
        <w:t xml:space="preserve">fintech</w:t>
      </w:r>
      <w:r>
        <w:t xml:space="preserve"> </w:t>
      </w:r>
      <w:r>
        <w:t xml:space="preserve">compite sobre todo en velocidad y experiencia de uso: el dato de riesgo ya existe y el diferencial está en cómo lo usa. En América Latina, la</w:t>
      </w:r>
      <w:r>
        <w:t xml:space="preserve"> </w:t>
      </w:r>
      <w:r>
        <w:rPr>
          <w:i/>
          <w:iCs/>
        </w:rPr>
        <w:t xml:space="preserve">fintech</w:t>
      </w:r>
      <w:r>
        <w:t xml:space="preserve"> </w:t>
      </w:r>
      <w:r>
        <w:t xml:space="preserve">compite en la generación misma del dato, porque para gran parte de sus solicitantes ese dato no existe en ningún registro. A eso se suma un contexto de alto uso de efectivo, informalidad extendida y una infraestructura digital que avanzó mucho más rápido que la infraestructura crediticia. Hoy hay más personas con billetera digital que con historial de crédito. El desarrollo regulatorio de la región acompañó ese movimiento con normas de pagos instantáneos interoperables y de finanzas abiertas, y Colombia figura entre los países que avanzaron en ambos frentes (Banco Interamericano de Desarrollo y Finnovista, 2024). Cada uno de esos avances genera huellas digitales nuevas, como transacciones, dispositivos y comportamiento en la aplicación, que son el tipo de dato alternativo que la literatura encontró predictivo (Berg et al., 2020; Björkegren y Grissen, 2020).</w:t>
      </w:r>
    </w:p>
    <w:p>
      <w:pPr>
        <w:pStyle w:val="BodyText"/>
      </w:pPr>
      <w:r>
        <w:t xml:space="preserve">Colombia agrega una particularidad regulatoria que condiciona los datos de esta tesis. La Ley 1266 de 2008 estableció el régimen general de habeas data financiero, que fija qué información crediticia pueden administrar los burós, por cuánto tiempo y con qué derechos para el titular. La Ley 2157 de 2021, conocida como de «borrón y cuenta nueva», modificó ese régimen para fortalecer el derecho del titular. Creó un régimen de transición que eliminó los reportes negativos de quienes se pusieran al día con sus obligaciones dentro de un plazo determinado y acotó la permanencia del dato negativo. La cartera que analiza esta tesis corresponde a créditos desembolsados entre julio de 2022 y enero de 2024, es decir, en el período inmediatamente posterior a esa reforma. La consecuencia empírica es concreta: parte de la información negativa que un buró colombiano habría reportado en otro momento fue borrada por vía legal. El historial disponible no solo es escaso por falta de experiencia crediticia. Además está truncado por norma. La discusión del capítulo 5 vuelve sobre este punto al interpretar el comportamiento de las variables de mora del buró.</w:t>
      </w:r>
    </w:p>
    <w:p>
      <w:pPr>
        <w:pStyle w:val="BodyText"/>
      </w:pPr>
      <w:r>
        <w:t xml:space="preserve">El modo de operar de una</w:t>
      </w:r>
      <w:r>
        <w:t xml:space="preserve"> </w:t>
      </w:r>
      <w:r>
        <w:rPr>
          <w:i/>
          <w:iCs/>
        </w:rPr>
        <w:t xml:space="preserve">fintech</w:t>
      </w:r>
      <w:r>
        <w:t xml:space="preserve"> </w:t>
      </w:r>
      <w:r>
        <w:t xml:space="preserve">deja dos marcas en los datos que produce, y las dos atraviesan toda esta tesis.</w:t>
      </w:r>
    </w:p>
    <w:p>
      <w:pPr>
        <w:pStyle w:val="BodyText"/>
      </w:pPr>
      <w:r>
        <w:t xml:space="preserve">La primera es el texto. Sin legajo, sin sucursal y sin entrevista, buena parte de lo que la institución sabe del solicitante es lo que él mismo escribió en el formulario. Entre esos campos hay uno que ningún atributo numérico reemplaza: la descripción en palabras del negocio que va a financiar. «Venta de frutas en plaza de mercado», «taller de motos con dos empleados», «reventa de ropa por catálogo». Ese texto llega en lenguaje natural, con abreviaturas, errores de tipeo y una variedad de categorías que ningún catálogo cerrado captura bien (Cerda y Varoquaux, 2020). Un modelo tabular tradicional lo descarta o lo reduce a una etiqueta, porque no está preparado para leerlo.</w:t>
      </w:r>
    </w:p>
    <w:p>
      <w:pPr>
        <w:pStyle w:val="BodyText"/>
      </w:pPr>
      <w:r>
        <w:t xml:space="preserve">La segunda marca es menos visible y más costosa. La institución solo observa el comportamiento de pago de los créditos que aprobó y desembolsó. De los solicitantes que rechazó nunca sabrá si habrían pagado, porque su política de riesgo les negó la oportunidad de demostrarlo. La base de datos que queda no es una muestra de quienes pidieron crédito, sino el subconjunto que la política dejó pasar. Heckman (1979) formalizó el problema como un error de especificación: estimar un modelo sobre una muestra seleccionada por una regla correlacionada con el resultado produce coeficientes sesgados, y ningún tamaño de muestra lo arregla. La literatura de</w:t>
      </w:r>
      <w:r>
        <w:t xml:space="preserve"> </w:t>
      </w:r>
      <w:r>
        <w:rPr>
          <w:i/>
          <w:iCs/>
        </w:rPr>
        <w:t xml:space="preserve">credit scoring</w:t>
      </w:r>
      <w:r>
        <w:t xml:space="preserve"> </w:t>
      </w:r>
      <w:r>
        <w:t xml:space="preserve">le puso nombre propio,</w:t>
      </w:r>
      <w:r>
        <w:t xml:space="preserve"> </w:t>
      </w:r>
      <w:r>
        <w:rPr>
          <w:b/>
          <w:bCs/>
        </w:rPr>
        <w:t xml:space="preserve">sesgo de selección</w:t>
      </w:r>
      <w:r>
        <w:t xml:space="preserve">, y desarrolló técnicas de inferencia de rechazados para corregirlo, con resultados moderados en el mejor de los casos (Crook y Banasik, 2004). Para esta tesis la consecuencia es que el patrón que cualquier modelo aprenda de esta cartera es el patrón de los aprobados. El capítulo 5 muestra que ese detalle no es un tecnicismo.</w:t>
      </w:r>
    </w:p>
    <w:bookmarkEnd w:id="12"/>
    <w:bookmarkStart w:id="13" w:name="Xf6748dae6daad33a84d8b391c788807fed88a0c"/>
    <w:p>
      <w:pPr>
        <w:pStyle w:val="Heading2"/>
      </w:pPr>
      <w:r>
        <w:t xml:space="preserve">1.5 Lo que está en juego: la frontera de decisión, los costos y las tasas</w:t>
      </w:r>
    </w:p>
    <w:p>
      <w:pPr>
        <w:pStyle w:val="FirstParagraph"/>
      </w:pPr>
      <w:r>
        <w:t xml:space="preserve">Un modelo de riesgo entrega un ordenamiento y la institución elige dónde cortarlo. Ese corte define una frontera de decisión con dos errores posibles, y la diferencia entre ellos organiza toda la economía del problema. Aprobar a quien después no paga cuesta el capital prestado más el costo de recuperarlo. Rechazar a quien habría pagado cuesta el margen que ese crédito habría generado. Los dos errores tienen precio y el precio no es el mismo. En una cartera de microcrédito, la pérdida por una operación en mora suele superar varias veces el margen de una operación sana, porque el margen es un porcentaje del monto mientras que la pérdida es el monto entero.</w:t>
      </w:r>
    </w:p>
    <w:p>
      <w:pPr>
        <w:pStyle w:val="BodyText"/>
      </w:pPr>
      <w:r>
        <w:t xml:space="preserve">Esa asimetría tiene consecuencias metodológicas que esta tesis retoma en el capítulo 4. Un modelo entrenado para maximizar la exactitud trata los dos errores como equivalentes y termina optimizando algo que a la institución no le interesa. La literatura de aprendizaje sensible al costo mostró que incorporar la matriz de costos al entrenamiento cambia las decisiones del clasificador (Elkan, 2001), y su versión aplicada al crédito llegó a modelos cuyo costo por caso depende del monto de cada operación (Bahnsen et al., 2014). En la misma línea, Verbraken et al. (2014) propusieron medir el desempeño de un modelo de</w:t>
      </w:r>
      <w:r>
        <w:t xml:space="preserve"> </w:t>
      </w:r>
      <w:r>
        <w:rPr>
          <w:i/>
          <w:iCs/>
        </w:rPr>
        <w:t xml:space="preserve">scoring</w:t>
      </w:r>
      <w:r>
        <w:t xml:space="preserve"> </w:t>
      </w:r>
      <w:r>
        <w:t xml:space="preserve">por la ganancia que produce y no solo por su capacidad de separar clases. Nada de esto elimina la necesidad de un buen ordenamiento. Si el modelo no distingue a los morosos de los pagadores, ninguna función de costos lo arregla. Por eso el ordenamiento es la métrica primaria de este trabajo, y las decisiones sobre umbrales quedan como una capa que se apoya sobre él.</w:t>
      </w:r>
    </w:p>
    <w:p>
      <w:pPr>
        <w:pStyle w:val="BodyText"/>
      </w:pPr>
      <w:r>
        <w:t xml:space="preserve">La aritmética de esa frontera es sencilla y explica por qué el ordenamiento vale tanto. Sea</w:t>
      </w:r>
      <w:r>
        <w:t xml:space="preserve"> </w:t>
      </w:r>
      <w:r>
        <w:rPr>
          <w:i/>
          <w:iCs/>
        </w:rPr>
        <w:t xml:space="preserve">M</w:t>
      </w:r>
      <w:r>
        <w:t xml:space="preserve"> </w:t>
      </w:r>
      <w:r>
        <w:t xml:space="preserve">el monto de un crédito,</w:t>
      </w:r>
      <w:r>
        <w:t xml:space="preserve"> </w:t>
      </w:r>
      <w:r>
        <w:rPr>
          <w:i/>
          <w:iCs/>
        </w:rPr>
        <w:t xml:space="preserve">i</w:t>
      </w:r>
      <w:r>
        <w:t xml:space="preserve"> </w:t>
      </w:r>
      <w:r>
        <w:t xml:space="preserve">la tasa para el plazo de la operación y</w:t>
      </w:r>
      <w:r>
        <w:t xml:space="preserve"> </w:t>
      </w:r>
      <w:r>
        <w:rPr>
          <w:i/>
          <w:iCs/>
        </w:rPr>
        <w:t xml:space="preserve">p</w:t>
      </w:r>
      <w:r>
        <w:t xml:space="preserve"> </w:t>
      </w:r>
      <w:r>
        <w:t xml:space="preserve">la probabilidad de que ese crédito entre en mora. Si la operación sale bien, la institución gana</w:t>
      </w:r>
      <w:r>
        <w:t xml:space="preserve"> </w:t>
      </w:r>
      <w:r>
        <w:rPr>
          <w:i/>
          <w:iCs/>
        </w:rPr>
        <w:t xml:space="preserve">i·M</w:t>
      </w:r>
      <w:r>
        <w:t xml:space="preserve">. Si sale mal y no recupera nada, pierde</w:t>
      </w:r>
      <w:r>
        <w:t xml:space="preserve"> </w:t>
      </w:r>
      <w:r>
        <w:rPr>
          <w:i/>
          <w:iCs/>
        </w:rPr>
        <w:t xml:space="preserve">M</w:t>
      </w:r>
      <w:r>
        <w:t xml:space="preserve">. El valor esperado de aprobar, sin contar el costo de fondeo, es (1 −</w:t>
      </w:r>
      <w:r>
        <w:t xml:space="preserve"> </w:t>
      </w:r>
      <w:r>
        <w:rPr>
          <w:i/>
          <w:iCs/>
        </w:rPr>
        <w:t xml:space="preserve">p</w:t>
      </w:r>
      <w:r>
        <w:t xml:space="preserve">)·</w:t>
      </w:r>
      <w:r>
        <w:rPr>
          <w:i/>
          <w:iCs/>
        </w:rPr>
        <w:t xml:space="preserve">i·M</w:t>
      </w:r>
      <w:r>
        <w:t xml:space="preserve"> </w:t>
      </w:r>
      <w:r>
        <w:t xml:space="preserve">−</w:t>
      </w:r>
      <w:r>
        <w:t xml:space="preserve"> </w:t>
      </w:r>
      <w:r>
        <w:rPr>
          <w:i/>
          <w:iCs/>
        </w:rPr>
        <w:t xml:space="preserve">p·M</w:t>
      </w:r>
      <w:r>
        <w:t xml:space="preserve">, y aprobar conviene mientras ese valor no sea negativo, es decir, mientras</w:t>
      </w:r>
      <w:r>
        <w:t xml:space="preserve"> </w:t>
      </w:r>
      <w:r>
        <w:rPr>
          <w:i/>
          <w:iCs/>
        </w:rPr>
        <w:t xml:space="preserve">p</w:t>
      </w:r>
      <w:r>
        <w:t xml:space="preserve"> </w:t>
      </w:r>
      <w:r>
        <w:t xml:space="preserve">≤</w:t>
      </w:r>
      <w:r>
        <w:t xml:space="preserve"> </w:t>
      </w:r>
      <w:r>
        <w:rPr>
          <w:i/>
          <w:iCs/>
        </w:rPr>
        <w:t xml:space="preserve">i</w:t>
      </w:r>
      <w:r>
        <w:t xml:space="preserve"> </w:t>
      </w:r>
      <w:r>
        <w:t xml:space="preserve">/ (1 +</w:t>
      </w:r>
      <w:r>
        <w:t xml:space="preserve"> </w:t>
      </w:r>
      <w:r>
        <w:rPr>
          <w:i/>
          <w:iCs/>
        </w:rPr>
        <w:t xml:space="preserve">i</w:t>
      </w:r>
      <w:r>
        <w:t xml:space="preserve">). Con una tasa del 20 % para el plazo del crédito, el punto de equilibrio queda cerca de una probabilidad de mora del 17 %. Ese es el umbral que la política de riesgo traduce en una decisión. El resultado general es conocido en la literatura de aprendizaje sensible al costo: el umbral óptimo depende únicamente de la relación entre el costo de los dos errores, no de la exactitud del modelo (Elkan, 2001). La regulación bancaria descompone el mismo cálculo en tres factores, la probabilidad de incumplimiento, la pérdida dado el incumplimiento y la exposición al momento del incumplimiento, y exige estimar cada uno por separado (Basel Committee on Banking Supervision, 2006).</w:t>
      </w:r>
    </w:p>
    <w:p>
      <w:pPr>
        <w:pStyle w:val="BodyText"/>
      </w:pPr>
      <w:r>
        <w:t xml:space="preserve">Con esa aritmética, un modelo que ordena mal no solo pierde dinero: también encarece el crédito. La tasa que la institución cobra tiene que cubrir el costo de fondearse, los costos operativos, el margen y la pérdida esperada del grupo al que asigna a cada solicitante. Si el modelo no discrimina, todos los solicitantes del segmento caen en el mismo grupo y reciben la misma probabilidad estimada, la del promedio. Cuando ese promedio queda por encima del punto de equilibrio, la institución rechaza al grupo entero, incluidos los buenos pagadores que no puede identificar. Cuando queda por debajo, aprueba al grupo entero y cobra a todos una tasa que incorpora la mora de los peores. En los dos casos los buenos pagadores del segmento subsidian a los malos. La literatura de precios basados en riesgo documentó ese subsidio cruzado en el crédito a hogares (Edelberg, 2006).</w:t>
      </w:r>
    </w:p>
    <w:p>
      <w:pPr>
        <w:pStyle w:val="BodyText"/>
      </w:pPr>
      <w:r>
        <w:t xml:space="preserve">Un modelo que ordena mejor rompe ese grupo único en tramos con probabilidades distintas, y eso mueve la frontera en la dirección que importa: parte de los solicitantes que antes quedaban del lado del rechazo pasan a ser aprobables a una tasa que su riesgo justifica. Ese es el sentido económico de subir un punto de AUC en este segmento, y la razón por la que la literatura desarrolló métricas que expresan la mejora directamente en ganancia esperada (Verbraken et al., 2014). El argumento cierra con el problema de §1.1. Si la institución intenta compensar un ordenamiento pobre subiendo la tasa, eleva el punto de equilibrio pero también empeora la composición de quienes aceptan esa tasa, que es el racionamiento que describieron Stiglitz y Weiss (1981). Sin mejor información, el precio no resuelve el problema.</w:t>
      </w:r>
    </w:p>
    <w:p>
      <w:pPr>
        <w:pStyle w:val="BodyText"/>
      </w:pPr>
      <w:r>
        <w:t xml:space="preserve">Ese argumento tiene una contracara, porque los modelos más flexibles no reparten beneficios de manera uniforme. Fuster et al. (2022) mostraron que el paso de modelos tradicionales a técnicas de aprendizaje automático en el mercado hipotecario estadounidense mejora la predicción y a la vez redistribuye: algunos grupos reciben mejores condiciones y otros empeoran, porque el modelo más flexible aprovecha información correlacionada con características demográficas. En el caso de un modelo que lee texto libre sobre el negocio del solicitante, esa preocupación no es abstracta. Un modelo de lenguaje trae asociaciones aprendidas de su corpus de entrenamiento, y esas asociaciones pueden vincular un rubro, un barrio o una forma de escribir con un nivel de riesgo sin ninguna base en el comportamiento de pago observado. La literatura de puntuación de crédito con modelos de lenguaje ya reportó diferencias de trato según cómo se serializa la información del solicitante (Azime et al., 2025). El marco regulatorio europeo clasificó a los sistemas de evaluación de solvencia como aplicaciones de alto riesgo, con obligaciones específicas de documentación y supervisión humana (Parlamento Europeo y Consejo de la Unión Europea, 2024). Esta tesis no resuelve el problema de la equidad algorítmica, pero lo tiene presente cada vez que compara enfoques.</w:t>
      </w:r>
    </w:p>
    <w:p>
      <w:pPr>
        <w:pStyle w:val="BodyText"/>
      </w:pPr>
      <w:r>
        <w:t xml:space="preserve">Hay un requisito adicional que cualquier modelo debe cumplir para llegar a producción en esta industria, y que condiciona qué enfoques son viables. Un área de riesgo necesita poder explicar por qué el sistema rechazó una solicitud, tanto para responder al cliente como para defender el modelo ante un auditor o un regulador. La literatura de</w:t>
      </w:r>
      <w:r>
        <w:t xml:space="preserve"> </w:t>
      </w:r>
      <w:r>
        <w:rPr>
          <w:i/>
          <w:iCs/>
        </w:rPr>
        <w:t xml:space="preserve">credit scoring</w:t>
      </w:r>
      <w:r>
        <w:t xml:space="preserve"> </w:t>
      </w:r>
      <w:r>
        <w:t xml:space="preserve">trató la transparencia, la auditabilidad y la explicabilidad como propiedades exigibles (Bücker et al., 2022). Esa exigencia es una de las razones por las que la Regresión Logística sobrevive décadas después de que existan métodos más precisos: sus coeficientes se leen. Un modelo de lenguaje introduce una ambigüedad nueva. Produce una explicación en palabras que suena convincente, pero esa narración no siempre corresponde a lo que efectivamente pesó en su respuesta (AlMarri et al., 2025). Una explicación legible no equivale a una explicación fiel.</w:t>
      </w:r>
    </w:p>
    <w:p>
      <w:pPr>
        <w:pStyle w:val="BodyText"/>
      </w:pPr>
      <w:r>
        <w:t xml:space="preserve">El costo de un mal ordenamiento se reparte, entonces, en tres planos. Para la institución es pérdida y margen desaprovechado. Para el cliente rechazado por error es un año más sin historial y, muchas veces, el desvío hacia el crédito informal a tasas mucho más altas. Para el sistema es una asignación de capital peor que la posible, en un segmento donde el capital es escaso. Por eso mejorar el ordenamiento del riesgo en carteras de historial escaso interesa más allá del resultado de un experimento comparativo. Y por eso también un resultado negativo bien establecido tendría valor: evitaría que una institución reemplace un método que funciona por uno que promete más.</w:t>
      </w:r>
    </w:p>
    <w:bookmarkEnd w:id="13"/>
    <w:bookmarkStart w:id="14" w:name="X21f4e66ee2ec1d13de06260aafdbba4a01b8bbe"/>
    <w:p>
      <w:pPr>
        <w:pStyle w:val="Heading2"/>
      </w:pPr>
      <w:r>
        <w:t xml:space="preserve">1.6 El obstáculo técnico: el techo de los modelos tabulares con información incompleta</w:t>
      </w:r>
    </w:p>
    <w:p>
      <w:pPr>
        <w:pStyle w:val="FirstParagraph"/>
      </w:pPr>
      <w:r>
        <w:t xml:space="preserve">Los datos de una solicitud de crédito tienen forma de tabla: una fila por cliente y una columna por variable. Para ese formato, dos familias de modelos dominan la práctica. La Regresión Logística es la referencia histórica de la industria, porque produce coeficientes interpretables que un área de riesgo puede auditar y un regulador puede exigir (Hand y Henley, 1997; Siddiqi, 2017). Los árboles potenciados por gradiente (</w:t>
      </w:r>
      <w:r>
        <w:rPr>
          <w:i/>
          <w:iCs/>
        </w:rPr>
        <w:t xml:space="preserve">gradient boosting</w:t>
      </w:r>
      <w:r>
        <w:t xml:space="preserve">), y en particular XGBoost, se convirtieron en el estándar de desempeño (Chen y Guestrin, 2016), y las comparaciones sistemáticas los ubican de manera consistente en la frontera para tareas de</w:t>
      </w:r>
      <w:r>
        <w:t xml:space="preserve"> </w:t>
      </w:r>
      <w:r>
        <w:rPr>
          <w:i/>
          <w:iCs/>
        </w:rPr>
        <w:t xml:space="preserve">credit scoring</w:t>
      </w:r>
      <w:r>
        <w:t xml:space="preserve"> </w:t>
      </w:r>
      <w:r>
        <w:t xml:space="preserve">(Lessmann et al., 2015). La ventaja tiene explicación. Los árboles capturan umbrales y quiebres, porque el riesgo cambia bruscamente al pasar cierta antigüedad o cierto nivel de deuda, y combinan variables numéricas y categóricas sin que nadie especifique de antemano cómo interactúan. La investigación sobre datos tabulares confirmó que esa familia sigue superando a las redes profundas en tablas de tamaño mediano: las redes tienden a suavizar fronteras que en estos datos son irregulares y sufren más con variables poco informativas (Grinsztajn et al., 2022; Borisov et al., 2024).</w:t>
      </w:r>
    </w:p>
    <w:p>
      <w:pPr>
        <w:pStyle w:val="BodyText"/>
      </w:pPr>
      <w:r>
        <w:t xml:space="preserve">El problema es que esa fortaleza descansa sobre una condición que el segmento de historial escaso no cumple. Los modelos tabulares aprenden de la variación de las columnas y necesitan tres cosas para funcionar bien: suficientes filas, columnas definidas de manera estable y columnas efectivamente completas. Las tres escasean en este segmento. La cantidad de operaciones que una</w:t>
      </w:r>
      <w:r>
        <w:t xml:space="preserve"> </w:t>
      </w:r>
      <w:r>
        <w:rPr>
          <w:i/>
          <w:iCs/>
        </w:rPr>
        <w:t xml:space="preserve">fintech</w:t>
      </w:r>
      <w:r>
        <w:t xml:space="preserve"> </w:t>
      </w:r>
      <w:r>
        <w:t xml:space="preserve">joven acumula con desenlace conocido se cuenta en miles, no en millones, y ese techo limita lo que cualquier método puede extraer, por más capacidad que tenga (Hollmann et al., 2025). Las definiciones cambian, porque los formularios se rediseñan y los atributos del buró se recalculan según la versión del catálogo del proveedor. Y sobre todo, las columnas llegan vacías. Cuando el buró no tiene historial que resumir, devuelve un código que indica ausencia de información, y las variables que aportarían más señal quedan mudas en los clientes sobre los que hay que decidir.</w:t>
      </w:r>
    </w:p>
    <w:p>
      <w:pPr>
        <w:pStyle w:val="BodyText"/>
      </w:pPr>
      <w:r>
        <w:t xml:space="preserve">Construir el dataset que estos modelos necesitan es caro, y ese costo es parte del planteo del problema, no un detalle de implementación. Relevar variables confiables exige instrumentar el formulario, capacitar a quien lo administra, validar lo que el cliente declara, esperar la maduración de las cohortes para saber quién pagó y mantener las definiciones estables durante todo ese tiempo. La investigación sobre sistemas de aprendizaje automático en producción documentó que ese trabajo de datos concentra la mayor parte del esfuerzo, recibe la menor parte de la atención y produce fallas que se propagan a todo el sistema cuando se descuida (Sambasivan et al., 2021). En una institución que atiende microempresarios informales, ese esfuerzo choca además con un límite práctico: pedirle más formularios a un vendedor ambulante que resuelve su solicitud desde el celular tiene un costo de conversión que el negocio no siempre puede absorber.</w:t>
      </w:r>
    </w:p>
    <w:p>
      <w:pPr>
        <w:pStyle w:val="BodyText"/>
      </w:pPr>
      <w:r>
        <w:t xml:space="preserve">A la escasez de columnas se suma la escasez de etiquetas, que es más costosa de resolver. La variable a predecir no se observa en el momento de la solicitud. Hay que esperar a que el crédito madure para saber si entró en mora. Con plazos de meses, las operaciones más recientes todavía no tienen desenlace conocido y quedan fuera del conjunto de entrenamiento. Cada mejora del formulario, además, reinicia parcialmente el reloj: las filas anteriores al cambio no tienen la variable nueva y las posteriores todavía no maduraron. Una institución joven vive de manera permanente en ese régimen. Por eso el volumen de datos utilizable crece mucho más despacio que el volumen de datos generado.</w:t>
      </w:r>
    </w:p>
    <w:p>
      <w:pPr>
        <w:pStyle w:val="BodyText"/>
      </w:pPr>
      <w:r>
        <w:t xml:space="preserve">Al mismo tiempo, el único insumo que casi nunca falta queda sin usar. La descripción del negocio existe para todos los solicitantes, la escribió el propio interesado y contiene información que ninguna columna numérica captura: qué vende, a quién, con qué grado de formalidad, con qué estacionalidad, cuánta infraestructura tiene detrás. Un modelo tabular convierte ese texto en una categoría o lo descarta, y en ambos casos pierde el contenido.</w:t>
      </w:r>
    </w:p>
    <w:p>
      <w:pPr>
        <w:pStyle w:val="BodyText"/>
      </w:pPr>
      <w:r>
        <w:t xml:space="preserve">La dificultad no es solo que un modelo tabular no lea el texto. El modo habitual de convertirlo en algo procesable lo destruye. La ruta estándar trata la descripción del negocio como una variable categórica y le asigna una columna por valor distinto. En un campo de texto libre, los valores distintos se cuentan por miles y casi ninguno se repite lo suficiente para que el modelo aprenda algo de él. La investigación sobre variables categóricas de alta cardinalidad mostró que las codificaciones clásicas fallan en ese régimen y propuso alternativas basadas en la similitud entre cadenas (Cerda y Varoquaux, 2020). Ninguna de esas alternativas, sin embargo, entiende lo que la frase dice. Pueden reconocer que «venta de frutas» y «venta de fruta» son la misma cosa, pero no que un puesto de frutas en una plaza de mercado tiene una estacionalidad distinta de un taller mecánico. Ese salto, de la forma de la cadena a su significado, es el que promete un modelo de lenguaje.</w:t>
      </w:r>
    </w:p>
    <w:p>
      <w:pPr>
        <w:pStyle w:val="BodyText"/>
      </w:pPr>
      <w:r>
        <w:t xml:space="preserve">Los modelos de lenguaje de gran escala aparecen en este punto por una razón precisa. Su capacidad distintiva no es predecir mejor en general, sino tomar información no estructurada y convertirla en algo aprovechable para una tarea de predicción. Brown et al. (2020) mostraron que un modelo suficientemente grande resuelve tareas nuevas a partir de unos pocos ejemplos incluidos en el propio</w:t>
      </w:r>
      <w:r>
        <w:t xml:space="preserve"> </w:t>
      </w:r>
      <w:r>
        <w:rPr>
          <w:i/>
          <w:iCs/>
        </w:rPr>
        <w:t xml:space="preserve">prompt</w:t>
      </w:r>
      <w:r>
        <w:t xml:space="preserve">, sin ajustar sus parámetros. Desde entonces, aplicarlos a datos tabulares dejó de ser una idea exótica. Hegselmann et al. (2023) formalizaron el procedimiento con TabLLM:</w:t>
      </w:r>
      <w:r>
        <w:t xml:space="preserve"> </w:t>
      </w:r>
      <w:r>
        <w:rPr>
          <w:b/>
          <w:bCs/>
        </w:rPr>
        <w:t xml:space="preserve">serializar</w:t>
      </w:r>
      <w:r>
        <w:t xml:space="preserve"> </w:t>
      </w:r>
      <w:r>
        <w:t xml:space="preserve">cada fila como una frase en lenguaje natural y pedirle al modelo una predicción, con o sin ejemplos en contexto. El resultado que reportan importa para esta tesis. Con pocos ejemplos, el modelo de lenguaje compite con métodos tabulares entrenados, y la ventaja se diluye a medida que crece la cantidad de datos de entrenamiento. La revisión de Fang et al. (2024) sistematiza esa línea de trabajo y sus límites.</w:t>
      </w:r>
    </w:p>
    <w:p>
      <w:pPr>
        <w:pStyle w:val="BodyText"/>
      </w:pPr>
      <w:r>
        <w:t xml:space="preserve">En puntuación de crédito, la evidencia disponible es más ambigua de lo que sugiere el entusiasmo general. Feng et al. (2023) evaluaron modelos de lenguaje generalistas en tareas de crédito y encontraron desempeños desparejos, con sesgos que dependen del segmento. Golec y AlabdulJalil (2025) revisaron sistemáticamente la literatura de modelos de lenguaje interpretables para riesgo crediticio y encontraron un campo joven, con resultados difíciles de comparar entre trabajos. Drinkall et al. (2024) reportaron un caso en el que los métodos tradicionales superan a los modelos generativos en la predicción de calificaciones de crédito. AlMarri et al. (2025) mostraron que las explicaciones que un modelo de lenguaje ofrece sobre sus propias decisiones no siempre coinciden con la importancia que los métodos clásicos atribuyen a cada variable. A todo esto se suma una dificultad metodológica más. Los conjuntos de datos públicos de crédito circulan en internet desde hace años, y un modelo de lenguaje puede haberlos visto durante su entrenamiento. Parte del desempeño que se le atribuye puede ser memorización y no inferencia (Bordt et al., 2024). Una cartera privada, nunca publicada, ofrece una prueba más limpia, y esta tesis trabaja con una.</w:t>
      </w:r>
    </w:p>
    <w:p>
      <w:pPr>
        <w:pStyle w:val="BodyText"/>
      </w:pPr>
      <w:r>
        <w:t xml:space="preserve">Hay una diferencia básica entre los dos enfoques, y los capítulos 5 y 6 vuelven sobre ella. Un modelo tabular no sabe nada del mundo antes de ver los datos. Aprende la relación entre variables y mora exclusivamente de la cartera con la que se lo entrena, y si en esa cartera una variable se comporta al revés de lo que dictaría el sentido común, la aprende al revés sin ninguna resistencia. Un modelo de lenguaje llega con lo contrario: un conocimiento previo del dominio, adquirido de millones de textos, que incluye afirmaciones tan razonables como que un historial con más atrasos indica más riesgo, o que un rubro determinado es más volátil que otro. Ese conocimiento previo es lo que promete resolver la falta de datos, porque permite emitir un juicio sobre un caso del que casi no hay información estructurada. La contracara es que un conocimiento previo solo ayuda si la realidad de los datos lo confirma. Si la cartera contradice el sentido común, el modelo entrenado se adapta y el modelo con conocimiento previo insiste. El capítulo 5 examina si eso ocurre en esta cartera.</w:t>
      </w:r>
    </w:p>
    <w:bookmarkEnd w:id="14"/>
    <w:bookmarkStart w:id="15" w:name="X4d1a0e544482d47fdd165111fae4322b60f1f0f"/>
    <w:p>
      <w:pPr>
        <w:pStyle w:val="Heading2"/>
      </w:pPr>
      <w:r>
        <w:t xml:space="preserve">1.7 Conjetura, pregunta de investigación y alcance</w:t>
      </w:r>
    </w:p>
    <w:p>
      <w:pPr>
        <w:pStyle w:val="FirstParagraph"/>
      </w:pPr>
      <w:r>
        <w:t xml:space="preserve">Los elementos anteriores se combinan en una conjetura, y este trabajo existe para ponerla a prueba. Si el techo de los modelos tabulares en este segmento proviene de la información que les falta, con atributos de buró que llegan vacíos, un texto que no pueden leer y una cantidad de operaciones que no permite compensar ninguna de las dos cosas, entonces un modelo de lenguaje debería ordenar el riesgo mejor que ellos. Y debería hacerlo sobre todo donde el historial es más pobre, porque ahí la ventaja relativa de leer la descripción del negocio es máxima: es el único de los dos enfoques capaz de extraer algo del único dato que nunca falta. En su forma más breve, la conjetura sostiene que</w:t>
      </w:r>
      <w:r>
        <w:t xml:space="preserve"> </w:t>
      </w:r>
      <w:r>
        <w:rPr>
          <w:b/>
          <w:bCs/>
        </w:rPr>
        <w:t xml:space="preserve">con información incompleta gana quien puede leer lo que quedó sin estructurar</w:t>
      </w:r>
      <w:r>
        <w:t xml:space="preserve">.</w:t>
      </w:r>
    </w:p>
    <w:p>
      <w:pPr>
        <w:pStyle w:val="BodyText"/>
      </w:pPr>
      <w:r>
        <w:t xml:space="preserve">De ahí surge la pregunta que organiza el trabajo:</w:t>
      </w:r>
    </w:p>
    <w:p>
      <w:pPr>
        <w:pStyle w:val="BlockText"/>
      </w:pPr>
      <w:r>
        <w:t xml:space="preserve">¿Puede un modelo de lenguaje de gran escala, incluso uno comercial de frontera, igualar o superar a la Regresión Logística y a XGBoost en el ordenamiento del riesgo de mora de una cartera de microfinanzas, al incorporar el texto libre de la solicitud, y en particular en el segmento de clientes de historial escaso?</w:t>
      </w:r>
    </w:p>
    <w:p>
      <w:pPr>
        <w:pStyle w:val="FirstParagraph"/>
      </w:pPr>
      <w:r>
        <w:t xml:space="preserve">La pregunta admite una respuesta empírica si la comparación cambia una cosa por vez. Este trabajo le concede al modelo de lenguaje su mejor carta, la descripción del negocio que los modelos clásicos no leen, e iguala todo lo demás: los mismos casos, la misma partición temporal, las mismas métricas y el mismo criterio de exclusión de variables que filtran información del futuro. Si el modelo de lenguaje gana en esas condiciones, la ventaja proviene de lo que agregó. Si pierde, la explicación hay que buscarla en los datos y no en un detalle del protocolo. La validación temporal, en lugar de la validación cruzada aleatoria habitual, responde al mismo criterio. En una cartera con una dimensión temporal, la partición aleatoria produce estimaciones optimistas porque entrena con información posterior a la que predice (Bergmeir y Benítez, 2012).</w:t>
      </w:r>
    </w:p>
    <w:p>
      <w:pPr>
        <w:pStyle w:val="BodyText"/>
      </w:pPr>
      <w:r>
        <w:t xml:space="preserve">Para que la respuesta no dependa de un modelo puntual, la comparación incluye tres modelos de lenguaje: dos de pesos abiertos que corren en hardware local, Gemma 4 12B y Qwen3-8B, y uno comercial de frontera consultado por interfaz de programación, GPT-5.4. Los tres funcionan con su modo de razonamiento activado, y cada uno se evalúa sin ejemplos y con dieciséis ejemplos en contexto. Las dos vías de ejecución independientes cumplen una función específica. Si un resultado se repite en modelos de familias distintas, ejecutados en entornos distintos, la explicación difícilmente esté en la implementación.</w:t>
      </w:r>
    </w:p>
    <w:p>
      <w:pPr>
        <w:pStyle w:val="BodyText"/>
      </w:pPr>
      <w:r>
        <w:t xml:space="preserve">El alcance queda declarado desde el principio. El eje que este trabajo pone a prueba es el de la</w:t>
      </w:r>
      <w:r>
        <w:t xml:space="preserve"> </w:t>
      </w:r>
      <w:r>
        <w:rPr>
          <w:b/>
          <w:bCs/>
        </w:rPr>
        <w:t xml:space="preserve">información disponible</w:t>
      </w:r>
      <w:r>
        <w:t xml:space="preserve">: qué tan pobre es el historial de buró de cada solicitante y si el texto agrega señal que las variables numéricas no capturan. No es el eje del tamaño de la muestra. El conjunto de datos reúne 4.897 créditos otorgados por una</w:t>
      </w:r>
      <w:r>
        <w:t xml:space="preserve"> </w:t>
      </w:r>
      <w:r>
        <w:rPr>
          <w:i/>
          <w:iCs/>
        </w:rPr>
        <w:t xml:space="preserve">fintech</w:t>
      </w:r>
      <w:r>
        <w:t xml:space="preserve"> </w:t>
      </w:r>
      <w:r>
        <w:t xml:space="preserve">colombiana entre julio de 2022 y enero de 2024, cantidad suficiente para entrenar los modelos de referencia con un protocolo estándar, y este trabajo no reduce artificialmente ese volumen para simular regímenes con muy pocas observaciones. Esa variante, comparar los enfoques cuando la cantidad de casos etiquetados baja a decenas, queda planteada como línea de trabajo futuro. Para cada operación, el análisis dispone de variables del buró, variables autodeclaradas del negocio y cuatro campos de texto ingresados por el solicitante: descripción del negocio, subcategoría, rubro y tipo de crédito.</w:t>
      </w:r>
    </w:p>
    <w:bookmarkEnd w:id="15"/>
    <w:bookmarkStart w:id="16" w:name="criterios-de-éxito"/>
    <w:p>
      <w:pPr>
        <w:pStyle w:val="Heading2"/>
      </w:pPr>
      <w:r>
        <w:t xml:space="preserve">1.8 Criterios de éxito</w:t>
      </w:r>
    </w:p>
    <w:p>
      <w:pPr>
        <w:pStyle w:val="FirstParagraph"/>
      </w:pPr>
      <w:r>
        <w:t xml:space="preserve">Una pregunta comparativa necesita un criterio explícito de qué contaría como respuesta afirmativa, fijado antes de mirar los resultados. Este trabajo lo define en tres niveles.</w:t>
      </w:r>
    </w:p>
    <w:p>
      <w:pPr>
        <w:pStyle w:val="BodyText"/>
      </w:pPr>
      <w:r>
        <w:t xml:space="preserve">El criterio principal es de</w:t>
      </w:r>
      <w:r>
        <w:t xml:space="preserve"> </w:t>
      </w:r>
      <w:r>
        <w:rPr>
          <w:b/>
          <w:bCs/>
        </w:rPr>
        <w:t xml:space="preserve">ordenamiento</w:t>
      </w:r>
      <w:r>
        <w:t xml:space="preserve">. La tarea que una institución necesita resolver no es adivinar quién va a caer en mora, sino ordenar a los solicitantes de mayor a menor riesgo para poder cortar donde su política lo indique. La métrica que mide esa capacidad es el área bajo la curva ROC (AUC). Equivale a la probabilidad de que el modelo asigne un puntaje más alto a un moroso que a un pagador elegidos al azar, y la industria la complementa con el coeficiente de Gini y con el estadístico de Kolmogórov-Smirnov (Hand y Henley, 1997; Thomas et al., 2002; Siddiqi, 2017). El modelo de lenguaje supera al enfoque clásico si su AUC en el conjunto de prueba es mayor que el de la Regresión Logística y el de XGBoost bajo condiciones idénticas. El valor 0,5 funciona como piso interpretativo. Por encima, el modelo ordena en el sentido correcto. Por debajo, lo ordena al revés, que es un resultado peor que no tener modelo.</w:t>
      </w:r>
    </w:p>
    <w:p>
      <w:pPr>
        <w:pStyle w:val="BodyText"/>
      </w:pPr>
      <w:r>
        <w:t xml:space="preserve">El segundo criterio es</w:t>
      </w:r>
      <w:r>
        <w:t xml:space="preserve"> </w:t>
      </w:r>
      <w:r>
        <w:rPr>
          <w:b/>
          <w:bCs/>
        </w:rPr>
        <w:t xml:space="preserve">condicional al segmento</w:t>
      </w:r>
      <w:r>
        <w:t xml:space="preserve">. Aun sin ganar en la cartera completa, el modelo de lenguaje cumpliría la parte sustantiva de la conjetura si superara a los clásicos en el subconjunto de clientes de historial escaso, donde el buró aporta menos. Esta tesis reporta la comparación por separado en ambos segmentos para poder responder esa versión más débil de la pregunta.</w:t>
      </w:r>
    </w:p>
    <w:p>
      <w:pPr>
        <w:pStyle w:val="BodyText"/>
      </w:pPr>
      <w:r>
        <w:t xml:space="preserve">El tercer nivel reúne los requisitos que un área de riesgo agregaría antes de poner cualquiera de estos modelos en producción, y que este trabajo declara sin resolver: probabilidades calibradas, para que el puntaje se pueda traducir en pérdida esperada; costo y latencia por consulta compatibles con un flujo que aprueba en minutos; estabilidad del comportamiento del modelo entre versiones; y trazabilidad de la decisión ante una auditoría. Ninguno de esos requisitos entra en la comparación principal. Todos aparecen en las conclusiones como condiciones que un resultado favorable habría dejado pendientes.</w:t>
      </w:r>
    </w:p>
    <w:bookmarkEnd w:id="16"/>
    <w:bookmarkStart w:id="17" w:name="aporte-esperado-del-trabajo"/>
    <w:p>
      <w:pPr>
        <w:pStyle w:val="Heading2"/>
      </w:pPr>
      <w:r>
        <w:t xml:space="preserve">1.9 Aporte esperado del trabajo</w:t>
      </w:r>
    </w:p>
    <w:p>
      <w:pPr>
        <w:pStyle w:val="FirstParagraph"/>
      </w:pPr>
      <w:r>
        <w:t xml:space="preserve">El aporte de esta tesis se ubica en cuatro puntos, y ninguno depende de que el modelo de lenguaje gane.</w:t>
      </w:r>
    </w:p>
    <w:p>
      <w:pPr>
        <w:pStyle w:val="BodyText"/>
      </w:pPr>
      <w:r>
        <w:t xml:space="preserve">El primero es el protocolo de comparación. Buena parte de la literatura que reporta ventajas de los modelos de lenguaje sobre datos tabulares los compara con referencias débiles, con particiones aleatorias o con conjuntos públicos que el modelo pudo haber visto durante su entrenamiento (Bordt et al., 2024). Este trabajo compara contra modelos clásicos ajustados con búsqueda de hiperparámetros, bajo partición temporal, con exclusión explícita de variables que filtran información posterior a la decisión, y sobre una cartera privada que nunca se publicó.</w:t>
      </w:r>
    </w:p>
    <w:p>
      <w:pPr>
        <w:pStyle w:val="BodyText"/>
      </w:pPr>
      <w:r>
        <w:t xml:space="preserve">El segundo es el panel de modelos. Un resultado obtenido con un solo modelo de lenguaje siempre admite la objeción de que otro modelo lo habría resuelto. Evaluar dos modelos de pesos abiertos ejecutados localmente y uno comercial de frontera consultado por interfaz de programación permite distinguir entre una limitación de un modelo y una limitación del enfoque.</w:t>
      </w:r>
    </w:p>
    <w:p>
      <w:pPr>
        <w:pStyle w:val="BodyText"/>
      </w:pPr>
      <w:r>
        <w:t xml:space="preserve">El tercero es la caracterización del sesgo de selección con evidencia cuantitativa. La literatura de</w:t>
      </w:r>
      <w:r>
        <w:t xml:space="preserve"> </w:t>
      </w:r>
      <w:r>
        <w:rPr>
          <w:i/>
          <w:iCs/>
        </w:rPr>
        <w:t xml:space="preserve">credit scoring</w:t>
      </w:r>
      <w:r>
        <w:t xml:space="preserve"> </w:t>
      </w:r>
      <w:r>
        <w:t xml:space="preserve">trata el sesgo de selección como una advertencia metodológica conocida (Heckman, 1979; Crook y Banasik, 2004). Esta tesis lo mide en lugar de solo advertirlo. Documenta la dirección que toman las variables de mora del buró en una cartera de aprobados y analiza si esa selección afecta de manera distinta a un modelo que trae conocimiento del mundo y a uno entrenado sobre los mismos datos.</w:t>
      </w:r>
    </w:p>
    <w:p>
      <w:pPr>
        <w:pStyle w:val="BodyText"/>
      </w:pPr>
      <w:r>
        <w:t xml:space="preserve">El cuarto es de utilidad práctica para la institución. Cualquiera sea el signo del resultado, el protocolo queda documentado para que la institución pueda reevaluar la pregunta cuando cambien los modelos o los datos. Si el modelo de lenguaje supera a los clásicos, la institución sabe qué dato explotar. Si no los supera, sabe que el esfuerzo de mejora conviene dirigirlo a la calidad y la cobertura de los datos estructurados antes que a reemplazar el motor de puntuación.</w:t>
      </w:r>
    </w:p>
    <w:bookmarkEnd w:id="17"/>
    <w:bookmarkStart w:id="18" w:name="organización-del-documento"/>
    <w:p>
      <w:pPr>
        <w:pStyle w:val="Heading2"/>
      </w:pPr>
      <w:r>
        <w:t xml:space="preserve">1.10 Organización del documento</w:t>
      </w:r>
    </w:p>
    <w:p>
      <w:pPr>
        <w:pStyle w:val="FirstParagraph"/>
      </w:pPr>
      <w:r>
        <w:t xml:space="preserve">El capítulo 2 desarrolla el marco teórico y los antecedentes: el riesgo de crédito y la inclusión financiera, los modelos clásicos para datos tabulares, los dos sesgos que condicionan la lectura de una cartera real y el enfoque de puntuación con modelos de lenguaje. El capítulo 3 formula el objetivo general, los objetivos específicos y las hipótesis. El capítulo 4 describe los datos, el preprocesamiento, el análisis exploratorio y el protocolo de evaluación. El capítulo 5 presenta y discute los resultados. El capítulo 6 reúne las conclusiones y las líneas de trabajo futuro.</w:t>
      </w:r>
    </w:p>
    <w:bookmarkEnd w:id="18"/>
    <w:bookmarkEnd w:id="19"/>
    <w:sectPr>
      <w:footnotePr>
        <w:numRestart w:val="eachSect"/>
      </w:footnotePr>
      <w:pgSz w:h="15840" w:w="12240"/>
      <w:pgMar w:bottom="1440" w:footer="720" w:gutter="0" w:header="72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4"/>
        <w:szCs w:val="24"/>
        <w:lang w:bidi="ar-SA" w:eastAsia="zh-CN" w:val="en-US"/>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2026-09-06T20:50:36Z</dcterms:created>
  <dcterms:modified xsi:type="dcterms:W3CDTF">2026-09-06T20:50:36Z</dcterms:modified>
</cp:coreProperties>
</file>

<file path=docProps/custom.xml><?xml version="1.0" encoding="utf-8"?>
<Properties xmlns="http://schemas.openxmlformats.org/officeDocument/2006/custom-properties" xmlns:vt="http://schemas.openxmlformats.org/officeDocument/2006/docPropsVTypes"/>
</file>