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59F" w:rsidRPr="009C0BAD" w:rsidRDefault="005D4502" w:rsidP="005D4502">
      <w:pPr>
        <w:jc w:val="center"/>
        <w:rPr>
          <w:rFonts w:ascii="Lucida Sans" w:eastAsia="Times New Roman" w:hAnsi="Lucida Sans" w:cs="Arial"/>
          <w:b/>
          <w:bCs/>
          <w:color w:val="6A6A6A"/>
          <w:lang w:eastAsia="es-CO"/>
        </w:rPr>
      </w:pPr>
      <w:bookmarkStart w:id="0" w:name="_GoBack"/>
      <w:bookmarkEnd w:id="0"/>
      <w:r w:rsidRPr="009C0BAD">
        <w:rPr>
          <w:rFonts w:ascii="Lucida Sans" w:eastAsia="Times New Roman" w:hAnsi="Lucida Sans" w:cs="Arial"/>
          <w:b/>
          <w:bCs/>
          <w:color w:val="6A6A6A"/>
          <w:lang w:eastAsia="es-CO"/>
        </w:rPr>
        <w:t>PROPUESTA MODIFICACIÓN ESTATUTOS SOCIALES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4502" w:rsidTr="005D4502">
        <w:tc>
          <w:tcPr>
            <w:tcW w:w="4414" w:type="dxa"/>
          </w:tcPr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  <w:t xml:space="preserve">ARTÍCULO 41º. FUNCIONES DE LA JUNTA DIRECTIVA </w:t>
            </w:r>
            <w:r>
              <w:rPr>
                <w:rFonts w:ascii="Lucida Sans" w:hAnsi="Lucida Sans"/>
                <w:b/>
                <w:color w:val="6A6A6A"/>
              </w:rPr>
              <w:t>(</w:t>
            </w:r>
            <w:proofErr w:type="spellStart"/>
            <w:r>
              <w:rPr>
                <w:rFonts w:ascii="Lucida Sans" w:hAnsi="Lucida Sans"/>
                <w:b/>
                <w:color w:val="6A6A6A"/>
              </w:rPr>
              <w:t>Modif</w:t>
            </w:r>
            <w:proofErr w:type="spellEnd"/>
            <w:r>
              <w:rPr>
                <w:rFonts w:ascii="Lucida Sans" w:hAnsi="Lucida Sans"/>
                <w:b/>
                <w:color w:val="6A6A6A"/>
              </w:rPr>
              <w:t>. E.P. 4611 de 2015)</w:t>
            </w:r>
            <w:r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  <w:t xml:space="preserve">. 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Cs/>
                <w:color w:val="767171"/>
                <w:sz w:val="22"/>
                <w:szCs w:val="22"/>
              </w:rPr>
            </w:pPr>
            <w:r>
              <w:rPr>
                <w:rFonts w:ascii="Lucida Sans" w:hAnsi="Lucida Sans"/>
                <w:bCs/>
                <w:color w:val="767171"/>
                <w:sz w:val="22"/>
                <w:szCs w:val="22"/>
              </w:rPr>
              <w:t>Las funciones de la Junta Directiva se cumplirán conforme los lineamientos establecidos en el reglamento de la Junta Directiva.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Son funciones de la Junta Directiva: </w:t>
            </w:r>
          </w:p>
          <w:p w:rsidR="005D4502" w:rsidRDefault="005D4502" w:rsidP="005D4502">
            <w:pPr>
              <w:pStyle w:val="Listavistosa-nfasis11"/>
              <w:spacing w:after="0" w:line="240" w:lineRule="auto"/>
              <w:ind w:left="360"/>
              <w:jc w:val="both"/>
              <w:rPr>
                <w:rFonts w:ascii="Arial" w:hAnsi="Arial" w:cs="Arial"/>
                <w:lang w:val="es-ES_tradnl"/>
              </w:rPr>
            </w:pPr>
          </w:p>
          <w:p w:rsidR="005D4502" w:rsidRDefault="005D4502" w:rsidP="005D4502">
            <w:pPr>
              <w:jc w:val="both"/>
              <w:rPr>
                <w:rFonts w:ascii="Lucida Sans" w:hAnsi="Lucida Sans" w:cs="Arial"/>
                <w:color w:val="767171"/>
                <w:lang w:val="es-ES_tradnl"/>
              </w:rPr>
            </w:pPr>
            <w:r>
              <w:rPr>
                <w:rFonts w:ascii="Lucida Sans" w:hAnsi="Lucida Sans" w:cs="Arial"/>
                <w:color w:val="767171"/>
                <w:lang w:val="es-ES_tradnl"/>
              </w:rPr>
              <w:t>3. En materia de riesgos, control y seguimiento: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Otorgar las autorizaciones al </w:t>
            </w:r>
            <w:proofErr w:type="gramStart"/>
            <w:r>
              <w:rPr>
                <w:rFonts w:ascii="Lucida Sans" w:hAnsi="Lucida Sans"/>
                <w:color w:val="6A6A6A"/>
                <w:sz w:val="22"/>
                <w:szCs w:val="22"/>
              </w:rPr>
              <w:t>Presidente</w:t>
            </w:r>
            <w:proofErr w:type="gramEnd"/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a que haya lugar, de acuerdo con lo establecido en el Artículo 45 de estos Estatutos.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Examinar directamente o por medio de una comisión, los libros y </w:t>
            </w:r>
            <w:proofErr w:type="gramStart"/>
            <w:r>
              <w:rPr>
                <w:rFonts w:ascii="Lucida Sans" w:hAnsi="Lucida Sans"/>
                <w:color w:val="6A6A6A"/>
                <w:sz w:val="22"/>
                <w:szCs w:val="22"/>
              </w:rPr>
              <w:t>papeles</w:t>
            </w:r>
            <w:proofErr w:type="gramEnd"/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así como las oficinas y demás bienes de la sociedad.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Definir y aprobar las estrategias y políticas generales relacionadas con el Sistema de Control Interno (SCI), con fundamento en las recomendaciones del Comité de Auditoría.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Designar a los directivos de las áreas encargadas del SCI y de la gestión de riesgos.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Adoptar las medidas necesarias para garantizar la independencia del auditor interno y hacer seguimiento a su cumplimiento.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Conocer los informes relevantes respecto del SCI, de gestión de riesgos y de prevención de lavado de activos y financiación del terrorismo que sean presentados por los diferentes órganos e impartir las órdenes necesarias para que se </w:t>
            </w:r>
            <w:r>
              <w:rPr>
                <w:rFonts w:ascii="Lucida Sans" w:hAnsi="Lucida Sans"/>
                <w:color w:val="6A6A6A"/>
                <w:sz w:val="22"/>
                <w:szCs w:val="22"/>
              </w:rPr>
              <w:lastRenderedPageBreak/>
              <w:t xml:space="preserve">adopten las recomendaciones y correctivos a que haya lugar.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Aprobar los recursos suficientes para que el SCI cumpla sus objetivos.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Presentar al final de cada ejercicio a la Asamblea General de Accionistas un informe sobre el resultado de la evaluación del Sistemas de Control Interno y sus actuaciones sobre el particular.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</w:t>
            </w: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Hacer seguimiento y pronunciarse periódicamente sobre el perfil de riesgo de SARO, SARM y SARLAFT de la Entidad.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Determinar y asignar el capital suficiente para soportar el riesgo global de la entidad, por áreas de negocio y demás fuentes de riesgo.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Establecer las políticas referidas al envío, el contenido y la periodicidad de los informes relacionados con la identificación, gestión, medición, control, liquidación, evaluación y manejo de los riesgos que asume la entidad, así como evaluar y aprobar tales informes.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Cumplir con las funciones asignadas por las normas que regulan el proceso de implementación de las Normas Internacionales de Información Financiera –NIF.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Designar al oficial de cumplimiento y su respectivo suplente. </w:t>
            </w:r>
          </w:p>
          <w:p w:rsidR="005D4502" w:rsidRDefault="005D4502" w:rsidP="005D4502">
            <w:pPr>
              <w:pStyle w:val="Default"/>
              <w:ind w:left="306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9C0BAD">
            <w:pPr>
              <w:pStyle w:val="Default"/>
              <w:numPr>
                <w:ilvl w:val="0"/>
                <w:numId w:val="3"/>
              </w:numPr>
              <w:ind w:left="306" w:firstLine="0"/>
              <w:jc w:val="both"/>
              <w:rPr>
                <w:b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Evaluar las recomendaciones que formulen el Comité de Auditoría y/o los órganos de control interno y externos, adoptar las medidas pertinentes y hacer seguimiento a su cumplimiento. </w:t>
            </w:r>
          </w:p>
        </w:tc>
        <w:tc>
          <w:tcPr>
            <w:tcW w:w="4414" w:type="dxa"/>
          </w:tcPr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  <w:t xml:space="preserve">ARTÍCULO 41º. FUNCIONES DE LA JUNTA DIRECTIVA </w:t>
            </w:r>
            <w:r>
              <w:rPr>
                <w:rFonts w:ascii="Lucida Sans" w:hAnsi="Lucida Sans"/>
                <w:b/>
                <w:color w:val="6A6A6A"/>
              </w:rPr>
              <w:t>(</w:t>
            </w:r>
            <w:proofErr w:type="spellStart"/>
            <w:r>
              <w:rPr>
                <w:rFonts w:ascii="Lucida Sans" w:hAnsi="Lucida Sans"/>
                <w:b/>
                <w:color w:val="6A6A6A"/>
              </w:rPr>
              <w:t>Modif</w:t>
            </w:r>
            <w:proofErr w:type="spellEnd"/>
            <w:r>
              <w:rPr>
                <w:rFonts w:ascii="Lucida Sans" w:hAnsi="Lucida Sans"/>
                <w:b/>
                <w:color w:val="6A6A6A"/>
              </w:rPr>
              <w:t>. E.P. 4611 de 2015)</w:t>
            </w:r>
            <w:r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  <w:t xml:space="preserve">. 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Cs/>
                <w:color w:val="767171"/>
                <w:sz w:val="22"/>
                <w:szCs w:val="22"/>
              </w:rPr>
            </w:pPr>
            <w:r>
              <w:rPr>
                <w:rFonts w:ascii="Lucida Sans" w:hAnsi="Lucida Sans"/>
                <w:bCs/>
                <w:color w:val="767171"/>
                <w:sz w:val="22"/>
                <w:szCs w:val="22"/>
              </w:rPr>
              <w:t>Las funciones de la Junta Directiva se cumplirán conforme los lineamientos establecidos en el reglamento de la Junta Directiva.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b/>
                <w:bCs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Son funciones de la Junta Directiva: 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color w:val="767171"/>
                <w:sz w:val="22"/>
                <w:szCs w:val="22"/>
              </w:rPr>
            </w:pPr>
          </w:p>
          <w:p w:rsidR="005D4502" w:rsidRDefault="005D4502" w:rsidP="005D4502">
            <w:pPr>
              <w:jc w:val="both"/>
              <w:rPr>
                <w:rFonts w:ascii="Lucida Sans" w:hAnsi="Lucida Sans" w:cs="Arial"/>
                <w:color w:val="767171"/>
                <w:lang w:val="es-ES_tradnl"/>
              </w:rPr>
            </w:pPr>
            <w:r>
              <w:rPr>
                <w:rFonts w:ascii="Lucida Sans" w:hAnsi="Lucida Sans" w:cs="Arial"/>
                <w:color w:val="767171"/>
                <w:lang w:val="es-ES_tradnl"/>
              </w:rPr>
              <w:t>3. En materia de riesgos, control y seguimiento:</w:t>
            </w:r>
          </w:p>
          <w:p w:rsidR="005D4502" w:rsidRDefault="005D4502" w:rsidP="005D4502">
            <w:pPr>
              <w:pStyle w:val="Default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Otorgar las autorizaciones al </w:t>
            </w:r>
            <w:proofErr w:type="gramStart"/>
            <w:r>
              <w:rPr>
                <w:rFonts w:ascii="Lucida Sans" w:hAnsi="Lucida Sans"/>
                <w:color w:val="6A6A6A"/>
                <w:sz w:val="22"/>
                <w:szCs w:val="22"/>
              </w:rPr>
              <w:t>Presidente</w:t>
            </w:r>
            <w:proofErr w:type="gramEnd"/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a que haya lugar, de acuerdo con lo establecido en el Artículo 45 de estos Estatutos.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Examinar directamente o por medio de una comisión, los libros y </w:t>
            </w:r>
            <w:proofErr w:type="gramStart"/>
            <w:r>
              <w:rPr>
                <w:rFonts w:ascii="Lucida Sans" w:hAnsi="Lucida Sans"/>
                <w:color w:val="6A6A6A"/>
                <w:sz w:val="22"/>
                <w:szCs w:val="22"/>
              </w:rPr>
              <w:t>papeles</w:t>
            </w:r>
            <w:proofErr w:type="gramEnd"/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así como las oficinas y demás bienes de la sociedad.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Definir y aprobar las estrategias y políticas generales relacionadas con el Sistema de Control Interno (SCI), con fundamento en las recomendaciones del Comité de Auditoría.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Designar a los directivos de las áreas encargadas del SCI y de la gestión de riesgos.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Adoptar las medidas necesarias para garantizar la independencia del auditor interno y hacer seguimiento a su cumplimiento.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Conocer los informes relevantes respecto del SCI, de gestión de riesgos y de prevención de lavado de activos y financiación del terrorismo que sean presentados por los diferentes órganos e impartir las órdenes necesarias para que se adopten las </w:t>
            </w:r>
            <w:r>
              <w:rPr>
                <w:rFonts w:ascii="Lucida Sans" w:hAnsi="Lucida Sans"/>
                <w:color w:val="6A6A6A"/>
                <w:sz w:val="22"/>
                <w:szCs w:val="22"/>
              </w:rPr>
              <w:lastRenderedPageBreak/>
              <w:t xml:space="preserve">recomendaciones y correctivos a que haya lugar.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Aprobar los recursos suficientes para que el SCI cumpla sus objetivos.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Presentar al final de cada ejercicio a la Asamblea General de Accionistas un informe sobre el resultado de la evaluación del Sistemas de Control Interno y sus actuaciones sobre el particular.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</w:t>
            </w: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Hacer seguimiento y pronunciarse periódicamente sobre el perfil de riesgo de SARO, SARM y SARLAFT de la Entidad.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>Determinar y asignar el capital suficiente para soportar el riesgo global de la entidad, por áreas de negocio y demás fuentes de riesgo.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Establecer las políticas referidas al envío, el contenido y la periodicidad de los informes relacionados con la identificación, gestión, medición, control, liquidación, evaluación y manejo de los riesgos que asume la entidad, así como evaluar y aprobar tales informes.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Cumplir con las funciones asignadas por las normas que regulan el proceso de implementación de las Normas Internacionales de Información Financiera –NIF.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5D4502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Designar al </w:t>
            </w:r>
            <w:r w:rsidRPr="005D4502">
              <w:rPr>
                <w:rFonts w:ascii="Lucida Sans" w:hAnsi="Lucida Sans"/>
                <w:color w:val="FF0000"/>
                <w:sz w:val="22"/>
                <w:szCs w:val="22"/>
              </w:rPr>
              <w:t>Funcionario Responsable de las medidas de control de lavado de activos y financiación del terrorismo</w:t>
            </w: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 y su respectivo suplente. </w:t>
            </w:r>
          </w:p>
          <w:p w:rsidR="005D4502" w:rsidRDefault="005D4502" w:rsidP="005D4502">
            <w:pPr>
              <w:pStyle w:val="Default"/>
              <w:ind w:left="149" w:firstLine="138"/>
              <w:jc w:val="both"/>
              <w:rPr>
                <w:rFonts w:ascii="Lucida Sans" w:hAnsi="Lucida Sans"/>
                <w:color w:val="6A6A6A"/>
                <w:sz w:val="22"/>
                <w:szCs w:val="22"/>
              </w:rPr>
            </w:pPr>
          </w:p>
          <w:p w:rsidR="005D4502" w:rsidRDefault="005D4502" w:rsidP="009C0BAD">
            <w:pPr>
              <w:pStyle w:val="Default"/>
              <w:numPr>
                <w:ilvl w:val="0"/>
                <w:numId w:val="8"/>
              </w:numPr>
              <w:ind w:left="149" w:firstLine="138"/>
              <w:jc w:val="both"/>
              <w:rPr>
                <w:b/>
              </w:rPr>
            </w:pPr>
            <w:r>
              <w:rPr>
                <w:rFonts w:ascii="Lucida Sans" w:hAnsi="Lucida Sans"/>
                <w:color w:val="6A6A6A"/>
                <w:sz w:val="22"/>
                <w:szCs w:val="22"/>
              </w:rPr>
              <w:t xml:space="preserve">Evaluar las recomendaciones que formulen el Comité de Auditoría y/o los órganos de control interno y externos, adoptar las medidas pertinentes y hacer seguimiento a su cumplimiento. </w:t>
            </w:r>
          </w:p>
        </w:tc>
      </w:tr>
    </w:tbl>
    <w:p w:rsidR="005D4502" w:rsidRPr="005D4502" w:rsidRDefault="005D4502" w:rsidP="009C0BAD">
      <w:pPr>
        <w:jc w:val="both"/>
        <w:rPr>
          <w:b/>
        </w:rPr>
      </w:pPr>
    </w:p>
    <w:sectPr w:rsidR="005D4502" w:rsidRPr="005D4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7B9"/>
    <w:multiLevelType w:val="hybridMultilevel"/>
    <w:tmpl w:val="CBAC1C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E2B"/>
    <w:multiLevelType w:val="hybridMultilevel"/>
    <w:tmpl w:val="C13CB8EC"/>
    <w:lvl w:ilvl="0" w:tplc="E0164B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6543"/>
    <w:multiLevelType w:val="hybridMultilevel"/>
    <w:tmpl w:val="9588F6FA"/>
    <w:lvl w:ilvl="0" w:tplc="958CA3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23"/>
    <w:multiLevelType w:val="hybridMultilevel"/>
    <w:tmpl w:val="094050D8"/>
    <w:lvl w:ilvl="0" w:tplc="1DBC045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138BD"/>
    <w:multiLevelType w:val="hybridMultilevel"/>
    <w:tmpl w:val="02D61274"/>
    <w:lvl w:ilvl="0" w:tplc="49A23C4E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color w:val="767171"/>
        <w:u w:val="none"/>
        <w:effect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E2873"/>
    <w:multiLevelType w:val="hybridMultilevel"/>
    <w:tmpl w:val="D2ACB6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87E65"/>
    <w:multiLevelType w:val="hybridMultilevel"/>
    <w:tmpl w:val="3ACAABC4"/>
    <w:lvl w:ilvl="0" w:tplc="5C1C18F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C22B6"/>
    <w:multiLevelType w:val="hybridMultilevel"/>
    <w:tmpl w:val="FBC0B90A"/>
    <w:lvl w:ilvl="0" w:tplc="158CE63A">
      <w:start w:val="1"/>
      <w:numFmt w:val="lowerLetter"/>
      <w:lvlText w:val="%1)"/>
      <w:lvlJc w:val="left"/>
      <w:pPr>
        <w:ind w:left="509" w:hanging="360"/>
      </w:pPr>
      <w:rPr>
        <w:rFonts w:hint="default"/>
        <w:color w:val="767171"/>
      </w:rPr>
    </w:lvl>
    <w:lvl w:ilvl="1" w:tplc="240A0019" w:tentative="1">
      <w:start w:val="1"/>
      <w:numFmt w:val="lowerLetter"/>
      <w:lvlText w:val="%2."/>
      <w:lvlJc w:val="left"/>
      <w:pPr>
        <w:ind w:left="1229" w:hanging="360"/>
      </w:pPr>
    </w:lvl>
    <w:lvl w:ilvl="2" w:tplc="240A001B" w:tentative="1">
      <w:start w:val="1"/>
      <w:numFmt w:val="lowerRoman"/>
      <w:lvlText w:val="%3."/>
      <w:lvlJc w:val="right"/>
      <w:pPr>
        <w:ind w:left="1949" w:hanging="180"/>
      </w:pPr>
    </w:lvl>
    <w:lvl w:ilvl="3" w:tplc="240A000F" w:tentative="1">
      <w:start w:val="1"/>
      <w:numFmt w:val="decimal"/>
      <w:lvlText w:val="%4."/>
      <w:lvlJc w:val="left"/>
      <w:pPr>
        <w:ind w:left="2669" w:hanging="360"/>
      </w:pPr>
    </w:lvl>
    <w:lvl w:ilvl="4" w:tplc="240A0019" w:tentative="1">
      <w:start w:val="1"/>
      <w:numFmt w:val="lowerLetter"/>
      <w:lvlText w:val="%5."/>
      <w:lvlJc w:val="left"/>
      <w:pPr>
        <w:ind w:left="3389" w:hanging="360"/>
      </w:pPr>
    </w:lvl>
    <w:lvl w:ilvl="5" w:tplc="240A001B" w:tentative="1">
      <w:start w:val="1"/>
      <w:numFmt w:val="lowerRoman"/>
      <w:lvlText w:val="%6."/>
      <w:lvlJc w:val="right"/>
      <w:pPr>
        <w:ind w:left="4109" w:hanging="180"/>
      </w:pPr>
    </w:lvl>
    <w:lvl w:ilvl="6" w:tplc="240A000F" w:tentative="1">
      <w:start w:val="1"/>
      <w:numFmt w:val="decimal"/>
      <w:lvlText w:val="%7."/>
      <w:lvlJc w:val="left"/>
      <w:pPr>
        <w:ind w:left="4829" w:hanging="360"/>
      </w:pPr>
    </w:lvl>
    <w:lvl w:ilvl="7" w:tplc="240A0019" w:tentative="1">
      <w:start w:val="1"/>
      <w:numFmt w:val="lowerLetter"/>
      <w:lvlText w:val="%8."/>
      <w:lvlJc w:val="left"/>
      <w:pPr>
        <w:ind w:left="5549" w:hanging="360"/>
      </w:pPr>
    </w:lvl>
    <w:lvl w:ilvl="8" w:tplc="240A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8" w15:restartNumberingAfterBreak="0">
    <w:nsid w:val="5BC31551"/>
    <w:multiLevelType w:val="hybridMultilevel"/>
    <w:tmpl w:val="6FA812E6"/>
    <w:lvl w:ilvl="0" w:tplc="4C8AB3FC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color w:val="767171"/>
        <w:u w:val="none"/>
        <w:effect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A0025"/>
    <w:multiLevelType w:val="hybridMultilevel"/>
    <w:tmpl w:val="A8542704"/>
    <w:lvl w:ilvl="0" w:tplc="5220143E">
      <w:start w:val="1"/>
      <w:numFmt w:val="lowerLetter"/>
      <w:lvlText w:val="%1)"/>
      <w:lvlJc w:val="left"/>
      <w:pPr>
        <w:ind w:left="720" w:hanging="360"/>
      </w:pPr>
      <w:rPr>
        <w:color w:val="767171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8772E"/>
    <w:multiLevelType w:val="hybridMultilevel"/>
    <w:tmpl w:val="28406630"/>
    <w:lvl w:ilvl="0" w:tplc="9C0638F2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02"/>
    <w:rsid w:val="00215E90"/>
    <w:rsid w:val="005D4502"/>
    <w:rsid w:val="009C0BAD"/>
    <w:rsid w:val="00B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F19F7"/>
  <w15:chartTrackingRefBased/>
  <w15:docId w15:val="{7C250E5C-4E71-474D-A3EF-7C94E0F0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45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customStyle="1" w:styleId="Listavistosa-nfasis11">
    <w:name w:val="Lista vistosa - Énfasis 11"/>
    <w:basedOn w:val="Normal"/>
    <w:uiPriority w:val="34"/>
    <w:qFormat/>
    <w:rsid w:val="005D4502"/>
    <w:pPr>
      <w:spacing w:after="200" w:line="276" w:lineRule="auto"/>
      <w:ind w:left="708"/>
    </w:pPr>
    <w:rPr>
      <w:rFonts w:ascii="Calibri" w:eastAsia="Times New Roman" w:hAnsi="Calibri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5D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Catalina Romero Kekhan</dc:creator>
  <cp:keywords/>
  <dc:description/>
  <cp:lastModifiedBy>Judith Catalina Romero Kekhan</cp:lastModifiedBy>
  <cp:revision>1</cp:revision>
  <dcterms:created xsi:type="dcterms:W3CDTF">2018-02-14T17:08:00Z</dcterms:created>
  <dcterms:modified xsi:type="dcterms:W3CDTF">2018-02-14T17:25:00Z</dcterms:modified>
</cp:coreProperties>
</file>