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OAuth 2.0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 xml:space="preserve">Linux Foundation, </w:t>
      </w:r>
      <w:r>
        <w:rPr/>
        <w:t>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2</w:t>
    </w:r>
    <w:r>
      <w:rPr>
        <w:rFonts w:eastAsia="" w:cs="" w:cstheme="minorBidi" w:eastAsiaTheme="minorEastAsia"/>
        <w:color w:val="auto"/>
        <w:kern w:val="0"/>
        <w:sz w:val="21"/>
        <w:szCs w:val="21"/>
        <w:lang w:val="en-US" w:eastAsia="en-US" w:bidi="ar-SA"/>
      </w:rPr>
      <w:t>4</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17140</TotalTime>
  <Application>LibreOffice/6.4.3.2$Linux_X86_64 LibreOffice_project/85aa6f776c6af63185291a519637a4f7af4e8a3b</Application>
  <Pages>4</Pages>
  <Words>1076</Words>
  <Characters>6354</Characters>
  <CharactersWithSpaces>7877</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2020-05-24T19:49:06Z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