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w:t>
      </w:r>
      <w:r>
        <w:rPr>
          <w:rFonts w:eastAsia="" w:cs="" w:cstheme="minorBidi" w:eastAsiaTheme="minorEastAsia"/>
          <w:color w:val="auto"/>
          <w:kern w:val="0"/>
          <w:sz w:val="21"/>
          <w:szCs w:val="21"/>
          <w:lang w:val="en-US" w:eastAsia="en-US" w:bidi="ar-SA"/>
        </w:rPr>
        <w:t>User-Managed Access</w:t>
      </w:r>
      <w:r>
        <w:rPr/>
        <w:t xml:space="preserve"> and </w:t>
      </w:r>
      <w:r>
        <w:rPr>
          <w:rFonts w:eastAsia="" w:cs="" w:cstheme="minorBidi" w:eastAsiaTheme="minorEastAsia"/>
          <w:color w:val="auto"/>
          <w:kern w:val="0"/>
          <w:sz w:val="21"/>
          <w:szCs w:val="21"/>
          <w:lang w:val="en-US" w:eastAsia="en-US" w:bidi="ar-SA"/>
        </w:rPr>
        <w:t>OpenID Connect</w:t>
      </w:r>
      <w:r>
        <w:rPr/>
        <w:t xml:space="preserve"> specifications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Documents are stored on disk or S3 compatible object storage and transferred using HTTP/2 protocol. </w:t>
      </w:r>
      <w:r>
        <w:rPr>
          <w:rFonts w:eastAsia="Times New Roman" w:cs="Calibri"/>
        </w:rPr>
        <w:t xml:space="preserve">The email system fallback is </w:t>
      </w:r>
      <w:r>
        <w:rPr>
          <w:rFonts w:eastAsia="Times New Roman" w:cs="Calibri"/>
          <w:color w:val="auto"/>
          <w:kern w:val="0"/>
          <w:sz w:val="21"/>
          <w:szCs w:val="21"/>
          <w:lang w:val="en-US" w:eastAsia="en-US" w:bidi="ar-SA"/>
        </w:rPr>
        <w:t>used</w:t>
      </w:r>
      <w:r>
        <w:rPr>
          <w:rFonts w:eastAsia="Times New Roman" w:cs="Calibri"/>
        </w:rPr>
        <w:t xml:space="preserve"> if the </w:t>
      </w:r>
      <w:r>
        <w:rPr>
          <w:rFonts w:eastAsia="Times New Roman" w:cs="Calibri"/>
          <w:color w:val="auto"/>
          <w:kern w:val="0"/>
          <w:sz w:val="21"/>
          <w:szCs w:val="21"/>
          <w:lang w:val="en-US" w:eastAsia="en-US" w:bidi="ar-SA"/>
        </w:rPr>
        <w:t xml:space="preserve">recipients system </w:t>
      </w:r>
      <w:r>
        <w:rPr>
          <w:rFonts w:eastAsia="Times New Roman" w:cs="Calibri"/>
        </w:rPr>
        <w:t xml:space="preserve">is </w:t>
      </w:r>
      <w:r>
        <w:rPr>
          <w:rFonts w:eastAsia="Times New Roman" w:cs="Calibri"/>
          <w:color w:val="auto"/>
          <w:kern w:val="0"/>
          <w:sz w:val="21"/>
          <w:szCs w:val="21"/>
          <w:lang w:val="en-US" w:eastAsia="en-US" w:bidi="ar-SA"/>
        </w:rPr>
        <w:t>not available</w:t>
      </w:r>
      <w:r>
        <w:rPr>
          <w:rFonts w:eastAsia="Times New Roman" w:cs="Calibri"/>
        </w:rPr>
        <w:t>.</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Cargo</w:t>
      </w:r>
      <w:r>
        <w:rPr/>
        <w:t xml:space="preserve"> service</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ListParagraph"/>
        <w:widowControl/>
        <w:numPr>
          <w:ilvl w:val="0"/>
          <w:numId w:val="1"/>
        </w:numPr>
        <w:suppressAutoHyphens w:val="true"/>
        <w:bidi w:val="0"/>
        <w:spacing w:lineRule="auto" w:line="240" w:before="0" w:after="200"/>
        <w:ind w:left="360" w:right="0" w:hanging="0"/>
        <w:contextualSpacing/>
        <w:jc w:val="left"/>
        <w:rPr/>
      </w:pPr>
      <w:r>
        <w:rPr/>
        <w:t>Identity and Access Management service</w:t>
      </w:r>
    </w:p>
    <w:p>
      <w:pPr>
        <w:pStyle w:val="ListParagraph"/>
        <w:numPr>
          <w:ilvl w:val="0"/>
          <w:numId w:val="0"/>
        </w:numPr>
        <w:spacing w:lineRule="auto" w:line="240"/>
        <w:ind w:left="720" w:hanging="0"/>
        <w:rPr/>
      </w:pPr>
      <w:r>
        <w:rPr/>
        <w:t xml:space="preserve">               </w:t>
      </w:r>
      <w:r>
        <w:rPr/>
        <w:t xml:space="preserve">a.   </w:t>
      </w:r>
      <w:r>
        <w:rPr>
          <w:rFonts w:eastAsia="" w:cs="" w:cstheme="minorBidi" w:eastAsiaTheme="minorEastAsia"/>
          <w:color w:val="auto"/>
          <w:kern w:val="0"/>
          <w:sz w:val="21"/>
          <w:szCs w:val="21"/>
          <w:lang w:val="en-US" w:eastAsia="en-US" w:bidi="ar-SA"/>
        </w:rPr>
        <w:t>OpenID Connect</w:t>
      </w:r>
    </w:p>
    <w:p>
      <w:pPr>
        <w:pStyle w:val="ListParagraph"/>
        <w:widowControl/>
        <w:numPr>
          <w:ilvl w:val="0"/>
          <w:numId w:val="0"/>
        </w:numPr>
        <w:suppressAutoHyphens w:val="true"/>
        <w:bidi w:val="0"/>
        <w:spacing w:lineRule="auto" w:line="240" w:before="0" w:after="200"/>
        <w:ind w:left="720" w:right="0" w:hanging="0"/>
        <w:contextualSpacing/>
        <w:jc w:val="left"/>
        <w:rPr/>
      </w:pPr>
      <w:r>
        <w:rPr/>
        <w:t xml:space="preserve">               </w:t>
      </w:r>
      <w:r>
        <w:rPr/>
        <w:t>b.   User-Managed Access</w:t>
      </w:r>
    </w:p>
    <w:p>
      <w:pPr>
        <w:pStyle w:val="ListParagraph"/>
        <w:widowControl/>
        <w:numPr>
          <w:ilvl w:val="0"/>
          <w:numId w:val="1"/>
        </w:numPr>
        <w:suppressAutoHyphens w:val="true"/>
        <w:bidi w:val="0"/>
        <w:spacing w:lineRule="auto" w:line="240" w:before="0" w:after="200"/>
        <w:ind w:left="360" w:right="0" w:hanging="0"/>
        <w:contextualSpacing/>
        <w:jc w:val="left"/>
        <w:rPr/>
      </w:pPr>
      <w:r>
        <w:rPr/>
        <w:t>Full-Text Search service</w:t>
      </w:r>
    </w:p>
    <w:p>
      <w:pPr>
        <w:pStyle w:val="ListParagraph"/>
        <w:widowControl/>
        <w:numPr>
          <w:ilvl w:val="0"/>
          <w:numId w:val="1"/>
        </w:numPr>
        <w:suppressAutoHyphens w:val="true"/>
        <w:bidi w:val="0"/>
        <w:spacing w:lineRule="auto" w:line="240" w:before="0" w:after="200"/>
        <w:ind w:left="360" w:right="0" w:hanging="0"/>
        <w:contextualSpacing/>
        <w:jc w:val="left"/>
        <w:rPr/>
      </w:pPr>
      <w:r>
        <w:rPr/>
        <w:t>Publish-Subscribe service</w:t>
      </w:r>
    </w:p>
    <w:p>
      <w:pPr>
        <w:pStyle w:val="ListParagraph"/>
        <w:spacing w:lineRule="auto" w:line="240"/>
        <w:ind w:left="720" w:hanging="0"/>
        <w:rPr/>
      </w:pPr>
      <w:r>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a new decentralized trusted model built around OAuth 2.0 and OpenID Connect standards.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trike/>
          <w:sz w:val="21"/>
          <w:szCs w:val="21"/>
        </w:rPr>
        <w:t>Incompatibility with the email system</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Ju</w:t>
    </w:r>
    <w:r>
      <w:rPr>
        <w:rFonts w:eastAsia="" w:cs="" w:cstheme="minorBidi" w:eastAsiaTheme="minorEastAsia"/>
        <w:color w:val="auto"/>
        <w:kern w:val="0"/>
        <w:sz w:val="21"/>
        <w:szCs w:val="21"/>
        <w:lang w:val="en-US" w:eastAsia="en-US" w:bidi="ar-SA"/>
      </w:rPr>
      <w:t>ly</w:t>
    </w:r>
    <w:r>
      <w:rPr/>
      <w:t xml:space="preserve"> </w:t>
    </w:r>
    <w:r>
      <w:rPr>
        <w:rFonts w:eastAsia="" w:cs="" w:cstheme="minorBidi" w:eastAsiaTheme="minorEastAsia"/>
        <w:color w:val="auto"/>
        <w:kern w:val="0"/>
        <w:sz w:val="21"/>
        <w:szCs w:val="21"/>
        <w:lang w:val="en-US" w:eastAsia="en-US" w:bidi="ar-SA"/>
      </w:rPr>
      <w:t>2</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17171</TotalTime>
  <Application>LibreOffice/6.4.4.2$Linux_X86_64 LibreOffice_project/706abf8817d63c225da2eaeb9c9523a7d4d3595c</Application>
  <Pages>4</Pages>
  <Words>1087</Words>
  <Characters>6417</Characters>
  <CharactersWithSpaces>7946</CharactersWithSpaces>
  <Paragraphs>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2020-07-02T13:02:11Z</dcterms:modified>
  <cp:revision>625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