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Federizer helps organizations take control of email. Each email is processed as an electronic record, stored on a resource server, protected by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proposed solution is an attempt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resource is </w:t>
      </w:r>
      <w:r>
        <w:rPr>
          <w:rFonts w:eastAsia="DejaVu Sans" w:cs="Calibri Light"/>
          <w:b w:val="false"/>
          <w:bCs w:val="false"/>
          <w:color w:val="auto"/>
          <w:kern w:val="0"/>
          <w:sz w:val="21"/>
          <w:szCs w:val="21"/>
          <w:lang w:val="en-US" w:eastAsia="en-US" w:bidi="ar-SA"/>
        </w:rPr>
        <w:t>processed</w:t>
      </w:r>
      <w:r>
        <w:rPr>
          <w:rFonts w:cs="Calibri Light"/>
          <w:b w:val="false"/>
          <w:bCs w:val="false"/>
          <w:sz w:val="21"/>
          <w:szCs w:val="21"/>
        </w:rPr>
        <w:t xml:space="preserve"> as an electronic record, stored in a resource server, protected by User-Managed Access protocol. This architecture increases the robustness and performance of the existing mail system.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3.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Email Wallet.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12</w:t>
    </w:r>
    <w:r>
      <w:rPr/>
      <w:t xml:space="preserve"> 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18424</TotalTime>
  <Application>LibreOffice/7.0.4.2$Linux_X86_64 LibreOffice_project/1c5f81ee28659974774060c3fe084e73b3bd074b</Application>
  <AppVersion>15.0000</AppVersion>
  <Pages>4</Pages>
  <Words>876</Words>
  <Characters>5178</Characters>
  <CharactersWithSpaces>6499</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2021-02-12T10:06:13Z</dcterms:modified>
  <cp:revision>659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