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cstheme="majorHAnsi" w:ascii="Calibri Light" w:hAnsi="Calibri Light"/>
          <w:b/>
          <w:color w:val="auto"/>
          <w:kern w:val="0"/>
          <w:sz w:val="22"/>
          <w:szCs w:val="22"/>
          <w:lang w:val="en-US" w:eastAsia="en-US" w:bidi="ar-SA"/>
        </w:rPr>
        <w:t>Idea</w:t>
      </w:r>
    </w:p>
    <w:p>
      <w:pPr>
        <w:pStyle w:val="Normal"/>
        <w:spacing w:lineRule="auto" w:line="240"/>
        <w:rPr/>
      </w:pPr>
      <w:bookmarkStart w:id="3" w:name="__DdeLink__330_3041270489"/>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bookmarkEnd w:id="3"/>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4" w:name="__DdeLink__332_3041270489"/>
      <w:r>
        <w:rPr>
          <w:color w:val="000000" w:themeColor="text1"/>
        </w:rPr>
        <w:t xml:space="preserve">The email system, while conceptually sound as a communication means, is structurally obsolete and functionally deficient. The whole email ecosystem relies on over 40 year-old architecture and therefore </w:t>
      </w:r>
      <w:r>
        <w:rPr>
          <w:rFonts w:eastAsia="" w:cs=""/>
          <w:color w:val="000000" w:themeColor="text1"/>
          <w:kern w:val="0"/>
          <w:sz w:val="21"/>
          <w:szCs w:val="21"/>
          <w:lang w:val="en-US" w:eastAsia="en-US" w:bidi="ar-SA"/>
        </w:rPr>
        <w:t>can’t</w:t>
      </w:r>
      <w:r>
        <w:rPr>
          <w:color w:val="000000" w:themeColor="text1"/>
        </w:rPr>
        <w:t xml:space="preserve"> </w:t>
      </w:r>
      <w:r>
        <w:rPr>
          <w:rFonts w:eastAsia="" w:cs=""/>
          <w:color w:val="000000" w:themeColor="text1"/>
          <w:kern w:val="0"/>
          <w:sz w:val="21"/>
          <w:szCs w:val="21"/>
          <w:lang w:val="en-US" w:eastAsia="en-US" w:bidi="ar-SA"/>
        </w:rPr>
        <w:t xml:space="preserve">cope with </w:t>
      </w:r>
      <w:r>
        <w:rPr>
          <w:rFonts w:eastAsia="" w:cs=""/>
          <w:color w:val="000000" w:themeColor="text1"/>
          <w:kern w:val="0"/>
          <w:sz w:val="21"/>
          <w:szCs w:val="21"/>
          <w:lang w:val="en-US" w:eastAsia="en-US" w:bidi="ar-SA"/>
        </w:rPr>
        <w:t>a</w:t>
      </w:r>
      <w:r>
        <w:rPr>
          <w:rFonts w:eastAsia="" w:cs=""/>
          <w:color w:val="000000" w:themeColor="text1"/>
          <w:kern w:val="0"/>
          <w:sz w:val="21"/>
          <w:szCs w:val="21"/>
          <w:lang w:val="en-US" w:eastAsia="en-US" w:bidi="ar-SA"/>
        </w:rPr>
        <w:t xml:space="preserve"> </w:t>
      </w:r>
      <w:r>
        <w:rPr>
          <w:rFonts w:eastAsia="" w:cs=""/>
          <w:color w:val="000000" w:themeColor="text1"/>
          <w:kern w:val="0"/>
          <w:sz w:val="21"/>
          <w:szCs w:val="21"/>
          <w:lang w:val="en-US" w:eastAsia="en-US" w:bidi="ar-SA"/>
        </w:rPr>
        <w:t>larger</w:t>
      </w:r>
      <w:r>
        <w:rPr>
          <w:rFonts w:eastAsia="" w:cs=""/>
          <w:color w:val="000000" w:themeColor="text1"/>
          <w:kern w:val="0"/>
          <w:sz w:val="21"/>
          <w:szCs w:val="21"/>
          <w:lang w:val="en-US" w:eastAsia="en-US" w:bidi="ar-SA"/>
        </w:rPr>
        <w:t xml:space="preserve"> amount of</w:t>
      </w:r>
      <w:r>
        <w:rPr>
          <w:rFonts w:eastAsia="" w:cs=""/>
          <w:color w:val="000000" w:themeColor="text1"/>
          <w:kern w:val="0"/>
          <w:sz w:val="21"/>
          <w:szCs w:val="21"/>
          <w:lang w:val="en-US" w:eastAsia="en-US" w:bidi="ar-SA"/>
        </w:rPr>
        <w:t xml:space="preserve"> data </w:t>
      </w:r>
      <w:r>
        <w:rPr>
          <w:rFonts w:eastAsia="" w:cs=""/>
          <w:color w:val="000000" w:themeColor="text1"/>
          <w:kern w:val="0"/>
          <w:sz w:val="21"/>
          <w:szCs w:val="21"/>
          <w:lang w:val="en-US" w:eastAsia="en-US" w:bidi="ar-SA"/>
        </w:rPr>
        <w:t>in messages</w:t>
      </w:r>
      <w:r>
        <w:rPr>
          <w:rFonts w:eastAsia="" w:cs=""/>
          <w:color w:val="000000" w:themeColor="text1"/>
          <w:kern w:val="0"/>
          <w:sz w:val="21"/>
          <w:szCs w:val="21"/>
          <w:lang w:val="en-US" w:eastAsia="en-US" w:bidi="ar-SA"/>
        </w:rPr>
        <w:t>.</w:t>
      </w:r>
      <w:bookmarkEnd w:id="4"/>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bookmarkStart w:id="5" w:name="__DdeLink__334_3041270489"/>
      <w:r>
        <w:rPr>
          <w:rFonts w:eastAsia="Times New Roman" w:cs="Calibri"/>
        </w:rPr>
        <w:t xml:space="preserve">The new generation email system where messages and attachments are stored </w:t>
      </w:r>
      <w:r>
        <w:rPr>
          <w:rFonts w:eastAsia="Times New Roman" w:cs="Calibri"/>
        </w:rPr>
        <w:t xml:space="preserve">and transferred </w:t>
      </w:r>
      <w:r>
        <w:rPr>
          <w:rFonts w:eastAsia="Times New Roman" w:cs="Calibri"/>
        </w:rPr>
        <w:t xml:space="preserve">separately. </w:t>
      </w:r>
      <w:r>
        <w:rPr>
          <w:rFonts w:eastAsia="Times New Roman" w:cs="Calibri"/>
          <w:color w:val="auto"/>
          <w:kern w:val="0"/>
          <w:sz w:val="21"/>
          <w:szCs w:val="21"/>
          <w:lang w:val="en-US" w:eastAsia="en-US" w:bidi="ar-SA"/>
        </w:rPr>
        <w:t xml:space="preserve">The data </w:t>
      </w:r>
      <w:r>
        <w:rPr>
          <w:rFonts w:eastAsia="Times New Roman" w:cs="Calibri"/>
          <w:color w:val="auto"/>
          <w:kern w:val="0"/>
          <w:sz w:val="21"/>
          <w:szCs w:val="21"/>
          <w:lang w:val="en-US" w:eastAsia="en-US" w:bidi="ar-SA"/>
        </w:rPr>
        <w:t xml:space="preserve">protection is </w:t>
      </w:r>
      <w:r>
        <w:rPr>
          <w:rFonts w:eastAsia="Times New Roman" w:cs="Calibri"/>
          <w:color w:val="auto"/>
          <w:kern w:val="0"/>
          <w:sz w:val="21"/>
          <w:szCs w:val="21"/>
          <w:lang w:val="en-US" w:eastAsia="en-US" w:bidi="ar-SA"/>
        </w:rPr>
        <w:t xml:space="preserve">delegated to </w:t>
      </w:r>
      <w:r>
        <w:rPr>
          <w:rFonts w:eastAsia="Times New Roman" w:cs="Calibri"/>
          <w:color w:val="auto"/>
          <w:kern w:val="0"/>
          <w:sz w:val="21"/>
          <w:szCs w:val="21"/>
          <w:lang w:val="en-US" w:eastAsia="en-US" w:bidi="ar-SA"/>
        </w:rPr>
        <w:t>the i</w:t>
      </w:r>
      <w:r>
        <w:rPr>
          <w:rFonts w:eastAsia="Times New Roman" w:cs="Calibri"/>
        </w:rPr>
        <w:t xml:space="preserve">dentity and </w:t>
      </w:r>
      <w:r>
        <w:rPr>
          <w:rFonts w:eastAsia="Times New Roman" w:cs="Calibri"/>
        </w:rPr>
        <w:t>a</w:t>
      </w:r>
      <w:r>
        <w:rPr>
          <w:rFonts w:eastAsia="Times New Roman" w:cs="Calibri"/>
        </w:rPr>
        <w:t>c</w:t>
      </w:r>
      <w:r>
        <w:rPr>
          <w:rFonts w:eastAsia="Times New Roman" w:cs="Calibri"/>
        </w:rPr>
        <w:t>c</w:t>
      </w:r>
      <w:r>
        <w:rPr>
          <w:rFonts w:eastAsia="Times New Roman" w:cs="Calibri"/>
        </w:rPr>
        <w:t xml:space="preserve">ess </w:t>
      </w:r>
      <w:r>
        <w:rPr>
          <w:rFonts w:eastAsia="Times New Roman" w:cs="Calibri"/>
        </w:rPr>
        <w:t>m</w:t>
      </w:r>
      <w:r>
        <w:rPr>
          <w:rFonts w:eastAsia="Times New Roman" w:cs="Calibri"/>
        </w:rPr>
        <w:t>anagement system.</w:t>
      </w:r>
      <w:bookmarkEnd w:id="5"/>
      <w:r>
        <w:br w:type="page"/>
      </w:r>
    </w:p>
    <w:p>
      <w:pPr>
        <w:pStyle w:val="Normal"/>
        <w:spacing w:lineRule="auto" w:line="240"/>
        <w:rPr>
          <w:rFonts w:ascii="Calibri" w:hAnsi="Calibri" w:eastAsia="Times New Roman" w:cs="Calibri"/>
        </w:rPr>
      </w:pPr>
      <w:r>
        <w:rPr>
          <w:rFonts w:eastAsia="Times New Roman" w:cs="Calibri"/>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6" w:name="__DdeLink__765_3012792266"/>
      <w:r>
        <w:rPr>
          <w:rFonts w:cs="Calibri Light" w:ascii="Calibri Light" w:hAnsi="Calibri Light" w:asciiTheme="majorHAnsi" w:cstheme="majorHAnsi" w:hAnsiTheme="majorHAnsi"/>
          <w:b/>
          <w:sz w:val="22"/>
          <w:szCs w:val="22"/>
        </w:rPr>
        <w:t>Use Cases</w:t>
      </w:r>
      <w:bookmarkEnd w:id="6"/>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2</w:t>
    </w:r>
    <w:r>
      <w:rPr>
        <w:rFonts w:eastAsia="" w:cs="" w:cstheme="minorBidi" w:eastAsiaTheme="minorEastAsia"/>
        <w:color w:val="auto"/>
        <w:kern w:val="0"/>
        <w:sz w:val="21"/>
        <w:szCs w:val="21"/>
        <w:lang w:val="en-US" w:eastAsia="en-US" w:bidi="ar-SA"/>
      </w:rPr>
      <w:t>5</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17188</TotalTime>
  <Application>LibreOffice/6.4.3.2$Linux_X86_64 LibreOffice_project/85aa6f776c6af63185291a519637a4f7af4e8a3b</Application>
  <Pages>3</Pages>
  <Words>737</Words>
  <Characters>4137</Characters>
  <CharactersWithSpaces>5247</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2020-05-25T17:06:29Z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