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 xml:space="preserve">Federizer helps organizations take control of email </w:t>
      </w:r>
      <w:r>
        <w:rPr>
          <w:rFonts w:eastAsia="Times New Roman" w:cs="Calibri"/>
          <w:color w:val="000000"/>
          <w:kern w:val="0"/>
          <w:sz w:val="21"/>
          <w:szCs w:val="21"/>
          <w:lang w:val="en-US" w:eastAsia="en-US" w:bidi="ar-SA"/>
        </w:rPr>
        <w:t>through the use</w:t>
      </w:r>
      <w:r>
        <w:rPr>
          <w:rFonts w:eastAsia="Times New Roman" w:cs="Calibri"/>
          <w:color w:val="000000"/>
        </w:rPr>
        <w:t xml:space="preserve"> of advanced authorization </w:t>
      </w:r>
      <w:r>
        <w:rPr>
          <w:rFonts w:eastAsia="Times New Roman" w:cs="Calibri"/>
          <w:color w:val="000000"/>
          <w:kern w:val="0"/>
          <w:sz w:val="21"/>
          <w:szCs w:val="21"/>
          <w:lang w:val="en-US" w:eastAsia="en-US" w:bidi="ar-SA"/>
        </w:rPr>
        <w:t>mechanism</w:t>
      </w:r>
      <w:r>
        <w:rPr>
          <w:rFonts w:eastAsia="Times New Roman" w:cs="Calibri"/>
          <w:color w:val="000000"/>
        </w:rPr>
        <w:t>. Each email is treated like digital resources stored on the Mailbox Resource Server and protected by the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consists of resources stored separately on the Mailbox Resource Server and protected by the User-Managed Access protocol.</w:t>
      </w:r>
      <w:r>
        <w:rPr>
          <w:rFonts w:cs="Calibri Light"/>
          <w:b w:val="false"/>
          <w:bCs w:val="false"/>
          <w:color w:val="C9211E"/>
          <w:sz w:val="21"/>
          <w:szCs w:val="21"/>
        </w:rPr>
        <w:t xml:space="preserve"> </w:t>
      </w:r>
      <w:r>
        <w:rPr>
          <w:rFonts w:cs="Calibri Light"/>
          <w:b w:val="false"/>
          <w:bCs w:val="false"/>
          <w:color w:val="auto"/>
          <w:sz w:val="21"/>
          <w:szCs w:val="21"/>
        </w:rPr>
        <w:t>This access control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mailbox of the current email system becomes redundant and should only be used for incoming </w:t>
      </w:r>
      <w:r>
        <w:rPr>
          <w:rFonts w:eastAsia="DejaVu Sans" w:cs="Calibri Light"/>
          <w:b w:val="false"/>
          <w:bCs w:val="false"/>
          <w:color w:val="auto"/>
          <w:kern w:val="0"/>
          <w:sz w:val="21"/>
          <w:szCs w:val="21"/>
          <w:lang w:val="en-US" w:eastAsia="en-US" w:bidi="ar-SA"/>
        </w:rPr>
        <w:t xml:space="preserve">so-called </w:t>
      </w:r>
      <w:r>
        <w:rPr>
          <w:rFonts w:eastAsia="DejaVu Sans" w:cs="Calibri Light"/>
          <w:b w:val="false"/>
          <w:bCs w:val="false"/>
          <w:color w:val="auto"/>
          <w:kern w:val="0"/>
          <w:sz w:val="21"/>
          <w:szCs w:val="21"/>
          <w:lang w:val="en-US" w:eastAsia="en-US" w:bidi="ar-SA"/>
        </w:rPr>
        <w:t xml:space="preserve">authorization emails. </w:t>
      </w:r>
      <w:r>
        <w:rPr>
          <w:rFonts w:eastAsia="DejaVu Sans" w:cs="Calibri Light"/>
          <w:b w:val="false"/>
          <w:bCs w:val="false"/>
          <w:color w:val="auto"/>
          <w:kern w:val="0"/>
          <w:sz w:val="21"/>
          <w:szCs w:val="21"/>
          <w:lang w:val="en-US" w:eastAsia="en-US" w:bidi="ar-SA"/>
        </w:rPr>
        <w:t>This</w:t>
      </w:r>
      <w:r>
        <w:rPr>
          <w:rFonts w:eastAsia="DejaVu Sans" w:cs="Calibri Light"/>
          <w:b w:val="false"/>
          <w:bCs w:val="false"/>
          <w:color w:val="auto"/>
          <w:kern w:val="0"/>
          <w:sz w:val="21"/>
          <w:szCs w:val="21"/>
          <w:lang w:val="en-US" w:eastAsia="en-US" w:bidi="ar-SA"/>
        </w:rPr>
        <w:t xml:space="preserv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ability of the </w:t>
      </w:r>
      <w:r>
        <w:rPr>
          <w:rFonts w:eastAsia="Times New Roman" w:cs="Calibri"/>
          <w:b w:val="false"/>
          <w:bCs w:val="false"/>
          <w:color w:val="000000"/>
          <w:kern w:val="0"/>
          <w:sz w:val="21"/>
          <w:szCs w:val="21"/>
          <w:lang w:val="en-US" w:eastAsia="en-US" w:bidi="ar-SA"/>
        </w:rPr>
        <w:t>User-Managed Access</w:t>
      </w:r>
      <w:r>
        <w:rPr>
          <w:rFonts w:eastAsia="DejaVu Sans" w:cs="Calibri Light"/>
          <w:b w:val="false"/>
          <w:bCs w:val="false"/>
          <w:color w:val="auto"/>
          <w:kern w:val="0"/>
          <w:sz w:val="21"/>
          <w:szCs w:val="21"/>
          <w:lang w:val="en-US" w:eastAsia="en-US" w:bidi="ar-SA"/>
        </w:rPr>
        <w:t xml:space="preserve"> protocol to use multiple autonomous resource servers allows a user with a single email address to work simultaneously with multiple mailboxes. Federizer provides flexibility for storing emails according to various criteria in separate dislocated mailboxes.</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capability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24</w:t>
    </w:r>
    <w:r>
      <w:rPr>
        <w:rFonts w:eastAsia="" w:cs="" w:cstheme="minorBidi" w:eastAsiaTheme="minorEastAsia"/>
        <w:color w:val="auto"/>
        <w:kern w:val="0"/>
        <w:sz w:val="21"/>
        <w:szCs w:val="21"/>
        <w:lang w:val="en-US" w:eastAsia="en-US" w:bidi="ar-SA"/>
      </w:rPr>
      <w:t xml:space="preserve">,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18545</TotalTime>
  <Application>LibreOffice/7.0.4.2$Linux_X86_64 LibreOffice_project/1c5f81ee28659974774060c3fe084e73b3bd074b</Application>
  <AppVersion>15.0000</AppVersion>
  <Pages>4</Pages>
  <Words>949</Words>
  <Characters>5618</Characters>
  <CharactersWithSpaces>7009</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2021-02-24T09:43:57Z</dcterms:modified>
  <cp:revision>699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