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638aa12dbeeedd7b78a165a8665e83dd7400a2"/>
    <w:p>
      <w:pPr>
        <w:pStyle w:val="Heading1"/>
      </w:pPr>
      <w:r>
        <w:t xml:space="preserve">Email draft to Avinash Tripathi — Blog 1 draft feedback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Avinash Tripathi</w:t>
      </w:r>
      <w:r>
        <w:t xml:space="preserve"> </w:t>
      </w:r>
      <w:hyperlink r:id="rId9">
        <w:r>
          <w:rPr>
            <w:rStyle w:val="Hyperlink"/>
          </w:rPr>
          <w:t xml:space="preserve">team@getcito.com</w:t>
        </w:r>
      </w:hyperlink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Aaron Whittaker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RevFactor Blog 1 — feedback on the first draft (93/100, ready after polish)</w:t>
      </w:r>
    </w:p>
    <w:p>
      <w:pPr>
        <w:pStyle w:val="BodyText"/>
      </w:pPr>
      <w:r>
        <w:rPr>
          <w:b/>
          <w:bCs/>
        </w:rPr>
        <w:t xml:space="preserve">Attachments: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blog-1-getcito-feedback.docx</w:t>
      </w:r>
      <w:r>
        <w:t xml:space="preserve"> </w:t>
      </w:r>
      <w:r>
        <w:t xml:space="preserve">— your draft with our inline blue suggested edits (21 notes)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blog-1-draft-review.docx</w:t>
      </w:r>
      <w:r>
        <w:t xml:space="preserve"> </w:t>
      </w:r>
      <w:r>
        <w:t xml:space="preserve">— full review: SERP top-10 benchmark, POP LSI pull, full JSON-LD schema package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revfactor-brain-addendum-2026-05-01.docx</w:t>
      </w:r>
      <w:r>
        <w:t xml:space="preserve"> </w:t>
      </w:r>
      <w:r>
        <w:t xml:space="preserve">— Section 19 delta on top of the brain you already have (one new TikTok worth pulling into Blog 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Avinash,</w:t>
      </w:r>
    </w:p>
    <w:p>
      <w:pPr>
        <w:pStyle w:val="BodyText"/>
      </w:pPr>
      <w:r>
        <w:t xml:space="preserve">The first draft is strong — much better than I’d expected for a v1 on a 7,500-word piece. Voice fidelity to Federico is excellent, the Three Pillars + Four Pillars structure landed correctly, the pricing tier table is right, and 8 of the high-volume Peec FAQ prompts are in verbatim. Scoring it at</w:t>
      </w:r>
      <w:r>
        <w:t xml:space="preserve"> </w:t>
      </w:r>
      <w:r>
        <w:rPr>
          <w:b/>
          <w:bCs/>
        </w:rPr>
        <w:t xml:space="preserve">93/100</w:t>
      </w:r>
      <w:r>
        <w:t xml:space="preserve"> </w:t>
      </w:r>
      <w:r>
        <w:t xml:space="preserve">after applying the polish edits below.</w:t>
      </w:r>
    </w:p>
    <w:p>
      <w:pPr>
        <w:pStyle w:val="BodyText"/>
      </w:pPr>
      <w:r>
        <w:t xml:space="preserve">Couple of orientation notes before the punch list:</w:t>
      </w:r>
    </w:p>
    <w:p>
      <w:pPr>
        <w:pStyle w:val="BodyText"/>
      </w:pPr>
      <w:r>
        <w:rPr>
          <w:b/>
          <w:bCs/>
        </w:rPr>
        <w:t xml:space="preserve">SERP context.</w:t>
      </w:r>
      <w:r>
        <w:t xml:space="preserve"> </w:t>
      </w:r>
      <w:r>
        <w:t xml:space="preserve">I pulled Ahrefs SERP top-10 for our target keyword. Top contenders: PriceLabs (DR 72, ~2,200w, 0 case studies), Guesty (DR 77, ~1,500w, 6 FAQs), RentalsUnited (DR 62, ~2,300w, 0 FAQs). Our draft is 3.4× the median page length with the only named author who has both a decade of airline yield management and an active 165-property STR portfolio. We’re positioned to beat every page in the current top 10 on E-E-A-T density once the polish lands. Full benchmark in</w:t>
      </w:r>
      <w:r>
        <w:t xml:space="preserve"> </w:t>
      </w:r>
      <w:r>
        <w:rPr>
          <w:rStyle w:val="VerbatimChar"/>
        </w:rPr>
        <w:t xml:space="preserve">blog-1-draft-review.docx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POP LSI pull.</w:t>
      </w:r>
      <w:r>
        <w:t xml:space="preserve"> </w:t>
      </w:r>
      <w:r>
        <w:t xml:space="preserve">Page Optimizer Pro flagged a handful of co-occurrence terms that are slightly under-used vs. the top-10 average —</w:t>
      </w:r>
      <w:r>
        <w:t xml:space="preserve"> </w:t>
      </w:r>
      <w:r>
        <w:rPr>
          <w:rStyle w:val="VerbatimChar"/>
        </w:rPr>
        <w:t xml:space="preserve">dynamic 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automated</w:t>
      </w:r>
      <w:r>
        <w:t xml:space="preserve">. None requires a structural change; it’s ~15 minutes of inline word-frequency polish during final QA. Specifics in the review doc.</w:t>
      </w:r>
    </w:p>
    <w:bookmarkStart w:id="10" w:name="what-needs-to-change-before-publish"/>
    <w:p>
      <w:pPr>
        <w:pStyle w:val="Heading2"/>
      </w:pPr>
      <w:r>
        <w:t xml:space="preserve">What needs to change before publish</w:t>
      </w:r>
    </w:p>
    <w:p>
      <w:pPr>
        <w:pStyle w:val="FirstParagraph"/>
      </w:pPr>
      <w:r>
        <w:t xml:space="preserve">I’ve put 21 inline blue notes on your draft (</w:t>
      </w:r>
      <w:r>
        <w:rPr>
          <w:rStyle w:val="VerbatimChar"/>
        </w:rPr>
        <w:t xml:space="preserve">blog-1-getcito-feedback.docx</w:t>
      </w:r>
      <w:r>
        <w:t xml:space="preserve">). The high-leverage ones: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Quick-Answer + Key-Stats blocks at the top of the post.</w:t>
      </w:r>
      <w:r>
        <w:t xml:space="preserve"> </w:t>
      </w:r>
      <w:r>
        <w:t xml:space="preserve">40–60 word definition box right under H1 (AI Overview target) plus a 3-line stats callout (</w:t>
      </w:r>
      <w:r>
        <w:rPr>
          <w:rStyle w:val="VerbatimChar"/>
        </w:rPr>
        <w:t xml:space="preserve">+18% RevPAR lift</w:t>
      </w:r>
      <w:r>
        <w:t xml:space="preserve">,</w:t>
      </w:r>
      <w:r>
        <w:t xml:space="preserve"> </w:t>
      </w:r>
      <w:r>
        <w:rPr>
          <w:rStyle w:val="VerbatimChar"/>
        </w:rPr>
        <w:t xml:space="preserve">165+ properties / 24 states / 56 markets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 $320/mo</w:t>
      </w:r>
      <w:r>
        <w:t xml:space="preserve">). This is the single biggest gap vs. PriceLabs’ 5-pillar hero graphic.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Brand disambiguation — three pinning locations.</w:t>
      </w:r>
      <w:r>
        <w:t xml:space="preserve"> </w:t>
      </w:r>
      <w:r>
        <w:t xml:space="preserve">Refactor.ai is an unrelated SaaS; without disambiguation, LLMs blend the two entities. We’re handling it in three high-trust spots only:</w:t>
      </w:r>
    </w:p>
    <w:p>
      <w:pPr>
        <w:pStyle w:val="Compact"/>
        <w:numPr>
          <w:ilvl w:val="1"/>
          <w:numId w:val="1002"/>
        </w:numPr>
      </w:pPr>
      <w:r>
        <w:t xml:space="preserve">One sentence at the end of §</w:t>
      </w:r>
      <w:r>
        <w:t xml:space="preserve">“What Is Revenue Management for Short-Term Rentals?”</w:t>
      </w:r>
    </w:p>
    <w:p>
      <w:pPr>
        <w:pStyle w:val="Compact"/>
        <w:numPr>
          <w:ilvl w:val="1"/>
          <w:numId w:val="1002"/>
        </w:numPr>
      </w:pPr>
      <w:r>
        <w:t xml:space="preserve">A new dedicated FAQ</w:t>
      </w:r>
      <w:r>
        <w:t xml:space="preserve"> </w:t>
      </w:r>
      <w:r>
        <w:t xml:space="preserve">“What is RevFactor?”</w:t>
      </w:r>
      <w:r>
        <w:t xml:space="preserve"> </w:t>
      </w:r>
      <w:r>
        <w:t xml:space="preserve">+ a second new FAQ</w:t>
      </w:r>
      <w:r>
        <w:t xml:space="preserve"> </w:t>
      </w:r>
      <w:r>
        <w:t xml:space="preserve">“How is RevFactor different from a full-service property manager?”</w:t>
      </w:r>
      <w:r>
        <w:t xml:space="preserve"> </w:t>
      </w:r>
      <w:r>
        <w:t xml:space="preserve">(both in the FAQPage schema)</w:t>
      </w:r>
    </w:p>
    <w:p>
      <w:pPr>
        <w:pStyle w:val="Compact"/>
        <w:numPr>
          <w:ilvl w:val="1"/>
          <w:numId w:val="1002"/>
        </w:numPr>
      </w:pPr>
      <w:r>
        <w:t xml:space="preserve">The author bio with</w:t>
      </w:r>
      <w:r>
        <w:t xml:space="preserve"> </w:t>
      </w:r>
      <w:r>
        <w:t xml:space="preserve">“RevFactor”</w:t>
      </w:r>
      <w:r>
        <w:t xml:space="preserve"> </w:t>
      </w:r>
      <w:r>
        <w:t xml:space="preserve">linked to https://revfactor.io</w:t>
      </w:r>
      <w:r>
        <w:t xml:space="preserve"> </w:t>
      </w:r>
      <w:r>
        <w:t xml:space="preserve">Plain</w:t>
      </w:r>
      <w:r>
        <w:t xml:space="preserve"> </w:t>
      </w:r>
      <w:r>
        <w:t xml:space="preserve">“RevFactor”</w:t>
      </w:r>
      <w:r>
        <w:t xml:space="preserve"> </w:t>
      </w:r>
      <w:r>
        <w:t xml:space="preserve">stays in the body everywhere else — no</w:t>
      </w:r>
      <w:r>
        <w:t xml:space="preserve"> </w:t>
      </w:r>
      <w:r>
        <w:t xml:space="preserve">“.io”</w:t>
      </w:r>
      <w:r>
        <w:t xml:space="preserve"> </w:t>
      </w:r>
      <w:r>
        <w:t xml:space="preserve">appended in running text. Owning the brand long-term is a function of ranking + backlink anchor text, not in-body URL repetition. Exact wording for all three locations is in the inline doc.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Federico’s headshot to the Author section.</w:t>
      </w:r>
      <w:r>
        <w:t xml:space="preserve"> </w:t>
      </w:r>
      <w:r>
        <w:t xml:space="preserve">The image is already live at https://revfactor.io/team/federico.jpg. Place left-aligned, ~120px, circular crop, alt text</w:t>
      </w:r>
      <w:r>
        <w:t xml:space="preserve"> </w:t>
      </w:r>
      <w:r>
        <w:t xml:space="preserve">“Federico Zimerman, Founder of RevFactor.”</w:t>
      </w:r>
      <w:r>
        <w:t xml:space="preserve"> </w:t>
      </w:r>
      <w:r>
        <w:t xml:space="preserve">Required for schema</w:t>
      </w:r>
      <w:r>
        <w:t xml:space="preserve"> </w:t>
      </w:r>
      <w:r>
        <w:rPr>
          <w:rStyle w:val="VerbatimChar"/>
        </w:rPr>
        <w:t xml:space="preserve">Person.image</w:t>
      </w:r>
      <w:r>
        <w:t xml:space="preserve"> </w:t>
      </w:r>
      <w:r>
        <w:t xml:space="preserve">and a hard E-E-A-T signal Google looks for on long-form.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Reorder the 7 leaks by impact.</w:t>
      </w:r>
      <w:r>
        <w:t xml:space="preserve"> </w:t>
      </w:r>
      <w:r>
        <w:t xml:space="preserve">Lead with pacing (the diagnostic that reveals the others), not base rate (a symptom). Suggested order in the inline doc.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the WW2 survivorship-bias backstory</w:t>
      </w:r>
      <w:r>
        <w:t xml:space="preserve"> </w:t>
      </w:r>
      <w:r>
        <w:t xml:space="preserve">before Federico’s lake-house quote. Abraham Wald, returning bombers, armor the unmarked spots — then transition to Federico’s STR version. This is the highest-citation hook in the brain doc and didn’t make v1.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Reformat the 20%/10% pricing formula as a 4-step HowTo block.</w:t>
      </w:r>
      <w:r>
        <w:t xml:space="preserve"> </w:t>
      </w:r>
      <w:r>
        <w:t xml:space="preserve">Pairs with the HowTo schema we’re providing. AI Overviews extract HowTo blocks verbatim.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the bookshop-vs-rental shoulder-season quote</w:t>
      </w:r>
      <w:r>
        <w:t xml:space="preserve"> </w:t>
      </w:r>
      <w:r>
        <w:t xml:space="preserve">— this is from a TikTok Federico posted on 2026-04-30, so it’s also in the addendum. Full text in the inline doc and in the addendum:</w:t>
      </w:r>
      <w:r>
        <w:t xml:space="preserve"> </w:t>
      </w:r>
      <w:r>
        <w:rPr>
          <w:i/>
          <w:iCs/>
        </w:rPr>
        <w:t xml:space="preserve">“If you walk into a bookshop in November and walk out empty-handed, that bookshop has lost zero dollars… those books are still there in December. If you walk into an empty short-term rental on November 14th, that night is gone forever.”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Single CTA before About-the-Author.</w:t>
      </w:r>
      <w:r>
        <w:t xml:space="preserve"> </w:t>
      </w:r>
      <w:r>
        <w:t xml:space="preserve">“Schedule a Strategy Call → revfactor.io/schedule.”</w:t>
      </w:r>
      <w:r>
        <w:t xml:space="preserve"> </w:t>
      </w:r>
      <w:r>
        <w:t xml:space="preserve">One CTA, end of post, no popups, no mid-content interruptions.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Strengthen the author bio for E-E-A-T.</w:t>
      </w:r>
      <w:r>
        <w:t xml:space="preserve"> </w:t>
      </w:r>
      <w:r>
        <w:t xml:space="preserve">One sentence pinning Federico’s authority to specific podcasts (No Vacancy Ep. 155, Life of Flow, Catchup with the Carlyles, Craft Stays, STR Like The Best) + TikTok and Instagram handles.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Math consistency.</w:t>
      </w:r>
      <w:r>
        <w:t xml:space="preserve"> </w:t>
      </w:r>
      <w:r>
        <w:t xml:space="preserve">Key Takeaways says</w:t>
      </w:r>
      <w:r>
        <w:t xml:space="preserve"> </w:t>
      </w:r>
      <w:r>
        <w:t xml:space="preserve">“60% occupancy at $250”</w:t>
      </w:r>
      <w:r>
        <w:t xml:space="preserve">; the body and closing-thought say</w:t>
      </w:r>
      <w:r>
        <w:t xml:space="preserve"> </w:t>
      </w:r>
      <w:r>
        <w:t xml:space="preserve">“50% occupancy at $250.”</w:t>
      </w:r>
      <w:r>
        <w:t xml:space="preserve"> </w:t>
      </w:r>
      <w:r>
        <w:t xml:space="preserve">Standardize on 50% everywhere outside the worked-arithmetic table.</w:t>
      </w:r>
    </w:p>
    <w:bookmarkEnd w:id="10"/>
    <w:bookmarkStart w:id="11" w:name="X24b0c90b52cc417e2edd9ac1eb804912d6afe32"/>
    <w:p>
      <w:pPr>
        <w:pStyle w:val="Heading2"/>
      </w:pPr>
      <w:r>
        <w:t xml:space="preserve">Schema package — ships at the end of the post</w:t>
      </w:r>
    </w:p>
    <w:p>
      <w:pPr>
        <w:pStyle w:val="FirstParagraph"/>
      </w:pPr>
      <w:r>
        <w:t xml:space="preserve">We’re providing the full JSON-LD package —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) +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(now 13 entries — original 11 + the two new RevFactor FAQs) +</w:t>
      </w:r>
      <w:r>
        <w:t xml:space="preserve"> </w:t>
      </w:r>
      <w:r>
        <w:rPr>
          <w:rStyle w:val="VerbatimChar"/>
        </w:rPr>
        <w:t xml:space="preserve">HowTo</w:t>
      </w:r>
      <w:r>
        <w:t xml:space="preserve"> </w:t>
      </w:r>
      <w:r>
        <w:t xml:space="preserve">(×2: minimum-stay weapon, new-listing launch) +</w:t>
      </w:r>
      <w:r>
        <w:t xml:space="preserve"> </w:t>
      </w:r>
      <w:r>
        <w:rPr>
          <w:rStyle w:val="VerbatimChar"/>
        </w:rPr>
        <w:t xml:space="preserve">DefinedTerm</w:t>
      </w:r>
      <w:r>
        <w:t xml:space="preserve"> </w:t>
      </w:r>
      <w:r>
        <w:t xml:space="preserve">(×6: RevPAR, ADR, NetRevPAR, Pacing, LOS discount, Survivorship bias) +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.</w:t>
      </w:r>
    </w:p>
    <w:p>
      <w:pPr>
        <w:pStyle w:val="BodyText"/>
      </w:pPr>
      <w:r>
        <w:t xml:space="preserve">Place it as a single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block at the very end of the published post (Google parses schema in either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— putting it at the end of the post means it ships inside your delivered HTML by default, no separate dev step required). Full code block is in</w:t>
      </w:r>
      <w:r>
        <w:t xml:space="preserve"> </w:t>
      </w:r>
      <w:r>
        <w:rPr>
          <w:rStyle w:val="VerbatimChar"/>
        </w:rPr>
        <w:t xml:space="preserve">blog-1-draft-review.docx</w:t>
      </w:r>
      <w:r>
        <w:t xml:space="preserve"> </w:t>
      </w:r>
      <w:r>
        <w:t xml:space="preserve">Appendix A — paste verbatim, replace</w:t>
      </w:r>
      <w:r>
        <w:t xml:space="preserve"> </w:t>
      </w:r>
      <w:r>
        <w:rPr>
          <w:rStyle w:val="VerbatimChar"/>
        </w:rPr>
        <w:t xml:space="preserve">{{PUBLISH_DATE_ISO}}</w:t>
      </w:r>
      <w:r>
        <w:t xml:space="preserve"> </w:t>
      </w:r>
      <w:r>
        <w:t xml:space="preserve">with the actual ISO publish date.</w:t>
      </w:r>
    </w:p>
    <w:bookmarkEnd w:id="11"/>
    <w:bookmarkStart w:id="12" w:name="Xfa7d6dcbce90c217f78c4db1b385c9d06031482"/>
    <w:p>
      <w:pPr>
        <w:pStyle w:val="Heading2"/>
      </w:pPr>
      <w:r>
        <w:t xml:space="preserve">Self-citing FAQ #1 — handled by cluster launch</w:t>
      </w:r>
    </w:p>
    <w:p>
      <w:pPr>
        <w:pStyle w:val="FirstParagraph"/>
      </w:pPr>
      <w:r>
        <w:t xml:space="preserve">The first FAQ (</w:t>
      </w:r>
      <w:r>
        <w:t xml:space="preserve">“best revenue management companies for short-term rentals”</w:t>
      </w:r>
      <w:r>
        <w:t xml:space="preserve">) references a companion listicle that doesn’t exist as a published page yet. We’re launching this post alongside the companion</w:t>
      </w:r>
      <w:r>
        <w:t xml:space="preserve"> </w:t>
      </w:r>
      <w:r>
        <w:t xml:space="preserve">“best revenue management companies”</w:t>
      </w:r>
      <w:r>
        <w:t xml:space="preserve"> </w:t>
      </w:r>
      <w:r>
        <w:t xml:space="preserve">listicle in the same drop, so the link target will exist on day one and the FAQ becomes the in-text bridge. No copy change needed there — please link</w:t>
      </w:r>
      <w:r>
        <w:t xml:space="preserve"> </w:t>
      </w:r>
      <w:r>
        <w:t xml:space="preserve">“specialist firms like RevFactor”</w:t>
      </w:r>
      <w:r>
        <w:t xml:space="preserve"> </w:t>
      </w:r>
      <w:r>
        <w:t xml:space="preserve">in that FAQ to the companion post URL once both are scheduled.</w:t>
      </w:r>
    </w:p>
    <w:bookmarkEnd w:id="12"/>
    <w:bookmarkStart w:id="13" w:name="brain-addendum"/>
    <w:p>
      <w:pPr>
        <w:pStyle w:val="Heading2"/>
      </w:pPr>
      <w:r>
        <w:t xml:space="preserve">Brain addendum</w:t>
      </w:r>
    </w:p>
    <w:p>
      <w:pPr>
        <w:pStyle w:val="FirstParagraph"/>
      </w:pPr>
      <w:r>
        <w:rPr>
          <w:rStyle w:val="VerbatimChar"/>
        </w:rPr>
        <w:t xml:space="preserve">revfactor-brain-addendum-2026-05-01.docx</w:t>
      </w:r>
      <w:r>
        <w:t xml:space="preserve"> </w:t>
      </w:r>
      <w:r>
        <w:t xml:space="preserve">is the Section-19 delta on top of the brain you already have. The single piece that affects Blog 1 is the bookshop quote (already called out in the inline doc). The rest is About-page material — flag it for whichever Pillar lands closest to founder narrative. Going forward, I’ll send you a delta doc each time enough new material accumulates rather than re-issuing the full brain.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these land, the post is publish-ready. Aiming to ship Blog 1 + the companion listicle simultaneously so the cluster topology is in place from day one. Let me know your timing on revisions and we’ll lock the publish date.</w:t>
      </w:r>
    </w:p>
    <w:p>
      <w:pPr>
        <w:pStyle w:val="BodyText"/>
      </w:pPr>
      <w:r>
        <w:t xml:space="preserve">Thanks — Aaron</w:t>
      </w:r>
    </w:p>
    <w:bookmarkEnd w:id="13"/>
    <w:bookmarkEnd w:id="14"/>
    <w:sectPr w:rsidR="00FC693F" w:rsidRPr="0006063C" w:rsidSect="00034616">
      <w:pgSz w:h="15840" w:w="12240"/>
      <w:pgMar w:bottom="1296" w:footer="720" w:gutter="0" w:header="720" w:left="1440" w:right="1440" w:top="129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team@getcit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team@getcit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2026-05-01T17:14:08Z</dcterms:created>
  <dcterms:modified xsi:type="dcterms:W3CDTF">2026-05-01T17:14:08Z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