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COLOR KEY: </w:t>
      </w:r>
      <w:r>
        <w:rPr>
          <w:color w:val="222222"/>
          <w:sz w:val="18"/>
        </w:rPr>
        <w:t xml:space="preserve">Black = original brief  ·  </w:t>
      </w:r>
      <w:r>
        <w:rPr>
          <w:b/>
          <w:color w:val="0A7A3C"/>
          <w:sz w:val="18"/>
        </w:rPr>
        <w:t xml:space="preserve">Green = feedback  ·  </w:t>
      </w:r>
      <w:r>
        <w:rPr>
          <w:b/>
          <w:color w:val="8B1A1A"/>
          <w:sz w:val="18"/>
        </w:rPr>
        <w:t>Red = critical / blocker</w:t>
      </w:r>
    </w:p>
    <w:p>
      <w:r>
        <w:rPr>
          <w:b/>
          <w:color w:val="222222"/>
          <w:sz w:val="40"/>
        </w:rPr>
        <w:t>Blog 7 v2 (2nd Draft) — Strategic Feedback</w:t>
      </w:r>
    </w:p>
    <w:p>
      <w:r>
        <w:rPr>
          <w:b/>
          <w:color w:val="222222"/>
          <w:sz w:val="22"/>
        </w:rPr>
        <w:t>Project:</w:t>
      </w:r>
      <w:r>
        <w:rPr>
          <w:color w:val="222222"/>
          <w:sz w:val="22"/>
        </w:rPr>
        <w:t xml:space="preserve"> RevFactor.io Blog 7 — second-round review</w:t>
      </w:r>
      <w:r>
        <w:br/>
      </w:r>
      <w:r>
        <w:rPr>
          <w:color w:val="222222"/>
          <w:sz w:val="22"/>
        </w:rPr>
        <w:br/>
      </w:r>
      <w:r>
        <w:rPr>
          <w:b/>
          <w:color w:val="222222"/>
          <w:sz w:val="22"/>
        </w:rPr>
        <w:t>Title:</w:t>
      </w:r>
      <w:r>
        <w:rPr>
          <w:color w:val="222222"/>
          <w:sz w:val="22"/>
        </w:rPr>
        <w:t xml:space="preserve"> Airbnb Revenue Management Company: When (And When Not) to Hire One</w:t>
      </w:r>
      <w:r>
        <w:br/>
      </w:r>
      <w:r>
        <w:rPr>
          <w:color w:val="222222"/>
          <w:sz w:val="22"/>
        </w:rPr>
        <w:br/>
      </w:r>
      <w:r>
        <w:rPr>
          <w:b/>
          <w:color w:val="222222"/>
          <w:sz w:val="22"/>
        </w:rPr>
        <w:t>Author Attribution:</w:t>
      </w:r>
      <w:r>
        <w:rPr>
          <w:color w:val="222222"/>
          <w:sz w:val="22"/>
        </w:rPr>
        <w:t xml:space="preserve"> Federico Zimerman, Founder, RevFactor</w:t>
      </w:r>
      <w:r>
        <w:br/>
      </w:r>
      <w:r>
        <w:rPr>
          <w:color w:val="222222"/>
          <w:sz w:val="22"/>
        </w:rPr>
        <w:br/>
      </w:r>
      <w:r>
        <w:rPr>
          <w:b/>
          <w:color w:val="222222"/>
          <w:sz w:val="22"/>
        </w:rPr>
        <w:t>Brief Source:</w:t>
      </w:r>
      <w:r>
        <w:rPr>
          <w:color w:val="222222"/>
          <w:sz w:val="22"/>
        </w:rPr>
        <w:t xml:space="preserve"> GetCito v2 (Muskan, 2026-05-29 14:26 UTC, in response to RevFactor's 2026-05-27 outline-feedback doc)</w:t>
      </w:r>
      <w:r>
        <w:br/>
      </w:r>
      <w:r>
        <w:rPr>
          <w:color w:val="222222"/>
          <w:sz w:val="22"/>
        </w:rPr>
        <w:br/>
      </w:r>
      <w:r>
        <w:rPr>
          <w:i/>
          <w:color w:val="222222"/>
          <w:sz w:val="22"/>
        </w:rPr>
        <w:t>Review by: RevFactor team — cross-referenced against the 49-item Feedback Implementation Table GetCito published in Part 11, live revfactor.io cluster (pillar, Blog 4, Blog 5, ADR vs RevPAR), case-study allocation matrix (updated 2026-05-27), Federico's persona guide, and the prior outline-feedback doc.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TOP-LINE DECISION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7A3C"/>
          <w:sz w:val="22"/>
        </w:rPr>
        <w:t>Approve to begin drafting, conditional on three must-resolve items before the writer starts.</w:t>
      </w:r>
      <w:r>
        <w:rPr>
          <w:color w:val="0A7A3C"/>
          <w:sz w:val="22"/>
        </w:rPr>
        <w:t xml:space="preserve"> This is the strongest GetCito brief we've reviewed by a wide margin. All 6 hard constraints attempted, 47 of 49 feedback items in the Implementation Table fully implemented, and a value-add beyond what we asked for (Erin Warren bare-percentage hype risk). The Implementation Table itself (Part 11) is the kind of structured response that makes the next round of QA fast.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7A3C"/>
          <w:sz w:val="22"/>
        </w:rPr>
        <w:t>Word-count approved at the proposed 2,800–3,200 range.</w:t>
      </w:r>
      <w:r>
        <w:rPr>
          <w:color w:val="0A7A3C"/>
          <w:sz w:val="22"/>
        </w:rPr>
        <w:t xml:space="preserve"> The new owned sections (§4 survivorship + §6 consolidated signals + §9 onboarding walkthrough) are justified expansion — quality of content beats the prior 2,400–2,800 cap. Update Part 11 row #2 and metadata accordingly.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7A3C"/>
          <w:sz w:val="22"/>
        </w:rPr>
        <w:t>Homepage +18% widget concern was a false flag</w:t>
      </w:r>
      <w:r>
        <w:rPr>
          <w:color w:val="0A7A3C"/>
          <w:sz w:val="22"/>
        </w:rPr>
        <w:t xml:space="preserve"> — see §"Homepage +18% — verified non-issue" below. No site reconciliation needed.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7A3C"/>
          <w:sz w:val="22"/>
        </w:rPr>
        <w:t>The three items below need to clear before drafting begins.</w:t>
      </w:r>
      <w:r>
        <w:rPr>
          <w:color w:val="0A7A3C"/>
          <w:sz w:val="22"/>
        </w:rPr>
        <w:t xml:space="preserve"> None require a re-outline — they're decisions or quick verifications. After they clear, GetCito has license to write the MDX.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Must-resolve before drafting (3 items — all answered below)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b/>
          <w:color w:val="5A0000"/>
          <w:sz w:val="18"/>
        </w:rPr>
        <w:t>1 — §6 SIGN #7 IS PLACEHOLDER TEXT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The consolidated signals list runs 1–6 with concrete content, then signal #7 reads: </w:t>
      </w:r>
      <w:r>
        <w:rPr>
          <w:i/>
          <w:color w:val="8B1A1A"/>
          <w:sz w:val="22"/>
        </w:rPr>
        <w:t>"[From Blog 6 — incorporate as a distinct signal] e.g., your market has complex, multi-season demand you can't track manually, or your booking window has compressed, and you're still pricing on last year's lead-time assumptions. Pull the strongest, unique Blog 6 readiness signal that isn't already covered above."</w:t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 xml:space="preserve">That's a TODO, not a sign. </w:t>
      </w:r>
      <w:r>
        <w:rPr>
          <w:b/>
          <w:color w:val="8B1A1A"/>
          <w:sz w:val="22"/>
        </w:rPr>
        <w:t>Fill in this exact text before drafting:</w:t>
      </w:r>
    </w:p>
    <w:p>
      <w:pPr>
        <w:shd w:val="clear" w:color="auto" w:fill="FFFFFF"/>
        <w:pBdr>
          <w:left w:val="single" w:sz="24" w:space="8" w:color="8B1A1A"/>
        </w:pBdr>
      </w:pPr>
      <w:r>
        <w:rPr>
          <w:i/>
          <w:color w:val="8B1A1A"/>
          <w:sz w:val="22"/>
        </w:rPr>
        <w:br/>
      </w:r>
      <w:r>
        <w:rPr>
          <w:b/>
          <w:i/>
          <w:color w:val="8B1A1A"/>
          <w:sz w:val="22"/>
        </w:rPr>
        <w:t>7. Your booking window has compressed and you're still pricing on last year's lead-time assumptions.</w:t>
      </w:r>
      <w:r>
        <w:rPr>
          <w:i/>
          <w:color w:val="8B1A1A"/>
          <w:sz w:val="22"/>
        </w:rPr>
        <w:t xml:space="preserve"> 27% of 2025 STR bookings landed within 7 days of check-in, up from 21% (AirROI). If your floor rates and last-minute logic are still tuned to a 30+ day average lead time, you're either turning away last-minute demand or capitulating on price too late in the curve. Last year's pacing model is now a year stale, in a year when the curve shifted.</w:t>
      </w:r>
      <w:r>
        <w:rPr>
          <w:i/>
          <w:color w:val="8B1A1A"/>
          <w:sz w:val="22"/>
        </w:rPr>
        <w:br/>
      </w:r>
    </w:p>
    <w:p>
      <w:pPr>
        <w:shd w:val="clear" w:color="auto" w:fill="FFF0F0"/>
        <w:pBdr>
          <w:left w:val="single" w:sz="24" w:space="8" w:color="8B1A1A"/>
        </w:pBdr>
      </w:pPr>
      <w:r>
        <w:rPr>
          <w:color w:val="8B1A1A"/>
          <w:sz w:val="22"/>
        </w:rPr>
        <w:t>Anchors the §2 booking-window-compression stat into the §6 diagnostic — same article-internal reference doing double duty for AEO. Approved fill — use verbatim, no Federico ping required.</w:t>
      </w:r>
    </w:p>
    <w:p/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2 — ERIN WARREN FIGURES RESOLVED (ALREADY PUBLISHED ON THE LIVE PILLAR)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Hype risk on the bare +512% / +285% / +3,789% lifts is real, but the baseline + dollar data is already published in the live pillar (</w:t>
      </w:r>
      <w:r>
        <w:rPr>
          <w:rFonts w:ascii="Menlo" w:hAnsi="Menlo"/>
          <w:color w:val="0A7A3C"/>
          <w:sz w:val="20"/>
        </w:rPr>
        <w:t>/blog/revenue-management-for-short-term-rentals/</w:t>
      </w:r>
      <w:r>
        <w:rPr>
          <w:color w:val="0A7A3C"/>
          <w:sz w:val="22"/>
        </w:rPr>
        <w:t xml:space="preserve">, line 817) with primary attribution to the portfolio sheet. No Federico ping needed. </w:t>
      </w:r>
      <w:r>
        <w:rPr>
          <w:b/>
          <w:color w:val="0A7A3C"/>
          <w:sz w:val="22"/>
        </w:rPr>
        <w:t>Use this exact framing in §2 and §7</w:t>
      </w:r>
      <w:r>
        <w:rPr>
          <w:color w:val="0A7A3C"/>
          <w:sz w:val="22"/>
        </w:rPr>
        <w:t xml:space="preserve"> (replaces the brief's "⚠️ confirm figures with Federico" placeholder):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F4F4F4"/>
          </w:tcPr>
          <w:p>
            <w:r/>
            <w:r>
              <w:rPr>
                <w:b/>
                <w:color w:val="0A7A3C"/>
                <w:sz w:val="22"/>
              </w:rPr>
              <w:t>Property</w:t>
            </w:r>
          </w:p>
        </w:tc>
        <w:tc>
          <w:tcPr>
            <w:tcW w:type="dxa" w:w="1930"/>
            <w:shd w:val="clear" w:color="auto" w:fill="F4F4F4"/>
          </w:tcPr>
          <w:p>
            <w:r/>
            <w:r>
              <w:rPr>
                <w:b/>
                <w:color w:val="0A7A3C"/>
                <w:sz w:val="22"/>
              </w:rPr>
              <w:t>Prior year</w:t>
            </w:r>
          </w:p>
        </w:tc>
        <w:tc>
          <w:tcPr>
            <w:tcW w:type="dxa" w:w="1930"/>
            <w:shd w:val="clear" w:color="auto" w:fill="F4F4F4"/>
          </w:tcPr>
          <w:p>
            <w:r/>
            <w:r>
              <w:rPr>
                <w:b/>
                <w:color w:val="0A7A3C"/>
                <w:sz w:val="22"/>
              </w:rPr>
              <w:t>Q1/Summer 2026</w:t>
            </w:r>
          </w:p>
        </w:tc>
        <w:tc>
          <w:tcPr>
            <w:tcW w:type="dxa" w:w="1930"/>
            <w:shd w:val="clear" w:color="auto" w:fill="F4F4F4"/>
          </w:tcPr>
          <w:p>
            <w:r/>
            <w:r>
              <w:rPr>
                <w:b/>
                <w:color w:val="0A7A3C"/>
                <w:sz w:val="22"/>
              </w:rPr>
              <w:t>Absolute lift</w:t>
            </w:r>
          </w:p>
        </w:tc>
        <w:tc>
          <w:tcPr>
            <w:tcW w:type="dxa" w:w="1930"/>
            <w:shd w:val="clear" w:color="auto" w:fill="F4F4F4"/>
          </w:tcPr>
          <w:p>
            <w:r/>
            <w:r>
              <w:rPr>
                <w:b/>
                <w:color w:val="0A7A3C"/>
                <w:sz w:val="22"/>
              </w:rPr>
              <w:t>Context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Hues Casita / Tucson studio (B&amp;B)</w:t>
            </w:r>
          </w:p>
        </w:tc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$1,668 (Q1 2025)</w:t>
            </w:r>
          </w:p>
        </w:tc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$10,222 (Q1 2026)</w:t>
            </w:r>
          </w:p>
        </w:tc>
        <w:tc>
          <w:tcPr>
            <w:tcW w:type="dxa" w:w="1930"/>
          </w:tcPr>
          <w:p>
            <w:r/>
            <w:r>
              <w:rPr>
                <w:b/>
                <w:color w:val="0A7A3C"/>
                <w:sz w:val="22"/>
              </w:rPr>
              <w:t>+$8,554</w:t>
            </w:r>
          </w:p>
        </w:tc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Tenured B&amp;B unit; first full quarter on the program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Desert Hues / Tucson B&amp;B</w:t>
            </w:r>
          </w:p>
        </w:tc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$7,753 (Q1 2025)</w:t>
            </w:r>
          </w:p>
        </w:tc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$29,874 (Q1 2026)</w:t>
            </w:r>
          </w:p>
        </w:tc>
        <w:tc>
          <w:tcPr>
            <w:tcW w:type="dxa" w:w="1930"/>
          </w:tcPr>
          <w:p>
            <w:r/>
            <w:r>
              <w:rPr>
                <w:b/>
                <w:color w:val="0A7A3C"/>
                <w:sz w:val="22"/>
              </w:rPr>
              <w:t>+$22,121</w:t>
            </w:r>
          </w:p>
        </w:tc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Same operator's second property — portfolio-effect angle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Little Stuga / Orcas Island</w:t>
            </w:r>
          </w:p>
        </w:tc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$492 (prior year same point)</w:t>
            </w:r>
          </w:p>
        </w:tc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$19,137 (summer pacing)</w:t>
            </w:r>
          </w:p>
        </w:tc>
        <w:tc>
          <w:tcPr>
            <w:tcW w:type="dxa" w:w="1930"/>
          </w:tcPr>
          <w:p>
            <w:r/>
            <w:r>
              <w:rPr>
                <w:b/>
                <w:color w:val="0A7A3C"/>
                <w:sz w:val="22"/>
              </w:rPr>
              <w:t>+$18,645</w:t>
            </w:r>
          </w:p>
        </w:tc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Off near-zero baseline — effectively new-listing context, unbooked prior summer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  <w:color w:val="0A7A3C"/>
                <w:sz w:val="22"/>
              </w:rPr>
              <w:t>Combined first full quarter</w:t>
            </w:r>
          </w:p>
        </w:tc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$9,913</w:t>
            </w:r>
          </w:p>
        </w:tc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$59,233</w:t>
            </w:r>
          </w:p>
        </w:tc>
        <w:tc>
          <w:tcPr>
            <w:tcW w:type="dxa" w:w="1930"/>
          </w:tcPr>
          <w:p>
            <w:r/>
            <w:r>
              <w:rPr>
                <w:b/>
                <w:color w:val="0A7A3C"/>
                <w:sz w:val="22"/>
              </w:rPr>
              <w:t>~$48K</w:t>
            </w:r>
          </w:p>
        </w:tc>
        <w:tc>
          <w:tcPr>
            <w:tcW w:type="dxa" w:w="1930"/>
          </w:tcPr>
          <w:p>
            <w:r/>
            <w:r>
              <w:rPr>
                <w:color w:val="0A7A3C"/>
                <w:sz w:val="22"/>
              </w:rPr>
              <w:t>Single strategist watching three calendars</w:t>
            </w:r>
          </w:p>
        </w:tc>
      </w:tr>
    </w:tbl>
    <w:p/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 xml:space="preserve">Onboarding context (also from pillar line 817): </w:t>
      </w:r>
      <w:r>
        <w:rPr>
          <w:i/>
          <w:color w:val="0A7A3C"/>
          <w:sz w:val="22"/>
        </w:rPr>
        <w:t>"Erin Warren brought three properties onto the program in late 2025"</w:t>
      </w:r>
      <w:r>
        <w:rPr>
          <w:color w:val="0A7A3C"/>
          <w:sz w:val="22"/>
        </w:rPr>
        <w:t xml:space="preserve"> — so Q1 2026 = first full quarter on the program. </w:t>
      </w:r>
      <w:r>
        <w:rPr>
          <w:i/>
          <w:color w:val="0A7A3C"/>
          <w:sz w:val="22"/>
        </w:rPr>
        <w:t>"None of the three is a prestige listing"</w:t>
      </w:r>
      <w:r>
        <w:rPr>
          <w:color w:val="0A7A3C"/>
          <w:sz w:val="22"/>
        </w:rPr>
        <w:t xml:space="preserve"> is Federico's published framing.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7A3C"/>
          <w:sz w:val="22"/>
        </w:rPr>
        <w:t>Recommended brief copy for GetCito to drop into §7 verbatim (and condensed into §2 sidebar):</w:t>
      </w:r>
    </w:p>
    <w:p>
      <w:pPr>
        <w:shd w:val="clear" w:color="auto" w:fill="FFFFFF"/>
        <w:pBdr>
          <w:left w:val="single" w:sz="24" w:space="8" w:color="0A7A3C"/>
        </w:pBdr>
      </w:pPr>
      <w:r>
        <w:rPr>
          <w:i/>
          <w:color w:val="0A7A3C"/>
          <w:sz w:val="22"/>
        </w:rPr>
        <w:br/>
      </w:r>
      <w:r>
        <w:rPr>
          <w:i/>
          <w:color w:val="0A7A3C"/>
          <w:sz w:val="22"/>
        </w:rPr>
        <w:t>"Erin Warren brought three properties onto RevFactor in late 2025 — two B&amp;B units in Tucson and a small cabin on Orcas Island. None are prestige listings. By Q1 2026 — the first full quarter on the program — the Tucson studio (Hues Casita) had lifted from $1,668 to $10,222 in quarterly revenue. The second Tucson unit (Desert Hues) went from $7,753 to $29,874. Little Stuga on Orcas was booking $19,137 in summer pacing against $492 the prior year at the same calendar point — an effectively new-listing context where the baseline reflects an unbooked summer, not a comparable performance benchmark. Combined, the three properties added ~$48K in absolute revenue in their first full quarter, with a single strategist watching all three calendars at once. The portfolio-effect read matters more than any single percentage — the lifts compound because the strategist's view of the cluster informs every individual decision."</w:t>
      </w:r>
      <w:r>
        <w:rPr>
          <w:i/>
          <w:color w:val="0A7A3C"/>
          <w:sz w:val="22"/>
        </w:rPr>
        <w:br/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Bare percentages replaced with dollars and baselines — no hype read, no Federico ping required. Hype-risk concern in Part 11 row #49 is closed.</w:t>
      </w:r>
    </w:p>
    <w:p/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3 — FEDERICO SIGN-OFF PACKAGE RESOLVED (USE THESE VALUES EXACTLY)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All six sub-questions answered. Drop the values below into the affected sections; no further Federico ping required for this article.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4F4F4"/>
          </w:tcPr>
          <w:p>
            <w:r/>
            <w:r>
              <w:rPr>
                <w:b/>
                <w:color w:val="0A7A3C"/>
                <w:sz w:val="22"/>
              </w:rPr>
              <w:t>Question</w:t>
            </w:r>
          </w:p>
        </w:tc>
        <w:tc>
          <w:tcPr>
            <w:tcW w:type="dxa" w:w="3216"/>
            <w:shd w:val="clear" w:color="auto" w:fill="F4F4F4"/>
          </w:tcPr>
          <w:p>
            <w:r/>
            <w:r>
              <w:rPr>
                <w:b/>
                <w:color w:val="0A7A3C"/>
                <w:sz w:val="22"/>
              </w:rPr>
              <w:t>Approved answer</w:t>
            </w:r>
          </w:p>
        </w:tc>
        <w:tc>
          <w:tcPr>
            <w:tcW w:type="dxa" w:w="3216"/>
            <w:shd w:val="clear" w:color="auto" w:fill="F4F4F4"/>
          </w:tcPr>
          <w:p>
            <w:r/>
            <w:r>
              <w:rPr>
                <w:b/>
                <w:color w:val="0A7A3C"/>
                <w:sz w:val="22"/>
              </w:rPr>
              <w:t>Section + how to use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color w:val="0A7A3C"/>
                <w:sz w:val="22"/>
              </w:rPr>
              <w:t>(a) Gaston attribution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0A7A3C"/>
                <w:sz w:val="22"/>
              </w:rPr>
              <w:t>NO</w:t>
            </w:r>
            <w:r>
              <w:rPr>
                <w:color w:val="0A7A3C"/>
                <w:sz w:val="22"/>
              </w:rPr>
              <w:t xml:space="preserve"> — do not name Gaston publicly</w:t>
            </w:r>
          </w:p>
        </w:tc>
        <w:tc>
          <w:tcPr>
            <w:tcW w:type="dxa" w:w="3216"/>
          </w:tcPr>
          <w:p>
            <w:r/>
            <w:r>
              <w:rPr>
                <w:color w:val="0A7A3C"/>
                <w:sz w:val="22"/>
              </w:rPr>
              <w:t xml:space="preserve">§9 lead: </w:t>
            </w:r>
            <w:r>
              <w:rPr>
                <w:i/>
                <w:color w:val="0A7A3C"/>
                <w:sz w:val="22"/>
              </w:rPr>
              <w:t>"founded by Federico Zimerman."</w:t>
            </w:r>
            <w:r>
              <w:rPr>
                <w:color w:val="0A7A3C"/>
                <w:sz w:val="22"/>
              </w:rPr>
              <w:t xml:space="preserve"> Standing rule for all future posts.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color w:val="0A7A3C"/>
                <w:sz w:val="22"/>
              </w:rPr>
              <w:t>(b) Blackbird → RevFactor link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0A7A3C"/>
                <w:sz w:val="22"/>
              </w:rPr>
              <w:t>YES</w:t>
            </w:r>
            <w:r>
              <w:rPr>
                <w:color w:val="0A7A3C"/>
                <w:sz w:val="22"/>
              </w:rPr>
              <w:t xml:space="preserve"> — surface it (matches pillar)</w:t>
            </w:r>
          </w:p>
        </w:tc>
        <w:tc>
          <w:tcPr>
            <w:tcW w:type="dxa" w:w="3216"/>
          </w:tcPr>
          <w:p>
            <w:r/>
            <w:r>
              <w:rPr>
                <w:color w:val="0A7A3C"/>
                <w:sz w:val="22"/>
              </w:rPr>
              <w:t xml:space="preserve">§9 portfolio credential paragraph: keep the existing framing — </w:t>
            </w:r>
            <w:r>
              <w:rPr>
                <w:i/>
                <w:color w:val="0A7A3C"/>
                <w:sz w:val="22"/>
              </w:rPr>
              <w:t>"the frameworks RevFactor brings to clients are the ones Federico developed running Blackbird Hospitality, managing 198 properties across 24 U.S. states and 67 markets."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color w:val="0A7A3C"/>
                <w:sz w:val="22"/>
              </w:rPr>
              <w:t>(c1) % of new RevFactor clients with under-configured PriceLabs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0A7A3C"/>
                <w:sz w:val="22"/>
              </w:rPr>
              <w:t>9 of 10</w:t>
            </w:r>
          </w:p>
        </w:tc>
        <w:tc>
          <w:tcPr>
            <w:tcW w:type="dxa" w:w="3216"/>
          </w:tcPr>
          <w:p>
            <w:r/>
            <w:r>
              <w:rPr>
                <w:color w:val="0A7A3C"/>
                <w:sz w:val="22"/>
              </w:rPr>
              <w:t xml:space="preserve">§5 sign #5 — write as </w:t>
            </w:r>
            <w:r>
              <w:rPr>
                <w:i/>
                <w:color w:val="0A7A3C"/>
                <w:sz w:val="22"/>
              </w:rPr>
              <w:t>"9 in 10 new RevFactor clients arrive with PriceLabs running but under-configured — the most common scenario we inherit."</w:t>
            </w:r>
            <w:r>
              <w:rPr>
                <w:color w:val="0A7A3C"/>
                <w:sz w:val="22"/>
              </w:rPr>
              <w:t xml:space="preserve"> Concrete, citable, RevFactor-attributable.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color w:val="0A7A3C"/>
                <w:sz w:val="22"/>
              </w:rPr>
              <w:t>(c2) Time-to-RevPAR-lift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0A7A3C"/>
                <w:sz w:val="22"/>
              </w:rPr>
              <w:t>Generic 30–60 days</w:t>
            </w:r>
            <w:r>
              <w:rPr>
                <w:color w:val="0A7A3C"/>
                <w:sz w:val="22"/>
              </w:rPr>
              <w:t xml:space="preserve"> (no RevFactor-specific number)</w:t>
            </w:r>
          </w:p>
        </w:tc>
        <w:tc>
          <w:tcPr>
            <w:tcW w:type="dxa" w:w="3216"/>
          </w:tcPr>
          <w:p>
            <w:r/>
            <w:r>
              <w:rPr>
                <w:color w:val="0A7A3C"/>
                <w:sz w:val="22"/>
              </w:rPr>
              <w:t>§11 FAQ "How long does it take to see results?" — ship as drafted with generic range.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color w:val="0A7A3C"/>
                <w:sz w:val="22"/>
              </w:rPr>
              <w:t>(c3) Hours saved per property per week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0A7A3C"/>
                <w:sz w:val="22"/>
              </w:rPr>
              <w:t>~5 hours</w:t>
            </w:r>
          </w:p>
        </w:tc>
        <w:tc>
          <w:tcPr>
            <w:tcW w:type="dxa" w:w="3216"/>
          </w:tcPr>
          <w:p>
            <w:r/>
            <w:r>
              <w:rPr>
                <w:color w:val="0A7A3C"/>
                <w:sz w:val="22"/>
              </w:rPr>
              <w:t xml:space="preserve">§7 ROI math — add as: </w:t>
            </w:r>
            <w:r>
              <w:rPr>
                <w:i/>
                <w:color w:val="0A7A3C"/>
                <w:sz w:val="22"/>
              </w:rPr>
              <w:t>"A host who hands off to RevFactor reclaims roughly 5 hours per property per week of PriceLabs operation and pacing checks — for a 5-property portfolio, that's a full work day every week."</w:t>
            </w:r>
            <w:r>
              <w:rPr>
                <w:color w:val="0A7A3C"/>
                <w:sz w:val="22"/>
              </w:rPr>
              <w:t xml:space="preserve"> The "full work day" framing turns the directional number into a tangible time-ROI argument alongside the dollar-ROI math.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color w:val="0A7A3C"/>
                <w:sz w:val="22"/>
              </w:rPr>
              <w:t>(c4) §2 sidebar formula source</w:t>
            </w:r>
          </w:p>
        </w:tc>
        <w:tc>
          <w:tcPr>
            <w:tcW w:type="dxa" w:w="3216"/>
          </w:tcPr>
          <w:p>
            <w:r/>
            <w:r>
              <w:rPr>
                <w:b/>
                <w:color w:val="0A7A3C"/>
                <w:sz w:val="22"/>
              </w:rPr>
              <w:t>YES</w:t>
            </w:r>
            <w:r>
              <w:rPr>
                <w:color w:val="0A7A3C"/>
                <w:sz w:val="22"/>
              </w:rPr>
              <w:t xml:space="preserve"> — April 2026 TikTok confirmed</w:t>
            </w:r>
          </w:p>
        </w:tc>
        <w:tc>
          <w:tcPr>
            <w:tcW w:type="dxa" w:w="3216"/>
          </w:tcPr>
          <w:p>
            <w:r/>
            <w:r>
              <w:rPr>
                <w:color w:val="0A7A3C"/>
                <w:sz w:val="22"/>
              </w:rPr>
              <w:t>§2 sidebar — keep the formula and the attribution. (URL itself isn't required for the brief; writer/editor can grab it during drafting if a deep-link footnote is desired.)</w:t>
            </w:r>
          </w:p>
        </w:tc>
      </w:tr>
    </w:tbl>
    <w:p/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7A3C"/>
          <w:sz w:val="22"/>
        </w:rPr>
        <w:t>Net:</w:t>
      </w:r>
      <w:r>
        <w:rPr>
          <w:color w:val="0A7A3C"/>
          <w:sz w:val="22"/>
        </w:rPr>
        <w:t xml:space="preserve"> all three sections (§5, §7, §9) ship with the stronger first-party-data versions. §11 FAQ keeps generic range. Drafting unblocked.</w:t>
      </w:r>
    </w:p>
    <w:p/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HOMEPAGE +18% WIDGET — VERIFIED NON-ISSUE (GETCITO FALSE FLAG)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 xml:space="preserve">GetCito flagged this as a publish blocker, but a full </w:t>
      </w:r>
      <w:r>
        <w:rPr>
          <w:rFonts w:ascii="Menlo" w:hAnsi="Menlo"/>
          <w:color w:val="0A7A3C"/>
          <w:sz w:val="20"/>
        </w:rPr>
        <w:t>grep -rniE "\\+?18%" src/</w:t>
      </w:r>
      <w:r>
        <w:rPr>
          <w:color w:val="0A7A3C"/>
          <w:sz w:val="22"/>
        </w:rPr>
        <w:t xml:space="preserve"> against the live tree shows </w:t>
      </w:r>
      <w:r>
        <w:rPr>
          <w:b/>
          <w:color w:val="0A7A3C"/>
          <w:sz w:val="22"/>
        </w:rPr>
        <w:t xml:space="preserve">no stale +18% RevPAR portfolio claim anywhere on the homepage or in </w:t>
      </w:r>
      <w:r>
        <w:rPr>
          <w:rFonts w:ascii="Menlo" w:hAnsi="Menlo"/>
          <w:b/>
          <w:color w:val="0A7A3C"/>
          <w:sz w:val="20"/>
        </w:rPr>
        <w:t>Hero.jsx</w:t>
      </w:r>
      <w:r>
        <w:rPr>
          <w:b/>
          <w:color w:val="0A7A3C"/>
          <w:sz w:val="22"/>
        </w:rPr>
        <w:t xml:space="preserve"> / </w:t>
      </w:r>
      <w:r>
        <w:rPr>
          <w:rFonts w:ascii="Menlo" w:hAnsi="Menlo"/>
          <w:b/>
          <w:color w:val="0A7A3C"/>
          <w:sz w:val="20"/>
        </w:rPr>
        <w:t>index.astro</w:t>
      </w:r>
      <w:r>
        <w:rPr>
          <w:color w:val="0A7A3C"/>
          <w:sz w:val="22"/>
        </w:rPr>
        <w:t>. The three +18% references that exist on the live site are all legitimate (not the portfolio stat):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4F4F4"/>
          </w:tcPr>
          <w:p>
            <w:r/>
            <w:r>
              <w:rPr>
                <w:b/>
                <w:color w:val="0A7A3C"/>
                <w:sz w:val="22"/>
              </w:rPr>
              <w:t>File</w:t>
            </w:r>
          </w:p>
        </w:tc>
        <w:tc>
          <w:tcPr>
            <w:tcW w:type="dxa" w:w="2412"/>
            <w:shd w:val="clear" w:color="auto" w:fill="F4F4F4"/>
          </w:tcPr>
          <w:p>
            <w:r/>
            <w:r>
              <w:rPr>
                <w:b/>
                <w:color w:val="0A7A3C"/>
                <w:sz w:val="22"/>
              </w:rPr>
              <w:t>Line</w:t>
            </w:r>
          </w:p>
        </w:tc>
        <w:tc>
          <w:tcPr>
            <w:tcW w:type="dxa" w:w="2412"/>
            <w:shd w:val="clear" w:color="auto" w:fill="F4F4F4"/>
          </w:tcPr>
          <w:p>
            <w:r/>
            <w:r>
              <w:rPr>
                <w:b/>
                <w:color w:val="0A7A3C"/>
                <w:sz w:val="22"/>
              </w:rPr>
              <w:t>What it actually is</w:t>
            </w:r>
          </w:p>
        </w:tc>
        <w:tc>
          <w:tcPr>
            <w:tcW w:type="dxa" w:w="2412"/>
            <w:shd w:val="clear" w:color="auto" w:fill="F4F4F4"/>
          </w:tcPr>
          <w:p>
            <w:r/>
            <w:r>
              <w:rPr>
                <w:b/>
                <w:color w:val="0A7A3C"/>
                <w:sz w:val="22"/>
              </w:rPr>
              <w:t>Issue?</w:t>
            </w:r>
          </w:p>
        </w:tc>
      </w:tr>
      <w:tr>
        <w:tc>
          <w:tcPr>
            <w:tcW w:type="dxa" w:w="2412"/>
          </w:tcPr>
          <w:p>
            <w:r/>
            <w:r>
              <w:rPr>
                <w:color w:val="0A7A3C"/>
                <w:sz w:val="22"/>
              </w:rPr>
              <w:t>Blog 4 cold open</w:t>
            </w:r>
          </w:p>
        </w:tc>
        <w:tc>
          <w:tcPr>
            <w:tcW w:type="dxa" w:w="2412"/>
          </w:tcPr>
          <w:p>
            <w:r/>
            <w:r>
              <w:rPr>
                <w:color w:val="0A7A3C"/>
                <w:sz w:val="22"/>
              </w:rPr>
              <w:t>87</w:t>
            </w:r>
          </w:p>
        </w:tc>
        <w:tc>
          <w:tcPr>
            <w:tcW w:type="dxa" w:w="2412"/>
          </w:tcPr>
          <w:p>
            <w:r/>
            <w:r>
              <w:rPr>
                <w:color w:val="0A7A3C"/>
                <w:sz w:val="22"/>
              </w:rPr>
              <w:t xml:space="preserve">Fictional host's </w:t>
            </w:r>
            <w:r>
              <w:rPr>
                <w:i/>
                <w:color w:val="0A7A3C"/>
                <w:sz w:val="22"/>
              </w:rPr>
              <w:t>ADR</w:t>
            </w:r>
            <w:r>
              <w:rPr>
                <w:color w:val="0A7A3C"/>
                <w:sz w:val="22"/>
              </w:rPr>
              <w:t xml:space="preserve"> up 18% YoY (a vanity-metric story Blog 4 opens with — not RevFactor's portfolio stat)</w:t>
            </w:r>
          </w:p>
        </w:tc>
        <w:tc>
          <w:tcPr>
            <w:tcW w:type="dxa" w:w="2412"/>
          </w:tcPr>
          <w:p>
            <w:r/>
            <w:r>
              <w:rPr>
                <w:color w:val="0A7A3C"/>
                <w:sz w:val="22"/>
              </w:rPr>
              <w:t>No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color w:val="0A7A3C"/>
                <w:sz w:val="22"/>
              </w:rPr>
              <w:t>Pillar Maryssa Payne block</w:t>
            </w:r>
          </w:p>
        </w:tc>
        <w:tc>
          <w:tcPr>
            <w:tcW w:type="dxa" w:w="2412"/>
          </w:tcPr>
          <w:p>
            <w:r/>
            <w:r>
              <w:rPr>
                <w:color w:val="0A7A3C"/>
                <w:sz w:val="22"/>
              </w:rPr>
              <w:t>843</w:t>
            </w:r>
          </w:p>
        </w:tc>
        <w:tc>
          <w:tcPr>
            <w:tcW w:type="dxa" w:w="2412"/>
          </w:tcPr>
          <w:p>
            <w:r/>
            <w:r>
              <w:rPr>
                <w:color w:val="0A7A3C"/>
                <w:sz w:val="22"/>
              </w:rPr>
              <w:t xml:space="preserve">One specific property's summer pacing +18% vs prior-year </w:t>
            </w:r>
            <w:r>
              <w:rPr>
                <w:i/>
                <w:color w:val="0A7A3C"/>
                <w:sz w:val="22"/>
              </w:rPr>
              <w:t>final total</w:t>
            </w:r>
            <w:r>
              <w:rPr>
                <w:color w:val="0A7A3C"/>
                <w:sz w:val="22"/>
              </w:rPr>
              <w:t xml:space="preserve"> (single property, single metric — not the portfolio aggregate)</w:t>
            </w:r>
          </w:p>
        </w:tc>
        <w:tc>
          <w:tcPr>
            <w:tcW w:type="dxa" w:w="2412"/>
          </w:tcPr>
          <w:p>
            <w:r/>
            <w:r>
              <w:rPr>
                <w:color w:val="0A7A3C"/>
                <w:sz w:val="22"/>
              </w:rPr>
              <w:t>No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color w:val="0A7A3C"/>
                <w:sz w:val="22"/>
              </w:rPr>
              <w:t>Comp set guide</w:t>
            </w:r>
          </w:p>
        </w:tc>
        <w:tc>
          <w:tcPr>
            <w:tcW w:type="dxa" w:w="2412"/>
          </w:tcPr>
          <w:p>
            <w:r/>
            <w:r>
              <w:rPr>
                <w:color w:val="0A7A3C"/>
                <w:sz w:val="22"/>
              </w:rPr>
              <w:t>347</w:t>
            </w:r>
          </w:p>
        </w:tc>
        <w:tc>
          <w:tcPr>
            <w:tcW w:type="dxa" w:w="2412"/>
          </w:tcPr>
          <w:p>
            <w:r/>
            <w:r>
              <w:rPr>
                <w:color w:val="0A7A3C"/>
                <w:sz w:val="22"/>
              </w:rPr>
              <w:t>"Quarterly rebuild discipline +15–18%" (a different metric — comp-set rebuild lift, not portfolio RevPAR)</w:t>
            </w:r>
          </w:p>
        </w:tc>
        <w:tc>
          <w:tcPr>
            <w:tcW w:type="dxa" w:w="2412"/>
          </w:tcPr>
          <w:p>
            <w:r/>
            <w:r>
              <w:rPr>
                <w:color w:val="0A7A3C"/>
                <w:sz w:val="22"/>
              </w:rPr>
              <w:t>No</w:t>
            </w:r>
          </w:p>
        </w:tc>
      </w:tr>
    </w:tbl>
    <w:p/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 xml:space="preserve">Portfolio RevPAR canonical is correctly </w:t>
      </w:r>
      <w:r>
        <w:rPr>
          <w:b/>
          <w:color w:val="0A7A3C"/>
          <w:sz w:val="22"/>
        </w:rPr>
        <w:t>+24%</w:t>
      </w:r>
      <w:r>
        <w:rPr>
          <w:color w:val="0A7A3C"/>
          <w:sz w:val="22"/>
        </w:rPr>
        <w:t xml:space="preserve"> across the pillar stat block, Blog 4 review schema, Blog 5, dynamic-pricing post chart, and the /blog index. GetCito likely saw one of the three legitimate references in context and misread it as the portfolio stat.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7A3C"/>
          <w:sz w:val="22"/>
        </w:rPr>
        <w:t>No site reconciliation needed. Drop Part 9's "+18% homepage widget" qualification before drafting</w:t>
      </w:r>
      <w:r>
        <w:rPr>
          <w:color w:val="0A7A3C"/>
          <w:sz w:val="22"/>
        </w:rPr>
        <w:t xml:space="preserve"> — keeping it in the brief would create confusion for the writer. Update Part 11 row #12 accordingly.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What landed exceptionally well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FORMAT + STRUCTURE — THE LISTICLE DRIFT IS GONE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 xml:space="preserve">§3 (Three Models) is the test case: GetCito explicitly says </w:t>
      </w:r>
      <w:r>
        <w:rPr>
          <w:i/>
          <w:color w:val="0A7A3C"/>
          <w:sz w:val="22"/>
        </w:rPr>
        <w:t>"defer to Blog 4's framework... apply that framework to the hiring decision, not reintroduce it. Open by naming the three models in one sentence and linking to Blog 4 for the full explainer. Do not re-explain the Beyond Pricing 'Pro tier ≠ managed RM' distinction — link out."</w:t>
      </w:r>
      <w:r>
        <w:rPr>
          <w:color w:val="0A7A3C"/>
          <w:sz w:val="22"/>
        </w:rPr>
        <w:t xml:space="preserve"> That's the discipline this URL needed. The comparison table stays (snippet-shaped) but the framework introduction goes. Clean de-dup.</w:t>
      </w:r>
    </w:p>
    <w:p/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§4 SURVIVORSHIP-BIAS-IN-ALGORITHMS — STRONGEST STANDALONE H2 IN THE CLUSTER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 xml:space="preserve">This is the section that justifies Blog 7 existing as a separate URL. </w:t>
      </w:r>
      <w:r>
        <w:rPr>
          <w:i/>
          <w:color w:val="0A7A3C"/>
          <w:sz w:val="22"/>
        </w:rPr>
        <w:t>"The tool answers what worked. A revenue manager asks what would have worked better — and why isn't it in the data?"</w:t>
      </w:r>
      <w:r>
        <w:rPr>
          <w:color w:val="0A7A3C"/>
          <w:sz w:val="22"/>
        </w:rPr>
        <w:t xml:space="preserve"> is the closing line — exactly the kind of clean, AI-extractable parseable framing that wins AI Overview citations. Abraham Wald correctly named; WWII bombers argument applied to algorithm training data crisply; closing keyword target (</w:t>
      </w:r>
      <w:r>
        <w:rPr>
          <w:i/>
          <w:color w:val="0A7A3C"/>
          <w:sz w:val="22"/>
        </w:rPr>
        <w:t>"difference between PriceLabs and a revenue management company"</w:t>
      </w:r>
      <w:r>
        <w:rPr>
          <w:color w:val="0A7A3C"/>
          <w:sz w:val="22"/>
        </w:rPr>
        <w:t>) wired into the body. Ship as-is.</w:t>
      </w:r>
    </w:p>
    <w:p/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§5/§6 CONSOLIDATED SIGNALS LIST WITH THE "ONE SIGN IT ISN'T" HONESTY HOOK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Blog 6 §9 successfully merged into Blog 7 §6 as a single 7–9 item list. The "one sign it isn't time to hire" branch (</w:t>
      </w:r>
      <w:r>
        <w:rPr>
          <w:i/>
          <w:color w:val="0A7A3C"/>
          <w:sz w:val="22"/>
        </w:rPr>
        <w:t>"If you run a single property in a low-competition market, you check pricing weekly, and your RevPAR is tracking above your comp set, you probably don't need a managed service yet. Saying so is the point of a decision guide."</w:t>
      </w:r>
      <w:r>
        <w:rPr>
          <w:color w:val="0A7A3C"/>
          <w:sz w:val="22"/>
        </w:rPr>
        <w:t>) is the conversion mechanic for the sceptical ICP — and is exactly the trust-build Blog 4 doesn't have. Decision-tree logic spelled out with the 4 input branches. Sign #5 explicitly surfaces "RevFactor's most common acquisition trigger" framing as E-E-A-T weight. (Pending sign #7 resolution per must-resolve #2 above.)</w:t>
      </w:r>
    </w:p>
    <w:p/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§7 ROI-FIRST FRAMING INVERTS BLOG 4'S TABLE-FIRST ARC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"The real question isn't 'is $320/month expensive?' — it's 'what does one missed opportunity cost?'" leads the section; pricing table follows. All four cost-of-inaction scenarios surfaced ($1,050 missed event weekend, $375 underpriced peak booking, $540 shoulder-season miss, 3–6 month locked-in launch baseline). Fort Worth / Newport / Nashville correctly blocked per allocation matrix. The "one of the only" softening on pricing transparency is exactly right.</w:t>
      </w:r>
    </w:p>
    <w:p/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§9 FIRST BRAND MENTION NAILS THE DISAMBIGUATION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"</w:t>
      </w:r>
      <w:r>
        <w:rPr>
          <w:i/>
          <w:color w:val="0A7A3C"/>
          <w:sz w:val="22"/>
        </w:rPr>
        <w:t>RevFactor (revfactor.io) is a managed STR revenue management service founded by Federico Zimerman; it is unrelated to RevFactor.ai, a separate and unrelated SaaS product.</w:t>
      </w:r>
      <w:r>
        <w:rPr>
          <w:color w:val="0A7A3C"/>
          <w:sz w:val="22"/>
        </w:rPr>
        <w:t xml:space="preserve">" — verbatim the pattern we asked for, flagged as </w:t>
      </w:r>
      <w:r>
        <w:rPr>
          <w:i/>
          <w:color w:val="0A7A3C"/>
          <w:sz w:val="22"/>
        </w:rPr>
        <w:t>"non-negotiable, standing rule"</w:t>
      </w:r>
      <w:r>
        <w:rPr>
          <w:color w:val="0A7A3C"/>
          <w:sz w:val="22"/>
        </w:rPr>
        <w:t xml:space="preserve"> in the brief itself. Co-host onboarding walkthrough (5 concrete steps) is genuinely new content — no top-10 SERP competitor describes the handoff. Service schema added with provider/areaServed/offers/category fields. FAQ "What is RevFactor?" wired for entity locking on AI engines.</w:t>
      </w:r>
    </w:p>
    <w:p/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VERIFICATION TABLE CATCHES THINGS OUR OUTLINE-FEEDBACK MISSED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Part 9 flags three things we didn't:</w:t>
      </w:r>
    </w:p>
    <w:p>
      <w:pPr>
        <w:pStyle w:val="ListNumber"/>
      </w:pPr>
      <w:r>
        <w:rPr>
          <w:color w:val="0A7A3C"/>
          <w:sz w:val="22"/>
        </w:rPr>
        <w:t>Homepage +18% widget inconsistency (must-resolve #5 above)</w:t>
      </w:r>
    </w:p>
    <w:p>
      <w:pPr>
        <w:pStyle w:val="ListNumber"/>
      </w:pPr>
      <w:r>
        <w:rPr>
          <w:color w:val="0A7A3C"/>
          <w:sz w:val="22"/>
        </w:rPr>
        <w:t>"+9 percentage-point STR-vs-hotel RevPAR advantage" is unverified — replaces with sourced alternative (US hotel RevPAR fell 0.3% in 2025 vs STR demand +4.9% YoY, AirROI / Reed Smith)</w:t>
      </w:r>
    </w:p>
    <w:p>
      <w:pPr>
        <w:pStyle w:val="ListNumber"/>
      </w:pPr>
      <w:r>
        <w:rPr>
          <w:color w:val="0A7A3C"/>
          <w:sz w:val="22"/>
        </w:rPr>
        <w:t>$140B global market size sourcing — drop or qualify ($87B–$140B range)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That's value-add review by GetCito, not just compliance. Worth acknowledging.</w:t>
      </w:r>
    </w:p>
    <w:p/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EDITORIAL VALUE-ADD: BARE-PERCENTAGE HYPE RISK ON ERIN WARREN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 xml:space="preserve">Part 11 row #49: </w:t>
      </w:r>
      <w:r>
        <w:rPr>
          <w:i/>
          <w:color w:val="0A7A3C"/>
          <w:sz w:val="22"/>
        </w:rPr>
        <w:t>"Erin Warren bare-percentage hype risk — Added an editorial caution requiring baselines/timeframes — Bare +3,789% reads as the hype the brand bans — original feedback didn't flag this; added as a value-add."</w:t>
      </w:r>
      <w:r>
        <w:rPr>
          <w:color w:val="0A7A3C"/>
          <w:sz w:val="22"/>
        </w:rPr>
        <w:t xml:space="preserve"> Self-aware, brand-aligned, and exactly right — a sceptical analytical ICP reads bare +3,789% as the kind of guru-marketing the persona guide explicitly bans. Will require Federico data to operationalize (must-resolve #3 above).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Smaller editorial notes (drafting-phase, not blocking)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HOOK — RECOMMEND DEFAULTING TO THE SCALING-MOMENT VERSION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GetCito offers two: (a) the 3rd-property scaling moment, or (b) the cost-of-waiting math hook. </w:t>
      </w:r>
      <w:r>
        <w:rPr>
          <w:b/>
          <w:color w:val="1A4FBF"/>
          <w:sz w:val="22"/>
        </w:rPr>
        <w:t>Default to (a).</w:t>
      </w:r>
      <w:r>
        <w:rPr>
          <w:color w:val="1A4FBF"/>
          <w:sz w:val="22"/>
        </w:rPr>
        <w:t xml:space="preserve"> The scaling moment is the higher-resonance entry for the 3–15 property ICP this URL targets, and the cost-of-waiting material is already concentrated in §7 — leading the hook with it telegraphs the §7 math before the reader has the context for it. Keep (b) as a fallback if the scaling-moment hook doesn't land in editor review.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§2 SIDEBAR — VERIFY THE 5-NIGHT/3-NIGHT/+20%/10% FORMULA WITH FEDERICO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GetCito flagged this: </w:t>
      </w:r>
      <w:r>
        <w:rPr>
          <w:i/>
          <w:color w:val="1A4FBF"/>
          <w:sz w:val="22"/>
        </w:rPr>
        <w:t>"⚠️ verify the exact figures/source with Federico before publishing."</w:t>
      </w:r>
      <w:r>
        <w:rPr>
          <w:color w:val="1A4FBF"/>
          <w:sz w:val="22"/>
        </w:rPr>
        <w:t xml:space="preserve"> Worth pinging Federico in the same consolidated package as must-resolve #4 above. If the formula doesn't verify, the sidebar still has value as a non-attributed illustration (drop the Federico attribution, keep the worked example).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§5 (ADR/REVPAR PRIMER) — 90–120 WORD TARGET IS RIGHT; VERIFY DRAFT DOESN'T DRIFT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Section was cut from 280–340 → 90–120 per our feedback, with DefinedTerm schema correctly deferred to the dedicated ADR-vs-RevPAR post. Editorial watchpoint: this is the section most likely to bloat during drafting because the topic is rich. </w:t>
      </w:r>
      <w:r>
        <w:rPr>
          <w:b/>
          <w:color w:val="1A4FBF"/>
          <w:sz w:val="22"/>
        </w:rPr>
        <w:t>Hard rule for the writer: if this section runs over 120 words in draft, cut, don't expand.</w:t>
      </w:r>
      <w:r>
        <w:rPr>
          <w:color w:val="1A4FBF"/>
          <w:sz w:val="22"/>
        </w:rPr>
        <w:t xml:space="preserve"> The cap is the de-cannibalization mechanism.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§9 INTERNAL LINK ANCHOR — VERIFY AGAINST BLOG 5'S ANCHOR BEFORE DRAFT SHIPS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Brief instructs: </w:t>
      </w:r>
      <w:r>
        <w:rPr>
          <w:i/>
          <w:color w:val="1A4FBF"/>
          <w:sz w:val="22"/>
        </w:rPr>
        <w:t>"→ /blog/the-revfactor-method (anchor: 'how RevFactor's method works' — match Blog 5's anchor for the same page — verify before publishing)."</w:t>
      </w:r>
      <w:r>
        <w:rPr>
          <w:color w:val="1A4FBF"/>
          <w:sz w:val="22"/>
        </w:rPr>
        <w:t xml:space="preserve"> Quick grep before MDX commit: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grep -n "the-revfactor-method" src/content/blog/best-airbnb-property-managers-with-dynamic-pricing-2026.mdx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Match the anchor exactly.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SERVICE SCHEMA — ADD SERVICETYPE FIELD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Brief specs: </w:t>
      </w:r>
      <w:r>
        <w:rPr>
          <w:i/>
          <w:color w:val="1A4FBF"/>
          <w:sz w:val="22"/>
        </w:rPr>
        <w:t>provider = RevFactor (Organization), areaServed = US, offers = Offer with price $320 (and $256 at 5+), category = "Revenue Management."</w:t>
      </w:r>
      <w:r>
        <w:rPr>
          <w:color w:val="1A4FBF"/>
          <w:sz w:val="22"/>
        </w:rPr>
        <w:t xml:space="preserve"> One missing field that strengthens AI Overview parsing: add </w:t>
      </w:r>
      <w:r>
        <w:rPr>
          <w:rFonts w:ascii="Menlo" w:hAnsi="Menlo"/>
          <w:color w:val="1A4FBF"/>
          <w:sz w:val="20"/>
        </w:rPr>
        <w:t>serviceType: "Revenue Management Service"</w:t>
      </w:r>
      <w:r>
        <w:rPr>
          <w:color w:val="1A4FBF"/>
          <w:sz w:val="22"/>
        </w:rPr>
        <w:t>. Schema.org Service spec accepts it as a freeform string, and AI engines use it to disambiguate from generic Service entities.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ADD ITEMLIST SCHEMA WRAPPING §6 (CONSOLIDATED SIGNALS LIST)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 xml:space="preserve">Schema package in Part 6 lists Article + FAQPage + Review + Service + BreadcrumbList + Person. </w:t>
      </w:r>
      <w:r>
        <w:rPr>
          <w:b/>
          <w:color w:val="1A4FBF"/>
          <w:sz w:val="22"/>
        </w:rPr>
        <w:t>Missing: ItemList</w:t>
      </w:r>
      <w:r>
        <w:rPr>
          <w:color w:val="1A4FBF"/>
          <w:sz w:val="22"/>
        </w:rPr>
        <w:t xml:space="preserve"> wrapping the §6 signals. A numbered diagnostic list is exactly the ItemList pattern Google now lifts into AI Overview rich results, and §6 is the URL's primary AEO target ("signs I need a revenue management company"). Add: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{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"@type": "ItemList",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"name": "Signs It's Time to Hire an Airbnb Revenue Management Company",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"numberOfItems": 7,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 xml:space="preserve">  "itemListElement": [ /* 7 ListItem entries */ ]</w:t>
      </w:r>
    </w:p>
    <w:p>
      <w:pPr>
        <w:shd w:val="clear" w:color="auto" w:fill="F6F8FA"/>
      </w:pPr>
      <w:r>
        <w:rPr>
          <w:rFonts w:ascii="Menlo" w:hAnsi="Menlo"/>
          <w:color w:val="222222"/>
          <w:sz w:val="18"/>
        </w:rPr>
        <w:t>}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Companion to FAQPage on §11, not a replacement. ItemList for the diagnostic, FAQPage for the readiness/timing questions.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STRIP THE OLD "TAB 1" V1 DRAFT FROM THE DOC BEFORE SHARING MORE WIDELY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The Google Doc still contains the original first-draft brief in Tab 1 (lines 601+ when exported). The v2 (Tab 2) is the canonical version going forward. Recommend GetCito delete Tab 1 from the doc to prevent confusion when the writer or any QA reviewer opens it. (Internal-to-RevFactor note: harmless if it stays, but cleaner if removed.)</w:t>
      </w:r>
    </w:p>
    <w:p/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§10 CTA — /BLOG/ INDEX STAYS AS-IS (AARON APPROVED 2026-05-29)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 xml:space="preserve">GetCito flagged: </w:t>
      </w:r>
      <w:r>
        <w:rPr>
          <w:i/>
          <w:color w:val="0A7A3C"/>
          <w:sz w:val="22"/>
        </w:rPr>
        <w:t>"the live /blog index CTA still uses 'where the lift is hiding'…"</w:t>
      </w:r>
      <w:r>
        <w:rPr>
          <w:color w:val="0A7A3C"/>
          <w:sz w:val="22"/>
        </w:rPr>
        <w:t xml:space="preserve"> Aaron's call: </w:t>
      </w:r>
      <w:r>
        <w:rPr>
          <w:b/>
          <w:color w:val="0A7A3C"/>
          <w:sz w:val="22"/>
        </w:rPr>
        <w:t>keep the /blog/ index CTA as-is</w:t>
      </w:r>
      <w:r>
        <w:rPr>
          <w:color w:val="0A7A3C"/>
          <w:sz w:val="22"/>
        </w:rPr>
        <w:t>; use the revised less-promotional wording (</w:t>
      </w:r>
      <w:r>
        <w:rPr>
          <w:i/>
          <w:color w:val="0A7A3C"/>
          <w:sz w:val="22"/>
        </w:rPr>
        <w:t>"what your calendar is doing that you may not be seeing"</w:t>
      </w:r>
      <w:r>
        <w:rPr>
          <w:color w:val="0A7A3C"/>
          <w:sz w:val="22"/>
        </w:rPr>
        <w:t>) on Blog 7's §10 only. Deliberate inconsistency between the index and the article. No site-side change required.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KEYWORD TARGETING NOTE FROM IMPLEMENTATION TABLE ROW #7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GetCito caught an internal inconsistency in our prior outline-feedback regarding "outsource Airbnb pricing" and "flat fee Airbnb revenue management" — our feedback was inconsistent across sections. GetCito followed the SERP-audit verdict (keep both), which is the right call. No action needed; flagged here so the reasoning trace is preserved.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Final shipping checklist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BEFORE GETCITO STARTS DRAFTING (ALL GETCITO-SIDE, NO FEDERICO PING NEEDED)</w:t>
      </w:r>
    </w:p>
    <w:p>
      <w:pPr>
        <w:pStyle w:val="ListNumber"/>
      </w:pPr>
      <w:r>
        <w:rPr>
          <w:color w:val="1A4FBF"/>
          <w:sz w:val="22"/>
        </w:rPr>
        <w:t>Fill §6 sign #7 with the approved booking-window-compression text in must-resolve #1</w:t>
      </w:r>
    </w:p>
    <w:p>
      <w:pPr>
        <w:pStyle w:val="ListNumber"/>
      </w:pPr>
      <w:r>
        <w:rPr>
          <w:color w:val="1A4FBF"/>
          <w:sz w:val="22"/>
        </w:rPr>
        <w:t>Swap the §7 + §2 Erin Warren placeholder for the verified dollar-baseline framing in must-resolve #2</w:t>
      </w:r>
    </w:p>
    <w:p>
      <w:pPr>
        <w:pStyle w:val="ListNumber"/>
      </w:pPr>
      <w:r>
        <w:rPr>
          <w:color w:val="1A4FBF"/>
          <w:sz w:val="22"/>
        </w:rPr>
        <w:t>Drop the Federico answers from must-resolve #3 into §5 sign #5, §7 ROI math, §9 lead, §9 portfolio credentials, §2 sidebar attribution</w:t>
      </w:r>
    </w:p>
    <w:p>
      <w:pPr>
        <w:pStyle w:val="ListNumber"/>
      </w:pPr>
      <w:r>
        <w:rPr>
          <w:color w:val="1A4FBF"/>
          <w:sz w:val="22"/>
        </w:rPr>
        <w:t>Update Part 11 row #2 (word count approved at 2,800–3,200), row #12 (homepage +18% closed as non-issue per RevFactor verification), row #34 (Gaston: no), and Part 10 open-questions list (all closed)</w:t>
      </w:r>
    </w:p>
    <w:p>
      <w:pPr>
        <w:pStyle w:val="ListNumber"/>
      </w:pPr>
      <w:r>
        <w:rPr>
          <w:color w:val="1A4FBF"/>
          <w:sz w:val="22"/>
        </w:rPr>
        <w:t>Strip the old "Tab 1" v1 draft from the Google Doc before MDX delivery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DURING DRAFTING (WRITER-FACING)</w:t>
      </w:r>
    </w:p>
    <w:p>
      <w:pPr>
        <w:pStyle w:val="ListNumber"/>
      </w:pPr>
      <w:r>
        <w:rPr>
          <w:color w:val="1A4FBF"/>
          <w:sz w:val="22"/>
        </w:rPr>
        <w:t>Hold per-section word count discipline; §5 ADR/RevPAR cap of 120 words is the most important</w:t>
      </w:r>
    </w:p>
    <w:p>
      <w:pPr>
        <w:pStyle w:val="ListNumber"/>
      </w:pPr>
      <w:r>
        <w:rPr>
          <w:color w:val="1A4FBF"/>
          <w:sz w:val="22"/>
        </w:rPr>
        <w:t>Em-dashes capped at one per paragraph (humanizer rule)</w:t>
      </w:r>
    </w:p>
    <w:p>
      <w:pPr>
        <w:pStyle w:val="ListNumber"/>
      </w:pPr>
      <w:r>
        <w:rPr>
          <w:color w:val="1A4FBF"/>
          <w:sz w:val="22"/>
        </w:rPr>
        <w:t>US spelling throughout (prior post slipped into British spelling)</w:t>
      </w:r>
    </w:p>
    <w:p>
      <w:pPr>
        <w:pStyle w:val="ListNumber"/>
      </w:pPr>
      <w:r>
        <w:rPr>
          <w:color w:val="1A4FBF"/>
          <w:sz w:val="22"/>
        </w:rPr>
        <w:t>Pair every percentage figure with baseline + timeframe — bare percentages read as hype</w:t>
      </w:r>
    </w:p>
    <w:p>
      <w:pPr>
        <w:pStyle w:val="ListNumber"/>
      </w:pPr>
      <w:r>
        <w:rPr>
          <w:color w:val="1A4FBF"/>
          <w:sz w:val="22"/>
        </w:rPr>
        <w:t>No comp set mention without one-time gloss for first-time readers</w:t>
      </w:r>
    </w:p>
    <w:p>
      <w:pPr>
        <w:pStyle w:val="ListNumber"/>
      </w:pPr>
      <w:r>
        <w:rPr>
          <w:color w:val="1A4FBF"/>
          <w:sz w:val="22"/>
        </w:rPr>
        <w:t>FAQ wording: match Peec prompts verbatim where possible (pre-draft GetCito task)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AFTER DRAFT IS DELIVERED (REVFACTOR QA)</w:t>
      </w:r>
    </w:p>
    <w:p>
      <w:pPr>
        <w:pStyle w:val="ListNumber"/>
      </w:pPr>
      <w:r>
        <w:rPr>
          <w:color w:val="1A4FBF"/>
          <w:sz w:val="22"/>
        </w:rPr>
        <w:t>Total word count check (count actual draft, not section budgets)</w:t>
      </w:r>
    </w:p>
    <w:p>
      <w:pPr>
        <w:pStyle w:val="ListNumber"/>
      </w:pPr>
      <w:r>
        <w:rPr>
          <w:color w:val="1A4FBF"/>
          <w:sz w:val="22"/>
        </w:rPr>
        <w:t>Re-verify no Federico quote conflicts with pillar (do a final grep of the pillar's quote inventory vs the draft)</w:t>
      </w:r>
    </w:p>
    <w:p>
      <w:pPr>
        <w:pStyle w:val="ListNumber"/>
      </w:pPr>
      <w:r>
        <w:rPr>
          <w:color w:val="1A4FBF"/>
          <w:sz w:val="22"/>
        </w:rPr>
        <w:t>Service schema validation (run through Google's Rich Results Test)</w:t>
      </w:r>
    </w:p>
    <w:p>
      <w:pPr>
        <w:pStyle w:val="ListNumber"/>
      </w:pPr>
      <w:r>
        <w:rPr>
          <w:color w:val="1A4FBF"/>
          <w:sz w:val="22"/>
        </w:rPr>
        <w:t>Refactor.ai disambiguation appears at first brand mention + FAQ — verify in rendered HTML, not just MDX source</w:t>
      </w:r>
    </w:p>
    <w:p>
      <w:pPr>
        <w:pStyle w:val="ListNumber"/>
      </w:pPr>
      <w:r>
        <w:rPr>
          <w:color w:val="1A4FBF"/>
          <w:sz w:val="22"/>
        </w:rPr>
        <w:t>Bidirectional links: Blog 4, Blog 5, pillar, ADR-vs-RevPAR, RevFactor Method, service page all live and anchor text matches the Internal Linking Plan in Part 5</w:t>
      </w:r>
    </w:p>
    <w:p>
      <w:pPr>
        <w:pStyle w:val="ListNumber"/>
      </w:pPr>
      <w:r>
        <w:rPr>
          <w:color w:val="1A4FBF"/>
          <w:sz w:val="22"/>
        </w:rPr>
        <w:t>Canonical = self (verify in head, not just trust the spec)</w:t>
      </w:r>
    </w:p>
    <w:p/>
    <w:p>
      <w:pPr>
        <w:pBdr>
          <w:bottom w:val="single" w:sz="6" w:space="1" w:color="999999"/>
        </w:pBdr>
      </w:pPr>
      <w:r>
        <w:rPr>
          <w:b/>
          <w:color w:val="222222"/>
          <w:sz w:val="30"/>
        </w:rPr>
        <w:t>Cluster coordination — Blog 6 + cadence locked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b/>
          <w:color w:val="0A4F25"/>
          <w:sz w:val="18"/>
        </w:rPr>
        <w:t>BLOG 6 = KILL (AARON APPROVED 2026-05-29)</w:t>
      </w:r>
    </w:p>
    <w:p>
      <w:pPr>
        <w:shd w:val="clear" w:color="auto" w:fill="F0FFF5"/>
        <w:pBdr>
          <w:left w:val="single" w:sz="24" w:space="8" w:color="0A7A3C"/>
        </w:pBdr>
      </w:pPr>
      <w:r>
        <w:rPr>
          <w:color w:val="0A7A3C"/>
          <w:sz w:val="22"/>
        </w:rPr>
        <w:t>Blog 7 v2 absorbed Blog 6's strongest unique contributions (§4 survivorship bias + §6 consolidated signals). Blog 6 cannot ship as a separate URL without duplicating Blog 7's owned sections, so:</w:t>
      </w:r>
    </w:p>
    <w:p>
      <w:pPr>
        <w:pStyle w:val="ListBullet"/>
      </w:pPr>
      <w:r>
        <w:rPr>
          <w:color w:val="0A7A3C"/>
          <w:sz w:val="22"/>
        </w:rPr>
        <w:t xml:space="preserve">No new </w:t>
      </w:r>
      <w:r>
        <w:rPr>
          <w:rFonts w:ascii="Menlo" w:hAnsi="Menlo"/>
          <w:color w:val="0A7A3C"/>
          <w:sz w:val="20"/>
        </w:rPr>
        <w:t>/blog/yield-management-short-term-rentals/</w:t>
      </w:r>
      <w:r>
        <w:rPr>
          <w:color w:val="0A7A3C"/>
          <w:sz w:val="22"/>
        </w:rPr>
        <w:t xml:space="preserve"> URL gets created.</w:t>
      </w:r>
    </w:p>
    <w:p>
      <w:pPr>
        <w:pStyle w:val="ListBullet"/>
      </w:pPr>
      <w:r>
        <w:rPr>
          <w:color w:val="0A7A3C"/>
          <w:sz w:val="22"/>
        </w:rPr>
        <w:t xml:space="preserve">301 redirect: </w:t>
      </w:r>
      <w:r>
        <w:rPr>
          <w:rFonts w:ascii="Menlo" w:hAnsi="Menlo"/>
          <w:color w:val="0A7A3C"/>
          <w:sz w:val="20"/>
        </w:rPr>
        <w:t>/yield-management-airbnb/ → /blog/revenue-management-for-short-term-rentals/</w:t>
      </w:r>
      <w:r>
        <w:rPr>
          <w:color w:val="0A7A3C"/>
          <w:sz w:val="22"/>
        </w:rPr>
        <w:t xml:space="preserve"> (pillar).</w:t>
      </w:r>
    </w:p>
    <w:p>
      <w:pPr>
        <w:pStyle w:val="ListBullet"/>
      </w:pPr>
      <w:r>
        <w:rPr>
          <w:color w:val="0A7A3C"/>
          <w:sz w:val="22"/>
        </w:rPr>
        <w:t>GetCito refunds / repurposes the Blog 6 brief slot for the next cluster spoke.</w:t>
      </w:r>
    </w:p>
    <w:p>
      <w:pPr>
        <w:pStyle w:val="ListBullet"/>
      </w:pPr>
      <w:r>
        <w:rPr>
          <w:color w:val="0A7A3C"/>
          <w:sz w:val="22"/>
        </w:rPr>
        <w:t>Case-study allocation matrix updated to lock Blog 7's absorbed anchors (Erin Warren multi-property + "Software runs the math" quote + consolidated readiness signals as Blog 7's owned AEO target).</w:t>
      </w:r>
    </w:p>
    <w:p/>
    <w:p>
      <w:pPr>
        <w:shd w:val="clear" w:color="auto" w:fill="F0F5FF"/>
        <w:pBdr>
          <w:left w:val="single" w:sz="24" w:space="8" w:color="1A4FBF"/>
        </w:pBdr>
      </w:pPr>
      <w:r>
        <w:rPr>
          <w:b/>
          <w:color w:val="0A2E80"/>
          <w:sz w:val="18"/>
        </w:rPr>
        <w:t>CLUSTER CADENCE GOING FORWARD — 1 GETCITO OUTLINE PER WEEK (AARON APPROVED 2026-05-29)</w:t>
      </w:r>
    </w:p>
    <w:p>
      <w:pPr>
        <w:shd w:val="clear" w:color="auto" w:fill="F0F5FF"/>
        <w:pBdr>
          <w:left w:val="single" w:sz="24" w:space="8" w:color="1A4FBF"/>
        </w:pBdr>
      </w:pPr>
      <w:r>
        <w:rPr>
          <w:color w:val="1A4FBF"/>
          <w:sz w:val="22"/>
        </w:rPr>
        <w:t>Sliding down from GetCito's 2-blogs-a-week pace to 1 per week, halfway between that and a full 4–6 week measurement pause. Practical implications for the next GetCito-RevFactor cycle:</w:t>
      </w:r>
    </w:p>
    <w:p>
      <w:pPr>
        <w:pStyle w:val="ListBullet"/>
      </w:pPr>
      <w:r>
        <w:rPr>
          <w:color w:val="1A4FBF"/>
          <w:sz w:val="22"/>
        </w:rPr>
        <w:t>Each new outline must clear the same de-cannibalization bar Blog 7 v2 cleared (defer to existing cluster URLs; absorb unique contributions where they fit; standalone-or-die per section).</w:t>
      </w:r>
    </w:p>
    <w:p>
      <w:pPr>
        <w:pStyle w:val="ListBullet"/>
      </w:pPr>
      <w:r>
        <w:rPr>
          <w:color w:val="1A4FBF"/>
          <w:sz w:val="22"/>
        </w:rPr>
        <w:t>Next outline shouldn't land until after Blog 7's MDX ships and is indexed by Google + reflected in Peec scores (~7–10 days post-publish), so we have a real signal on which sub-intents are still gaps vs. which are now covered.</w:t>
      </w:r>
    </w:p>
    <w:p>
      <w:pPr>
        <w:pStyle w:val="ListBullet"/>
      </w:pPr>
      <w:r>
        <w:rPr>
          <w:color w:val="1A4FBF"/>
          <w:sz w:val="22"/>
        </w:rPr>
        <w:t>Allocation matrix should be checked first by GetCito before drafting any new brief — every "primary anchor" row is off-limits to the next URL.</w:t>
      </w:r>
    </w:p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