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2dc27f4b1bc63fde5e8bb1c7c8cdb74bafd3483"/>
    <w:p>
      <w:pPr>
        <w:pStyle w:val="Heading1"/>
      </w:pPr>
      <w:r>
        <w:t xml:space="preserve">19. Updates Since v1 Sent to GetCito (2026-04-30)</w:t>
      </w:r>
    </w:p>
    <w:p>
      <w:pPr>
        <w:pStyle w:val="FirstParagraph"/>
      </w:pPr>
      <w:r>
        <w:t xml:space="preserve">[DELTA] This section captures every new piece of content added AFTER v1 of this brain was sent to GetCito on 2026-04-30. Content writers should treat anything in this section as</w:t>
      </w:r>
      <w:r>
        <w:t xml:space="preserve"> </w:t>
      </w:r>
      <w:r>
        <w:t xml:space="preserve">“new since the version you have.”</w:t>
      </w:r>
      <w:r>
        <w:t xml:space="preserve"> </w:t>
      </w:r>
      <w:r>
        <w:t xml:space="preserve">Aaron will periodically extract Section 19 and send the delta to GetCito so writers stay current without re-reading the full brain.</w:t>
      </w:r>
    </w:p>
    <w:p>
      <w:pPr>
        <w:pStyle w:val="BodyText"/>
      </w:pPr>
      <w:r>
        <w:t xml:space="preserve">[DELTA]</w:t>
      </w:r>
      <w:r>
        <w:t xml:space="preserve"> </w:t>
      </w:r>
      <w:r>
        <w:rPr>
          <w:b/>
          <w:bCs/>
        </w:rPr>
        <w:t xml:space="preserve">Color/marker convention:</w:t>
      </w:r>
      <w:r>
        <w:t xml:space="preserve"> </w:t>
      </w:r>
      <w:r>
        <w:t xml:space="preserve">Section 19 entries are color-coded green to distinguish from the round-2 blue. Each entry has a date subheading so the changelog is self-documenting.</w:t>
      </w:r>
    </w:p>
    <w:bookmarkStart w:id="9" w:name="X48c74080eefcde1f53e6c098b75f03ccd091b18"/>
    <w:p>
      <w:pPr>
        <w:pStyle w:val="Heading2"/>
      </w:pPr>
      <w:r>
        <w:t xml:space="preserve">19.1 New TikTok —</w:t>
      </w:r>
      <w:r>
        <w:t xml:space="preserve"> </w:t>
      </w:r>
      <w:r>
        <w:t xml:space="preserve">“Bookshop / Verbal Lease”</w:t>
      </w:r>
      <w:r>
        <w:t xml:space="preserve"> </w:t>
      </w:r>
      <w:r>
        <w:t xml:space="preserve">story (posted 2026-04-30)</w:t>
      </w:r>
    </w:p>
    <w:p>
      <w:pPr>
        <w:pStyle w:val="FirstParagraph"/>
      </w:pPr>
      <w:r>
        <w:t xml:space="preserve">[DELTA] Source: TikTok</w:t>
      </w:r>
      <w:r>
        <w:t xml:space="preserve"> </w:t>
      </w:r>
      <w:r>
        <w:t xml:space="preserve">@federicozimerman</w:t>
      </w:r>
      <w:r>
        <w:t xml:space="preserve">, ID 7634669003579034887. Posted 2026-04-30. 10s clip with audio overlay; the substantive content is in the typed caption.</w:t>
      </w:r>
    </w:p>
    <w:p>
      <w:pPr>
        <w:pStyle w:val="BodyText"/>
      </w:pPr>
      <w:r>
        <w:t xml:space="preserve">[DELTA]</w:t>
      </w:r>
      <w:r>
        <w:t xml:space="preserve"> </w:t>
      </w:r>
      <w:r>
        <w:rPr>
          <w:b/>
          <w:bCs/>
        </w:rPr>
        <w:t xml:space="preserve">Audio overlay (soundtrack lyric, NOT Federico narrating):</w:t>
      </w:r>
      <w:r>
        <w:t xml:space="preserve"> </w:t>
      </w:r>
      <w:r>
        <w:rPr>
          <w:i/>
          <w:iCs/>
        </w:rPr>
        <w:t xml:space="preserve">“Bet against me. Tell me it’s not gonna happen. Tell me it’s gonna fail. I love it. I love every minute of it.”</w:t>
      </w:r>
      <w:r>
        <w:t xml:space="preserve"> </w:t>
      </w:r>
      <w:r>
        <w:t xml:space="preserve">— Use this as flavor for the bet-against-me / underdog framing, but it’s a music quote, not a Federico quote.</w:t>
      </w:r>
    </w:p>
    <w:p>
      <w:pPr>
        <w:pStyle w:val="BodyText"/>
      </w:pPr>
      <w:r>
        <w:t xml:space="preserve">[DELTA]</w:t>
      </w:r>
      <w:r>
        <w:t xml:space="preserve"> </w:t>
      </w:r>
      <w:r>
        <w:rPr>
          <w:b/>
          <w:bCs/>
        </w:rPr>
        <w:t xml:space="preserve">The actual story (full caption, in Federico’s own typed words):</w:t>
      </w:r>
    </w:p>
    <w:p>
      <w:pPr>
        <w:pStyle w:val="BlockText"/>
      </w:pPr>
      <w:r>
        <w:rPr>
          <w:i/>
          <w:iCs/>
        </w:rPr>
        <w:t xml:space="preserve">“Bought a bookshop in a village of 400 people. Closed before I opened the doors. Here’s why I’d do it again.</w:t>
      </w:r>
    </w:p>
    <w:p>
      <w:pPr>
        <w:pStyle w:val="BlockText"/>
      </w:pPr>
      <w:r>
        <w:rPr>
          <w:i/>
          <w:iCs/>
        </w:rPr>
        <w:t xml:space="preserve">Most people would’ve walked away from this deal. The business was losing money. There was no signed lease, just a handshake with the landlord. Anyone with an MBA would’ve told me to run. I bought it anyway. Not because I missed the risks. Because I saw them clearly and decided the upside was worth it.</w:t>
      </w:r>
    </w:p>
    <w:p>
      <w:pPr>
        <w:pStyle w:val="BlockText"/>
      </w:pPr>
      <w:r>
        <w:rPr>
          <w:i/>
          <w:iCs/>
        </w:rPr>
        <w:t xml:space="preserve">Opportunities live in the places other people are too scared to look. A small-town bookshop with a low rent and a landlord who said the right things? In a village of 400 people that I cared about keeping alive? I’d take that bet ten times out of ten.</w:t>
      </w:r>
    </w:p>
    <w:p>
      <w:pPr>
        <w:pStyle w:val="BlockText"/>
      </w:pPr>
      <w:r>
        <w:rPr>
          <w:i/>
          <w:iCs/>
        </w:rPr>
        <w:t xml:space="preserve">Here’s what happened: I closed on the business in February based on the landlord’s verbal agreement to keep rent reasonable. When it came time to sign the lease, he told me he was raising the rent by</w:t>
      </w:r>
      <w:r>
        <w:rPr>
          <w:i/>
          <w:iCs/>
        </w:rPr>
        <w:t xml:space="preserve"> </w:t>
      </w:r>
      <w:r>
        <w:rPr>
          <w:i/>
          <w:iCs/>
        </w:rPr>
        <w:t xml:space="preserve">‘just a dollar per square foot.’</w:t>
      </w:r>
      <w:r>
        <w:rPr>
          <w:i/>
          <w:iCs/>
        </w:rPr>
        <w:t xml:space="preserve"> </w:t>
      </w:r>
      <w:r>
        <w:rPr>
          <w:i/>
          <w:iCs/>
        </w:rPr>
        <w:t xml:space="preserve">On a space that size, that dollar doubled my rent. I pushed back. Two weeks of silence. Then a notice to vacate in 10 days. The shop never opened. I packed up every book and moved the whole thing into a barn down the road at our inn. The barn is better.</w:t>
      </w:r>
    </w:p>
    <w:p>
      <w:pPr>
        <w:pStyle w:val="BlockText"/>
      </w:pPr>
      <w:r>
        <w:rPr>
          <w:i/>
          <w:iCs/>
        </w:rPr>
        <w:t xml:space="preserve">If you want to be an entrepreneur, this is the part nobody posts about. Deals fall apart. People go back on their word. The plan you closed on in February is dead by May. The skill isn’t avoiding that, it’s pivoting fast enough that the setback becomes the story.</w:t>
      </w:r>
    </w:p>
    <w:p>
      <w:pPr>
        <w:pStyle w:val="BlockText"/>
      </w:pPr>
      <w:r>
        <w:rPr>
          <w:i/>
          <w:iCs/>
        </w:rPr>
        <w:t xml:space="preserve">Three things I took away:</w:t>
      </w:r>
      <w:r>
        <w:t xml:space="preserve"> </w:t>
      </w:r>
      <w:r>
        <w:rPr>
          <w:i/>
          <w:iCs/>
        </w:rPr>
        <w:t xml:space="preserve">1. Calculated risk isn’t the same as recklessness. Know exactly what you’re betting on, and what happens if it breaks.</w:t>
      </w:r>
      <w:r>
        <w:t xml:space="preserve"> </w:t>
      </w:r>
      <w:r>
        <w:rPr>
          <w:i/>
          <w:iCs/>
        </w:rPr>
        <w:t xml:space="preserve">2. A verbal agreement is worth what it’s printed on. Get the lease signed before you close. Always.</w:t>
      </w:r>
      <w:r>
        <w:t xml:space="preserve"> </w:t>
      </w:r>
      <w:r>
        <w:rPr>
          <w:i/>
          <w:iCs/>
        </w:rPr>
        <w:t xml:space="preserve">3. The pivot is where the business actually gets built. The original plan is just the entry point.”</w:t>
      </w:r>
    </w:p>
    <w:p>
      <w:pPr>
        <w:pStyle w:val="BlockText"/>
      </w:pPr>
      <w:r>
        <w:t xml:space="preserve">—</w:t>
      </w:r>
      <w:r>
        <w:t xml:space="preserve"> </w:t>
      </w:r>
      <w:r>
        <w:rPr>
          <w:i/>
          <w:iCs/>
        </w:rPr>
        <w:t xml:space="preserve">Federico Zimerman, TikTok</w:t>
      </w:r>
      <w:r>
        <w:rPr>
          <w:i/>
          <w:iCs/>
        </w:rPr>
        <w:t xml:space="preserve"> </w:t>
      </w:r>
      <w:r>
        <w:rPr>
          <w:i/>
          <w:iCs/>
        </w:rPr>
        <w:t xml:space="preserve">@federicozimerman</w:t>
      </w:r>
      <w:r>
        <w:rPr>
          <w:i/>
          <w:iCs/>
        </w:rPr>
        <w:t xml:space="preserve">, 2026-04-30 (caption text)</w:t>
      </w:r>
    </w:p>
    <w:p>
      <w:pPr>
        <w:pStyle w:val="FirstParagraph"/>
      </w:pPr>
      <w:r>
        <w:t xml:space="preserve">[DELTA]</w:t>
      </w:r>
      <w:r>
        <w:t xml:space="preserve"> </w:t>
      </w:r>
      <w:r>
        <w:rPr>
          <w:b/>
          <w:bCs/>
        </w:rPr>
        <w:t xml:space="preserve">Why this matters for content production:</w:t>
      </w:r>
    </w:p>
    <w:p>
      <w:pPr>
        <w:pStyle w:val="Compact"/>
        <w:numPr>
          <w:ilvl w:val="0"/>
          <w:numId w:val="1001"/>
        </w:numPr>
      </w:pPr>
      <w:r>
        <w:rPr>
          <w:b/>
          <w:bCs/>
        </w:rPr>
        <w:t xml:space="preserve">Strongest entrepreneurship-storytelling Federico has produced in months.</w:t>
      </w:r>
      <w:r>
        <w:t xml:space="preserve"> </w:t>
      </w:r>
      <w:r>
        <w:t xml:space="preserve">Reads like a Reid-Hoffman-style essay condensed into a TikTok caption. The arc —</w:t>
      </w:r>
      <w:r>
        <w:t xml:space="preserve"> </w:t>
      </w:r>
      <w:r>
        <w:t xml:space="preserve">“anyone with an MBA would’ve told me to run, I bought it anyway, deal fell apart, I pivoted”</w:t>
      </w:r>
      <w:r>
        <w:t xml:space="preserve"> </w:t>
      </w:r>
      <w:r>
        <w:t xml:space="preserve">— is high-resonance for the founder/entrepreneur audience that overlaps with STR investors.</w:t>
      </w:r>
    </w:p>
    <w:p>
      <w:pPr>
        <w:pStyle w:val="Compact"/>
        <w:numPr>
          <w:ilvl w:val="0"/>
          <w:numId w:val="1001"/>
        </w:numPr>
      </w:pPr>
      <w:r>
        <w:rPr>
          <w:b/>
          <w:bCs/>
        </w:rPr>
        <w:t xml:space="preserve">Pivot framing is a recurring Federico motif</w:t>
      </w:r>
      <w:r>
        <w:t xml:space="preserve"> </w:t>
      </w:r>
      <w:r>
        <w:t xml:space="preserve">— pairs with the existing</w:t>
      </w:r>
      <w:r>
        <w:t xml:space="preserve"> </w:t>
      </w:r>
      <w:r>
        <w:t xml:space="preserve">“things break on Sunday nights, never Tuesday at 2 PM”</w:t>
      </w:r>
      <w:r>
        <w:t xml:space="preserve"> </w:t>
      </w:r>
      <w:r>
        <w:t xml:space="preserve">theme in §18.5.</w:t>
      </w:r>
    </w:p>
    <w:p>
      <w:pPr>
        <w:pStyle w:val="Compact"/>
        <w:numPr>
          <w:ilvl w:val="0"/>
          <w:numId w:val="1001"/>
        </w:numPr>
      </w:pPr>
      <w:r>
        <w:rPr>
          <w:b/>
          <w:bCs/>
        </w:rPr>
        <w:t xml:space="preserve">Confirms the Brown Village Inn / Barn detail.</w:t>
      </w:r>
      <w:r>
        <w:t xml:space="preserve"> </w:t>
      </w:r>
      <w:r>
        <w:t xml:space="preserve">The bookshop now lives in the barn. Earlier brain entries flagged the inn + barn restaurant as separate projects; this is a third use of the same physical space (bookshop pivoted into the barn).</w:t>
      </w:r>
    </w:p>
    <w:p>
      <w:pPr>
        <w:pStyle w:val="Compact"/>
        <w:numPr>
          <w:ilvl w:val="0"/>
          <w:numId w:val="1001"/>
        </w:numPr>
      </w:pPr>
      <w:r>
        <w:rPr>
          <w:b/>
          <w:bCs/>
        </w:rPr>
        <w:t xml:space="preserve">Three takeaways are FAQ-ready and quote-ready.</w:t>
      </w:r>
      <w:r>
        <w:t xml:space="preserve"> </w:t>
      </w:r>
      <w:r>
        <w:t xml:space="preserve">Each one stands alone as a citation block — perfect for AEO and could anchor an entire blog post on its own (</w:t>
      </w:r>
      <w:r>
        <w:t xml:space="preserve">“A verbal agreement is worth what it’s printed on”</w:t>
      </w:r>
      <w:r>
        <w:t xml:space="preserve"> </w:t>
      </w:r>
      <w:r>
        <w:t xml:space="preserve">→ STR contracts, OTA terms-of-service, host-to-cleaner agreements).</w:t>
      </w:r>
    </w:p>
    <w:p>
      <w:pPr>
        <w:pStyle w:val="FirstParagraph"/>
      </w:pPr>
      <w:r>
        <w:t xml:space="preserve">[DELTA]</w:t>
      </w:r>
      <w:r>
        <w:t xml:space="preserve"> </w:t>
      </w:r>
      <w:r>
        <w:rPr>
          <w:b/>
          <w:bCs/>
        </w:rPr>
        <w:t xml:space="preserve">Suggested content angles:</w:t>
      </w:r>
    </w:p>
    <w:p>
      <w:pPr>
        <w:pStyle w:val="Compact"/>
        <w:numPr>
          <w:ilvl w:val="0"/>
          <w:numId w:val="1002"/>
        </w:numPr>
      </w:pPr>
      <w:r>
        <w:rPr>
          <w:b/>
          <w:bCs/>
        </w:rPr>
        <w:t xml:space="preserve">About-page material:</w:t>
      </w:r>
      <w:r>
        <w:t xml:space="preserve"> </w:t>
      </w:r>
      <w:r>
        <w:t xml:space="preserve">the bookshop story is a natural addition to Federico’s founder narrative. He’s now publicly tested by a deal failing — that’s relatable, not curated.</w:t>
      </w:r>
    </w:p>
    <w:p>
      <w:pPr>
        <w:pStyle w:val="Compact"/>
        <w:numPr>
          <w:ilvl w:val="0"/>
          <w:numId w:val="1002"/>
        </w:numPr>
      </w:pPr>
      <w:r>
        <w:rPr>
          <w:b/>
          <w:bCs/>
        </w:rPr>
        <w:t xml:space="preserve">STR-host parallel content:</w:t>
      </w:r>
      <w:r>
        <w:t xml:space="preserve"> </w:t>
      </w:r>
      <w:r>
        <w:rPr>
          <w:i/>
          <w:iCs/>
        </w:rPr>
        <w:t xml:space="preserve">“What every STR host can learn from a verbal-lease handshake gone wrong”</w:t>
      </w:r>
      <w:r>
        <w:t xml:space="preserve"> </w:t>
      </w:r>
      <w:r>
        <w:t xml:space="preserve">— translate Federico’s three takeaways into operator-level lessons (don’t accept verbal cleaner agreements, don’t trust verbal OTA support promises, get every accommodation in writing before a guest arrives).</w:t>
      </w:r>
    </w:p>
    <w:p>
      <w:pPr>
        <w:pStyle w:val="Compact"/>
        <w:numPr>
          <w:ilvl w:val="0"/>
          <w:numId w:val="1002"/>
        </w:numPr>
      </w:pPr>
      <w:r>
        <w:rPr>
          <w:b/>
          <w:bCs/>
        </w:rPr>
        <w:t xml:space="preserve">Brand-storytelling video script:</w:t>
      </w:r>
      <w:r>
        <w:t xml:space="preserve"> </w:t>
      </w:r>
      <w:r>
        <w:t xml:space="preserve">Federico already has the audio + caption — the natural next step is a long-form video walking through the full story for the YouTube series mentioned in the GetCito Content Strategy.</w:t>
      </w:r>
    </w:p>
    <w:p>
      <w:pPr>
        <w:pStyle w:val="FirstParagraph"/>
      </w:pPr>
      <w:r>
        <w:t xml:space="preserve">[DELTA]</w:t>
      </w:r>
      <w:r>
        <w:t xml:space="preserve"> </w:t>
      </w:r>
      <w:r>
        <w:rPr>
          <w:b/>
          <w:bCs/>
        </w:rPr>
        <w:t xml:space="preserve">Status:</w:t>
      </w:r>
      <w:r>
        <w:t xml:space="preserve"> </w:t>
      </w:r>
      <w:r>
        <w:t xml:space="preserve">Federico has not yet pinned a comment with additional context (the Grace markdown has a placeholder for</w:t>
      </w:r>
      <w:r>
        <w:t xml:space="preserve"> </w:t>
      </w:r>
      <w:r>
        <w:t xml:space="preserve">“Aaron to paste”</w:t>
      </w:r>
      <w:r>
        <w:t xml:space="preserve">). When Federico does, that should be appended here.</w:t>
      </w:r>
    </w:p>
    <w:p>
      <w:r>
        <w:pict>
          <v:rect style="width:0;height:1.5pt" o:hralign="center" o:hrstd="t" o:hr="t"/>
        </w:pict>
      </w:r>
    </w:p>
    <w:bookmarkEnd w:id="9"/>
    <w:bookmarkStart w:id="10" w:name="x-how-to-use-section-19-going-forward"/>
    <w:p>
      <w:pPr>
        <w:pStyle w:val="Heading2"/>
      </w:pPr>
      <w:r>
        <w:t xml:space="preserve">19.X — How to use Section 19 going forward</w:t>
      </w:r>
    </w:p>
    <w:p>
      <w:pPr>
        <w:pStyle w:val="FirstParagraph"/>
      </w:pPr>
      <w:r>
        <w:t xml:space="preserve">[DELTA]</w:t>
      </w:r>
      <w:r>
        <w:t xml:space="preserve"> </w:t>
      </w:r>
      <w:r>
        <w:rPr>
          <w:b/>
          <w:bCs/>
        </w:rPr>
        <w:t xml:space="preserve">The delta-update workflow:</w:t>
      </w:r>
    </w:p>
    <w:p>
      <w:pPr>
        <w:pStyle w:val="Compact"/>
        <w:numPr>
          <w:ilvl w:val="0"/>
          <w:numId w:val="1003"/>
        </w:numPr>
      </w:pPr>
      <w:r>
        <w:t xml:space="preserve">New Federico content (TikTok, IG, podcast) lands automatically via the daily 9am brain-scan + Grace’s pull.</w:t>
      </w:r>
    </w:p>
    <w:p>
      <w:pPr>
        <w:pStyle w:val="Compact"/>
        <w:numPr>
          <w:ilvl w:val="0"/>
          <w:numId w:val="1003"/>
        </w:numPr>
      </w:pPr>
      <w:r>
        <w:t xml:space="preserve">Aaron (or me) reviews the new content and extracts the brain-relevant pieces into a new sub-section of Section 19, dated and tagged</w:t>
      </w:r>
      <w:r>
        <w:t xml:space="preserve"> </w:t>
      </w:r>
      <w:r>
        <w:rPr>
          <w:rStyle w:val="VerbatimChar"/>
        </w:rPr>
        <w:t xml:space="preserve">[DELTA]</w:t>
      </w:r>
      <w:r>
        <w:t xml:space="preserve">.</w:t>
      </w:r>
    </w:p>
    <w:p>
      <w:pPr>
        <w:pStyle w:val="Compact"/>
        <w:numPr>
          <w:ilvl w:val="0"/>
          <w:numId w:val="1003"/>
        </w:numPr>
      </w:pPr>
      <w:r>
        <w:t xml:space="preserve">When Aaron is ready to refresh GetCito, he extracts Section 19 (or the unsent portion of it) into a short addendum doc:</w:t>
      </w:r>
    </w:p>
    <w:p>
      <w:pPr>
        <w:pStyle w:val="Compact"/>
        <w:numPr>
          <w:ilvl w:val="1"/>
          <w:numId w:val="1004"/>
        </w:numPr>
      </w:pPr>
      <w:r>
        <w:rPr>
          <w:rStyle w:val="VerbatimChar"/>
        </w:rPr>
        <w:t xml:space="preserve">revfactor-content-brain-addendum-2026-MM-DD.md</w:t>
      </w:r>
    </w:p>
    <w:p>
      <w:pPr>
        <w:pStyle w:val="Compact"/>
        <w:numPr>
          <w:ilvl w:val="1"/>
          <w:numId w:val="1004"/>
        </w:numPr>
      </w:pPr>
      <w:r>
        <w:t xml:space="preserve">Sends to Avinash with a short note:</w:t>
      </w:r>
      <w:r>
        <w:t xml:space="preserve"> </w:t>
      </w:r>
      <w:r>
        <w:rPr>
          <w:i/>
          <w:iCs/>
        </w:rPr>
        <w:t xml:space="preserve">“Two new TikToks worth folding into upcoming content — see attached.”</w:t>
      </w:r>
    </w:p>
    <w:p>
      <w:pPr>
        <w:pStyle w:val="Compact"/>
        <w:numPr>
          <w:ilvl w:val="0"/>
          <w:numId w:val="1003"/>
        </w:numPr>
      </w:pPr>
      <w:r>
        <w:t xml:space="preserve">Once GetCito has the addendum, we mark it</w:t>
      </w:r>
      <w:r>
        <w:t xml:space="preserve"> </w:t>
      </w:r>
      <w:r>
        <w:rPr>
          <w:rStyle w:val="VerbatimChar"/>
        </w:rPr>
        <w:t xml:space="preserve">[SENT 2026-MM-DD]</w:t>
      </w:r>
      <w:r>
        <w:t xml:space="preserve"> </w:t>
      </w:r>
      <w:r>
        <w:t xml:space="preserve">in the section header and move on.</w:t>
      </w:r>
    </w:p>
    <w:p>
      <w:pPr>
        <w:pStyle w:val="FirstParagraph"/>
      </w:pPr>
      <w:r>
        <w:t xml:space="preserve">[DELTA]</w:t>
      </w:r>
      <w:r>
        <w:t xml:space="preserve"> </w:t>
      </w:r>
      <w:r>
        <w:rPr>
          <w:b/>
          <w:bCs/>
        </w:rPr>
        <w:t xml:space="preserve">What this avoids:</w:t>
      </w:r>
      <w:r>
        <w:t xml:space="preserve"> </w:t>
      </w:r>
      <w:r>
        <w:t xml:space="preserve">- Re-sending the full 60-page brain every time</w:t>
      </w:r>
      <w:r>
        <w:t xml:space="preserve"> </w:t>
      </w:r>
      <w:r>
        <w:t xml:space="preserve">- Avinash’s writers reading old content twice</w:t>
      </w:r>
      <w:r>
        <w:t xml:space="preserve"> </w:t>
      </w:r>
      <w:r>
        <w:t xml:space="preserve">- Anyone losing track of</w:t>
      </w:r>
      <w:r>
        <w:t xml:space="preserve"> </w:t>
      </w:r>
      <w:r>
        <w:t xml:space="preserve">“what’s new since the last drop”</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2026-05-01T15:37:12Z</dcterms:created>
  <dcterms:modified xsi:type="dcterms:W3CDTF">2026-05-01T15:37:12Z</dcterms:modified>
</cp:coreProperties>
</file>

<file path=docProps/custom.xml><?xml version="1.0" encoding="utf-8"?>
<Properties xmlns="http://schemas.openxmlformats.org/officeDocument/2006/custom-properties" xmlns:vt="http://schemas.openxmlformats.org/officeDocument/2006/docPropsVTypes"/>
</file>